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54162" w14:paraId="7B28C93F" w14:textId="77777777" w:rsidTr="00C85D0F">
        <w:trPr>
          <w:trHeight w:hRule="exact" w:val="1418"/>
        </w:trPr>
        <w:tc>
          <w:tcPr>
            <w:tcW w:w="6804" w:type="dxa"/>
            <w:shd w:val="clear" w:color="auto" w:fill="auto"/>
            <w:vAlign w:val="center"/>
          </w:tcPr>
          <w:p w14:paraId="749440A6" w14:textId="77777777" w:rsidR="00C93A60" w:rsidRPr="00CC06D3" w:rsidRDefault="009C2505" w:rsidP="00C85D0F">
            <w:pPr>
              <w:pStyle w:val="EPName"/>
            </w:pPr>
            <w:r>
              <w:t>Parlamentul European</w:t>
            </w:r>
          </w:p>
          <w:p w14:paraId="76812706" w14:textId="77777777" w:rsidR="00C93A60" w:rsidRPr="00CC06D3" w:rsidRDefault="009C2505" w:rsidP="00C85D0F">
            <w:pPr>
              <w:pStyle w:val="EPTerm"/>
            </w:pPr>
            <w:r>
              <w:t>2024-2029</w:t>
            </w:r>
          </w:p>
        </w:tc>
        <w:tc>
          <w:tcPr>
            <w:tcW w:w="2268" w:type="dxa"/>
            <w:shd w:val="clear" w:color="auto" w:fill="auto"/>
          </w:tcPr>
          <w:p w14:paraId="53C301CC" w14:textId="77777777" w:rsidR="00C93A60" w:rsidRPr="00CC06D3" w:rsidRDefault="009C2505" w:rsidP="00C85D0F">
            <w:pPr>
              <w:pStyle w:val="EPLogo"/>
            </w:pPr>
            <w:r w:rsidRPr="00CC06D3">
              <w:rPr>
                <w:noProof/>
                <w:lang w:eastAsia="ja-JP"/>
              </w:rPr>
              <w:drawing>
                <wp:inline distT="0" distB="0" distL="0" distR="0" wp14:anchorId="72B59D61" wp14:editId="3C637B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6BD636E" w14:textId="77777777" w:rsidR="00E3537C" w:rsidRPr="00CC06D3" w:rsidRDefault="00E3537C" w:rsidP="00E3537C">
      <w:pPr>
        <w:pStyle w:val="LineTop"/>
      </w:pPr>
    </w:p>
    <w:p w14:paraId="0A9C6262" w14:textId="77777777" w:rsidR="00E3537C" w:rsidRPr="00CC06D3" w:rsidRDefault="009C2505" w:rsidP="00E3537C">
      <w:pPr>
        <w:pStyle w:val="EPBody"/>
      </w:pPr>
      <w:r>
        <w:rPr>
          <w:rStyle w:val="HideTWBExt"/>
          <w:i w:val="0"/>
        </w:rPr>
        <w:t>&lt;Commission&gt;</w:t>
      </w:r>
      <w:r>
        <w:rPr>
          <w:rStyle w:val="HideTWBInt"/>
          <w:color w:val="auto"/>
        </w:rPr>
        <w:t>{AFET}</w:t>
      </w:r>
      <w:r>
        <w:t>Comisia pentru afaceri externe</w:t>
      </w:r>
      <w:r>
        <w:rPr>
          <w:rStyle w:val="HideTWBExt"/>
          <w:i w:val="0"/>
        </w:rPr>
        <w:t>&lt;/Commission&gt;</w:t>
      </w:r>
    </w:p>
    <w:p w14:paraId="2C7700E6" w14:textId="77777777" w:rsidR="00E3537C" w:rsidRPr="00CC06D3" w:rsidRDefault="00E3537C" w:rsidP="00E3537C">
      <w:pPr>
        <w:pStyle w:val="LineBottom"/>
      </w:pPr>
    </w:p>
    <w:p w14:paraId="6C6A5357" w14:textId="77777777" w:rsidR="00100069" w:rsidRPr="00CC06D3" w:rsidRDefault="009C2505">
      <w:pPr>
        <w:pStyle w:val="CoverReference"/>
      </w:pPr>
      <w:r>
        <w:rPr>
          <w:rStyle w:val="HideTWBExt"/>
          <w:b w:val="0"/>
        </w:rPr>
        <w:t>&lt;RefProc&gt;</w:t>
      </w:r>
      <w:r>
        <w:t>2025/2250</w:t>
      </w:r>
      <w:r>
        <w:rPr>
          <w:rStyle w:val="HideTWBExt"/>
          <w:b w:val="0"/>
        </w:rPr>
        <w:t>&lt;/RefProc&gt;&lt;RefTypeProc&gt;</w:t>
      </w:r>
      <w:r>
        <w:t>(INI)</w:t>
      </w:r>
      <w:r>
        <w:rPr>
          <w:rStyle w:val="HideTWBExt"/>
          <w:b w:val="0"/>
        </w:rPr>
        <w:t>&lt;/RefTypeProc&gt;</w:t>
      </w:r>
    </w:p>
    <w:p w14:paraId="460C1E00" w14:textId="77777777" w:rsidR="00100069" w:rsidRPr="00CC06D3" w:rsidRDefault="009C2505">
      <w:pPr>
        <w:pStyle w:val="CoverDate"/>
      </w:pPr>
      <w:r>
        <w:rPr>
          <w:rStyle w:val="HideTWBExt"/>
        </w:rPr>
        <w:t>&lt;Date&gt;</w:t>
      </w:r>
      <w:r>
        <w:rPr>
          <w:rStyle w:val="HideTWBInt"/>
          <w:color w:val="auto"/>
        </w:rPr>
        <w:t>{16/02/2026}</w:t>
      </w:r>
      <w:r>
        <w:t>16.2.2026</w:t>
      </w:r>
      <w:r>
        <w:rPr>
          <w:rStyle w:val="HideTWBExt"/>
        </w:rPr>
        <w:t>&lt;/Date&gt;</w:t>
      </w:r>
    </w:p>
    <w:p w14:paraId="59E7C755" w14:textId="77777777" w:rsidR="00100069" w:rsidRPr="00CC06D3" w:rsidRDefault="009C2505">
      <w:pPr>
        <w:pStyle w:val="CoverDocType24a"/>
      </w:pPr>
      <w:r>
        <w:rPr>
          <w:rStyle w:val="HideTWBExt"/>
          <w:b w:val="0"/>
        </w:rPr>
        <w:t>&lt;TitreType&gt;</w:t>
      </w:r>
      <w:r>
        <w:t>PROIECT DE RAPORT</w:t>
      </w:r>
      <w:r>
        <w:rPr>
          <w:rStyle w:val="HideTWBExt"/>
          <w:b w:val="0"/>
        </w:rPr>
        <w:t>&lt;/TitreType&gt;</w:t>
      </w:r>
    </w:p>
    <w:p w14:paraId="2BD6DFD9" w14:textId="77777777" w:rsidR="00100069" w:rsidRPr="00CC06D3" w:rsidRDefault="009C2505">
      <w:pPr>
        <w:pStyle w:val="CoverNormal"/>
      </w:pPr>
      <w:r>
        <w:rPr>
          <w:rStyle w:val="HideTWBExt"/>
        </w:rPr>
        <w:t>&lt;Titre&gt;</w:t>
      </w:r>
      <w:r>
        <w:t>referitor la raportul Comisiei privind Albania pe 2025</w:t>
      </w:r>
      <w:r>
        <w:rPr>
          <w:rStyle w:val="HideTWBExt"/>
        </w:rPr>
        <w:t>&lt;/Titre&gt;</w:t>
      </w:r>
    </w:p>
    <w:p w14:paraId="6D5644BF" w14:textId="77777777" w:rsidR="00100069" w:rsidRPr="00CC06D3" w:rsidRDefault="009C2505">
      <w:pPr>
        <w:pStyle w:val="CoverNormal24a"/>
      </w:pPr>
      <w:r>
        <w:rPr>
          <w:rStyle w:val="HideTWBExt"/>
        </w:rPr>
        <w:t>&lt;DocRef&gt;</w:t>
      </w:r>
      <w:r>
        <w:t>(2025/2250(INI))</w:t>
      </w:r>
      <w:r>
        <w:rPr>
          <w:rStyle w:val="HideTWBExt"/>
        </w:rPr>
        <w:t>&lt;/DocRef&gt;</w:t>
      </w:r>
    </w:p>
    <w:p w14:paraId="21984714" w14:textId="77777777" w:rsidR="00100069" w:rsidRPr="00CC06D3" w:rsidRDefault="009C2505">
      <w:pPr>
        <w:pStyle w:val="CoverNormal24a"/>
      </w:pPr>
      <w:r>
        <w:rPr>
          <w:rStyle w:val="HideTWBExt"/>
        </w:rPr>
        <w:t>&lt;Commission&gt;</w:t>
      </w:r>
      <w:r>
        <w:rPr>
          <w:rStyle w:val="HideTWBInt"/>
          <w:color w:val="auto"/>
        </w:rPr>
        <w:t>{AFET}</w:t>
      </w:r>
      <w:r>
        <w:t>Comisia pentru afaceri externe</w:t>
      </w:r>
      <w:r>
        <w:rPr>
          <w:rStyle w:val="HideTWBExt"/>
        </w:rPr>
        <w:t>&lt;/Commission&gt;</w:t>
      </w:r>
    </w:p>
    <w:p w14:paraId="69EB8F1F" w14:textId="77777777" w:rsidR="00100069" w:rsidRPr="00CC06D3" w:rsidRDefault="009C2505">
      <w:pPr>
        <w:pStyle w:val="CoverNormal24a"/>
      </w:pPr>
      <w:r>
        <w:t xml:space="preserve">Raportor: </w:t>
      </w:r>
      <w:r>
        <w:rPr>
          <w:rStyle w:val="HideTWBExt"/>
        </w:rPr>
        <w:t>&lt;Depute&gt;</w:t>
      </w:r>
      <w:r>
        <w:t>Andreas Schieder</w:t>
      </w:r>
      <w:r>
        <w:rPr>
          <w:rStyle w:val="HideTWBExt"/>
        </w:rPr>
        <w:t>&lt;/Depute&gt;</w:t>
      </w:r>
    </w:p>
    <w:p w14:paraId="0CDE95B2" w14:textId="77777777" w:rsidR="00100069" w:rsidRPr="00CC06D3" w:rsidRDefault="009C2505" w:rsidP="002544DF">
      <w:pPr>
        <w:widowControl/>
        <w:tabs>
          <w:tab w:val="center" w:pos="4677"/>
        </w:tabs>
      </w:pPr>
      <w:r>
        <w:br w:type="page"/>
      </w:r>
      <w:r>
        <w:lastRenderedPageBreak/>
        <w:t>PR_INI</w:t>
      </w:r>
    </w:p>
    <w:p w14:paraId="522183B0" w14:textId="77777777" w:rsidR="00100069" w:rsidRPr="00CC06D3" w:rsidRDefault="009C2505">
      <w:pPr>
        <w:pStyle w:val="TOCHeading"/>
      </w:pPr>
      <w:r>
        <w:t>CUPRINS</w:t>
      </w:r>
    </w:p>
    <w:p w14:paraId="6AC5CF5A" w14:textId="77777777" w:rsidR="00100069" w:rsidRPr="00CC06D3" w:rsidRDefault="009C2505">
      <w:pPr>
        <w:pStyle w:val="TOCPage"/>
      </w:pPr>
      <w:r>
        <w:t>Pagina</w:t>
      </w:r>
    </w:p>
    <w:p w14:paraId="31D1105A" w14:textId="5D00678A" w:rsidR="009C2505" w:rsidRDefault="009C2505">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C06D3">
        <w:rPr>
          <w:b/>
        </w:rPr>
        <w:fldChar w:fldCharType="begin"/>
      </w:r>
      <w:r w:rsidRPr="00CC06D3">
        <w:rPr>
          <w:b/>
        </w:rPr>
        <w:instrText xml:space="preserve"> TOC \t "PageHeading</w:instrText>
      </w:r>
      <w:r w:rsidR="00753CC4" w:rsidRPr="00CC06D3">
        <w:rPr>
          <w:b/>
        </w:rPr>
        <w:instrText>;</w:instrText>
      </w:r>
      <w:r w:rsidRPr="00CC06D3">
        <w:rPr>
          <w:b/>
        </w:rPr>
        <w:instrText xml:space="preserve">1" </w:instrText>
      </w:r>
      <w:r w:rsidRPr="00CC06D3">
        <w:rPr>
          <w:b/>
        </w:rPr>
        <w:fldChar w:fldCharType="separate"/>
      </w:r>
      <w:r>
        <w:rPr>
          <w:noProof/>
        </w:rPr>
        <w:t>PROPUNERE DE REZOLUȚIE A PARLAMENTULUI EUROPEAN</w:t>
      </w:r>
      <w:r>
        <w:rPr>
          <w:noProof/>
        </w:rPr>
        <w:tab/>
      </w:r>
      <w:r>
        <w:rPr>
          <w:noProof/>
        </w:rPr>
        <w:fldChar w:fldCharType="begin"/>
      </w:r>
      <w:r>
        <w:rPr>
          <w:noProof/>
        </w:rPr>
        <w:instrText xml:space="preserve"> PAGEREF _Toc223426991 \h </w:instrText>
      </w:r>
      <w:r>
        <w:rPr>
          <w:noProof/>
        </w:rPr>
      </w:r>
      <w:r>
        <w:rPr>
          <w:noProof/>
        </w:rPr>
        <w:fldChar w:fldCharType="separate"/>
      </w:r>
      <w:r>
        <w:rPr>
          <w:noProof/>
        </w:rPr>
        <w:t>3</w:t>
      </w:r>
      <w:r>
        <w:rPr>
          <w:noProof/>
        </w:rPr>
        <w:fldChar w:fldCharType="end"/>
      </w:r>
    </w:p>
    <w:p w14:paraId="3C6D21D0" w14:textId="1F9734A6" w:rsidR="009C2505" w:rsidRDefault="009C250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EXPUNERE DE MOTIVE</w:t>
      </w:r>
      <w:r>
        <w:rPr>
          <w:noProof/>
        </w:rPr>
        <w:tab/>
      </w:r>
      <w:r>
        <w:rPr>
          <w:noProof/>
        </w:rPr>
        <w:fldChar w:fldCharType="begin"/>
      </w:r>
      <w:r>
        <w:rPr>
          <w:noProof/>
        </w:rPr>
        <w:instrText xml:space="preserve"> PAGEREF _Toc223426992 \h </w:instrText>
      </w:r>
      <w:r>
        <w:rPr>
          <w:noProof/>
        </w:rPr>
      </w:r>
      <w:r>
        <w:rPr>
          <w:noProof/>
        </w:rPr>
        <w:fldChar w:fldCharType="separate"/>
      </w:r>
      <w:r>
        <w:rPr>
          <w:noProof/>
        </w:rPr>
        <w:t>8</w:t>
      </w:r>
      <w:r>
        <w:rPr>
          <w:noProof/>
        </w:rPr>
        <w:fldChar w:fldCharType="end"/>
      </w:r>
    </w:p>
    <w:p w14:paraId="41B70F97" w14:textId="4BF4C952" w:rsidR="009C2505" w:rsidRDefault="009C250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ANEXĂ: DECLARAȚIE PRIVIND CONTRIBUȚIILE</w:t>
      </w:r>
      <w:r>
        <w:rPr>
          <w:noProof/>
        </w:rPr>
        <w:tab/>
      </w:r>
      <w:r>
        <w:rPr>
          <w:noProof/>
        </w:rPr>
        <w:fldChar w:fldCharType="begin"/>
      </w:r>
      <w:r>
        <w:rPr>
          <w:noProof/>
        </w:rPr>
        <w:instrText xml:space="preserve"> PAGEREF _Toc223426993 \h </w:instrText>
      </w:r>
      <w:r>
        <w:rPr>
          <w:noProof/>
        </w:rPr>
      </w:r>
      <w:r>
        <w:rPr>
          <w:noProof/>
        </w:rPr>
        <w:fldChar w:fldCharType="separate"/>
      </w:r>
      <w:r>
        <w:rPr>
          <w:noProof/>
        </w:rPr>
        <w:t>9</w:t>
      </w:r>
      <w:r>
        <w:rPr>
          <w:noProof/>
        </w:rPr>
        <w:fldChar w:fldCharType="end"/>
      </w:r>
    </w:p>
    <w:p w14:paraId="778A400A" w14:textId="26DDE455" w:rsidR="00E155CA" w:rsidRPr="00CC06D3" w:rsidRDefault="009C2505" w:rsidP="0023245A">
      <w:r w:rsidRPr="00CC06D3">
        <w:rPr>
          <w:b/>
        </w:rPr>
        <w:fldChar w:fldCharType="end"/>
      </w:r>
    </w:p>
    <w:p w14:paraId="0DC7BA38" w14:textId="77777777" w:rsidR="00100069" w:rsidRPr="00CC06D3" w:rsidRDefault="009C2505">
      <w:pPr>
        <w:pStyle w:val="PageHeading"/>
      </w:pPr>
      <w:r>
        <w:br w:type="page"/>
      </w:r>
      <w:bookmarkStart w:id="0" w:name="_Toc223426991"/>
      <w:r>
        <w:lastRenderedPageBreak/>
        <w:t>PROPUNERE DE REZOLUȚIE A PARLAMENTULUI EUROPEAN</w:t>
      </w:r>
      <w:bookmarkEnd w:id="0"/>
    </w:p>
    <w:p w14:paraId="423FB01D" w14:textId="77777777" w:rsidR="00100069" w:rsidRPr="00CC06D3" w:rsidRDefault="009C2505">
      <w:pPr>
        <w:pStyle w:val="NormalBold"/>
      </w:pPr>
      <w:r>
        <w:t>referitoare la raportul Comisiei privind Albania pe 2025</w:t>
      </w:r>
    </w:p>
    <w:p w14:paraId="2054241A" w14:textId="77777777" w:rsidR="00100069" w:rsidRPr="00CC06D3" w:rsidRDefault="009C2505" w:rsidP="00335F69">
      <w:pPr>
        <w:pStyle w:val="NormalBold"/>
      </w:pPr>
      <w:r>
        <w:t>(2025/2250(INI))</w:t>
      </w:r>
    </w:p>
    <w:p w14:paraId="56F9AB92" w14:textId="77777777" w:rsidR="00100069" w:rsidRPr="00CC06D3" w:rsidRDefault="009C2505" w:rsidP="00335F69">
      <w:pPr>
        <w:pStyle w:val="EPComma"/>
      </w:pPr>
      <w:r>
        <w:rPr>
          <w:i/>
        </w:rPr>
        <w:t>Parlamentul European</w:t>
      </w:r>
      <w:r>
        <w:t>,</w:t>
      </w:r>
    </w:p>
    <w:p w14:paraId="4337EDBC" w14:textId="77777777" w:rsidR="00CB156F" w:rsidRPr="00CC06D3" w:rsidRDefault="009C2505" w:rsidP="00CB156F">
      <w:pPr>
        <w:pStyle w:val="NormalHanging12a"/>
      </w:pPr>
      <w:r>
        <w:t>–</w:t>
      </w:r>
      <w:r>
        <w:tab/>
        <w:t>având în vedere Acordul de stabilizare și asociere dintre Comunitățile Europene și statele membre ale acestora, pe de o parte, și Republica Albania, pe de altă parte</w:t>
      </w:r>
      <w:r>
        <w:rPr>
          <w:vertAlign w:val="superscript"/>
        </w:rPr>
        <w:footnoteReference w:id="1"/>
      </w:r>
      <w:r>
        <w:t>,</w:t>
      </w:r>
    </w:p>
    <w:p w14:paraId="53A81C23" w14:textId="77777777" w:rsidR="00CB156F" w:rsidRPr="00CC06D3" w:rsidRDefault="009C2505" w:rsidP="00CB156F">
      <w:pPr>
        <w:pStyle w:val="NormalHanging12a"/>
      </w:pPr>
      <w:r>
        <w:t>–</w:t>
      </w:r>
      <w:r>
        <w:tab/>
        <w:t>având în vedere cererea de aderare la UE prezentată de Albania la 24 aprilie 2009,</w:t>
      </w:r>
    </w:p>
    <w:p w14:paraId="734C588F" w14:textId="77777777" w:rsidR="00CB156F" w:rsidRPr="00CC06D3" w:rsidRDefault="009C2505" w:rsidP="00CB156F">
      <w:pPr>
        <w:pStyle w:val="NormalHanging12a"/>
      </w:pPr>
      <w:r>
        <w:t>–</w:t>
      </w:r>
      <w:r>
        <w:tab/>
        <w:t>având în vedere Regulamentul (UE) 2021/1529 al Parlamentului European și al Consiliului din 15 septembrie 2021 de instituire a Instrumentului de asistență pentru preaderare (IPA III)</w:t>
      </w:r>
      <w:r>
        <w:rPr>
          <w:vertAlign w:val="superscript"/>
        </w:rPr>
        <w:footnoteReference w:id="2"/>
      </w:r>
      <w:r>
        <w:t>,</w:t>
      </w:r>
    </w:p>
    <w:p w14:paraId="52EE4ABA" w14:textId="77777777" w:rsidR="00CB156F" w:rsidRPr="00CC06D3" w:rsidRDefault="009C2505" w:rsidP="00CB156F">
      <w:pPr>
        <w:pStyle w:val="NormalHanging12a"/>
      </w:pPr>
      <w:r>
        <w:t>–</w:t>
      </w:r>
      <w:r>
        <w:tab/>
        <w:t>având în vedere Regulamentul (UE) 2024/1449 al Parlamentului European și al Consiliului din 14 mai 2024 privind instituirea Mecanismului de reformă și creștere pentru Balcanii de Vest</w:t>
      </w:r>
      <w:r>
        <w:rPr>
          <w:vertAlign w:val="superscript"/>
        </w:rPr>
        <w:footnoteReference w:id="3"/>
      </w:r>
      <w:r>
        <w:t>,</w:t>
      </w:r>
    </w:p>
    <w:p w14:paraId="1AB5A740" w14:textId="77777777" w:rsidR="00CB156F" w:rsidRPr="00CC06D3" w:rsidRDefault="009C2505" w:rsidP="00CB156F">
      <w:pPr>
        <w:pStyle w:val="NormalHanging12a"/>
      </w:pPr>
      <w:r>
        <w:t>–</w:t>
      </w:r>
      <w:r>
        <w:tab/>
        <w:t>având în vedere comunicarea Comisiei din 5 februarie 2020 intitulată „Consolidarea procesului de aderare – O perspectivă credibilă de aderare la UE pentru Balcanii de Vest” (COM(2020)0057),</w:t>
      </w:r>
    </w:p>
    <w:p w14:paraId="45DE0862" w14:textId="77777777" w:rsidR="00CB156F" w:rsidRPr="00CC06D3" w:rsidRDefault="009C2505" w:rsidP="00CB156F">
      <w:pPr>
        <w:pStyle w:val="NormalHanging12a"/>
      </w:pPr>
      <w:r>
        <w:t>–</w:t>
      </w:r>
      <w:r>
        <w:tab/>
        <w:t>având în vedere comunicarea Comisiei din 8 noiembrie 2023 intitulată „Un nou plan de creștere pentru Balcanii de Vest” (COM(2023)0691),</w:t>
      </w:r>
    </w:p>
    <w:p w14:paraId="71F4720A" w14:textId="77777777" w:rsidR="00CB156F" w:rsidRPr="00CC06D3" w:rsidRDefault="009C2505" w:rsidP="00CB156F">
      <w:pPr>
        <w:pStyle w:val="NormalHanging12a"/>
      </w:pPr>
      <w:r>
        <w:t>–</w:t>
      </w:r>
      <w:r>
        <w:tab/>
        <w:t>având în vedere Agenda de reformă a Albaniei prezentată în cadrul Mecanismului de reformă și creștere al UE, aprobată de Comisie la 23 octombrie 2024,</w:t>
      </w:r>
    </w:p>
    <w:p w14:paraId="49C7CCB0" w14:textId="77777777" w:rsidR="00CB156F" w:rsidRPr="00CC06D3" w:rsidRDefault="009C2505" w:rsidP="00CB156F">
      <w:pPr>
        <w:pStyle w:val="NormalHanging12a"/>
      </w:pPr>
      <w:r>
        <w:t>–</w:t>
      </w:r>
      <w:r>
        <w:tab/>
        <w:t>având în vedere comunicarea Comisiei din 8 iulie 2025 intitulată „Raportul din 2025 privind statul de drept” (COM(2025)0900), însoțită de documentul de lucru al serviciilor Comisiei intitulat „Raportul pe 2025 privind statul de drept – Capitolul de țară privind situația statului de drept în Albania” (SWD(2025)0928),</w:t>
      </w:r>
    </w:p>
    <w:p w14:paraId="11045AE0" w14:textId="77777777" w:rsidR="00CB156F" w:rsidRPr="00CC06D3" w:rsidRDefault="009C2505" w:rsidP="00CB156F">
      <w:pPr>
        <w:pStyle w:val="NormalHanging12a"/>
      </w:pPr>
      <w:r>
        <w:t>–</w:t>
      </w:r>
      <w:r>
        <w:tab/>
        <w:t>având în vedere comunicarea Comisiei din 4 noiembrie 2025 intitulată „Comunicarea din 2025 privind politica de extindere a UE” (COM(2025)0690), însoțită de documentul de lucru al serviciilor Comisiei intitulat „Raportul pe 2025 privind Albania” (SWD(2025)0750),</w:t>
      </w:r>
    </w:p>
    <w:p w14:paraId="6F1EFC2B" w14:textId="77777777" w:rsidR="00CB156F" w:rsidRPr="00CC06D3" w:rsidRDefault="009C2505" w:rsidP="00CB156F">
      <w:pPr>
        <w:pStyle w:val="NormalHanging12a"/>
      </w:pPr>
      <w:r>
        <w:t>–</w:t>
      </w:r>
      <w:r>
        <w:tab/>
        <w:t>având în vedere raportul final din 23 octombrie 2025 al misiunii de observare a alegerilor a Biroului pentru Instituții Democratice și Drepturile Omului (ODIHR) al Organizației pentru Securitate și Cooperare în Europa (OSCE) cu privire la alegerile parlamentare din Albania desfășurate la 11 mai 2025,</w:t>
      </w:r>
    </w:p>
    <w:p w14:paraId="12BCF1B0" w14:textId="77777777" w:rsidR="00CB156F" w:rsidRPr="00CC06D3" w:rsidRDefault="009C2505" w:rsidP="00CB156F">
      <w:pPr>
        <w:pStyle w:val="NormalHanging12a"/>
      </w:pPr>
      <w:r>
        <w:t>–</w:t>
      </w:r>
      <w:r>
        <w:tab/>
        <w:t>având în vedere declarația adoptată cu ocazia summitului UE-Balcanii de Vest de la Bruxelles din 17 decembrie 2025,</w:t>
      </w:r>
    </w:p>
    <w:p w14:paraId="7590AE59" w14:textId="77777777" w:rsidR="00CB156F" w:rsidRPr="00CC06D3" w:rsidRDefault="009C2505" w:rsidP="00CB156F">
      <w:pPr>
        <w:pStyle w:val="NormalHanging12a"/>
      </w:pPr>
      <w:r>
        <w:t>–</w:t>
      </w:r>
      <w:r>
        <w:tab/>
        <w:t>având în vedere rezoluțiile sale anterioare referitoare la Albania,</w:t>
      </w:r>
    </w:p>
    <w:p w14:paraId="4A7D7C20" w14:textId="77777777" w:rsidR="00CB156F" w:rsidRPr="00CC06D3" w:rsidRDefault="009C2505" w:rsidP="00CB156F">
      <w:pPr>
        <w:pStyle w:val="NormalHanging12a"/>
      </w:pPr>
      <w:r>
        <w:t>–</w:t>
      </w:r>
      <w:r>
        <w:tab/>
        <w:t xml:space="preserve">având în vedere </w:t>
      </w:r>
      <w:r>
        <w:t>articolul 55 din Regulamentul său de procedură,</w:t>
      </w:r>
    </w:p>
    <w:p w14:paraId="4B0FB1C3" w14:textId="77777777" w:rsidR="00CB156F" w:rsidRPr="00CC06D3" w:rsidRDefault="009C2505" w:rsidP="00CB156F">
      <w:pPr>
        <w:pStyle w:val="NormalHanging12a"/>
      </w:pPr>
      <w:r>
        <w:t>–</w:t>
      </w:r>
      <w:r>
        <w:tab/>
        <w:t>având în vedere raportul Comisiei pentru afaceri externe (A10-0000/2026),</w:t>
      </w:r>
    </w:p>
    <w:p w14:paraId="34237363" w14:textId="77777777" w:rsidR="00CB156F" w:rsidRPr="00CC06D3" w:rsidRDefault="009C2505" w:rsidP="00CB156F">
      <w:pPr>
        <w:pStyle w:val="NormalHanging12a"/>
      </w:pPr>
      <w:r>
        <w:t>A.</w:t>
      </w:r>
      <w:r>
        <w:tab/>
        <w:t>întrucât extinderea UE rămâne o investiție strategică în pace, securitate, stabilitate și dezvoltare democratică și socioeconomică pe întregul continent european;</w:t>
      </w:r>
    </w:p>
    <w:p w14:paraId="4F0E65DF" w14:textId="77777777" w:rsidR="00CB156F" w:rsidRPr="00CC06D3" w:rsidRDefault="009C2505" w:rsidP="00CB156F">
      <w:pPr>
        <w:pStyle w:val="NormalHanging12a"/>
      </w:pPr>
      <w:r>
        <w:t>B.</w:t>
      </w:r>
      <w:r>
        <w:tab/>
        <w:t>întrucât Albania a menținut o orientare strategică clară către aderarea la UE și a demonstrat alinierea deplină la politica externă și de securitate comună (PESC) a UE;</w:t>
      </w:r>
    </w:p>
    <w:p w14:paraId="7666EBBC" w14:textId="77777777" w:rsidR="00CB156F" w:rsidRPr="00CC06D3" w:rsidRDefault="009C2505" w:rsidP="00CB156F">
      <w:pPr>
        <w:pStyle w:val="NormalHanging12a"/>
      </w:pPr>
      <w:r>
        <w:t>C.</w:t>
      </w:r>
      <w:r>
        <w:tab/>
        <w:t>întrucât Albania este țară candidată la aderarea la UE din 2014, a început negocierile de aderare în iulie 2022, a finalizat cu succes procesul de examinare analitică în noiembrie 2023 și a deschis toate grupurile tematice de negociere între 15 octombrie 2024 și 17 noiembrie 2025;</w:t>
      </w:r>
    </w:p>
    <w:p w14:paraId="656E6F53" w14:textId="77777777" w:rsidR="00CB156F" w:rsidRPr="00CC06D3" w:rsidRDefault="009C2505" w:rsidP="00CB156F">
      <w:pPr>
        <w:pStyle w:val="NormalHanging12a"/>
      </w:pPr>
      <w:r>
        <w:t>D.</w:t>
      </w:r>
      <w:r>
        <w:tab/>
        <w:t>întrucât Raportul Comisiei din 2025 privind Albania confirmă că această țară continuă să înregistreze progrese în majoritatea domeniilor legate de aderare, subliniind, în același timp, necesitatea unor reforme mai profunde, mai coerente și ireversibile;</w:t>
      </w:r>
    </w:p>
    <w:p w14:paraId="58B1AFDF" w14:textId="77777777" w:rsidR="00CB156F" w:rsidRPr="00CC06D3" w:rsidRDefault="009C2505" w:rsidP="00CB156F">
      <w:pPr>
        <w:pStyle w:val="NormalHanging12a"/>
      </w:pPr>
      <w:r>
        <w:t>E.</w:t>
      </w:r>
      <w:r>
        <w:tab/>
        <w:t>întrucât credibilitatea procesului de extindere depinde mai degrabă de o condiționalitate strictă, de progrese bazate pe merite și de punerea în aplicare efectivă a reformelor, decât numai de adoptarea formală a legislației;</w:t>
      </w:r>
    </w:p>
    <w:p w14:paraId="33B4ED5B" w14:textId="77777777" w:rsidR="00CB156F" w:rsidRPr="00CC06D3" w:rsidRDefault="009C2505" w:rsidP="00CB156F">
      <w:pPr>
        <w:pStyle w:val="NormalHanging12a"/>
      </w:pPr>
      <w:r>
        <w:t>F.</w:t>
      </w:r>
      <w:r>
        <w:tab/>
        <w:t>întrucât întărirea instituțiilor democratice, a independenței sistemului judiciar, a eforturilor de combatere a corupției, a libertății mass-mediei și a drepturilor fundamentale rămâne esențială pentru traiectoria de aderare a Albaniei;</w:t>
      </w:r>
    </w:p>
    <w:p w14:paraId="3F0292C0" w14:textId="40F57FBA" w:rsidR="00CB156F" w:rsidRPr="00CC06D3" w:rsidRDefault="009C2505" w:rsidP="00CB156F">
      <w:pPr>
        <w:pStyle w:val="NormalHanging12a"/>
      </w:pPr>
      <w:r>
        <w:t>G.</w:t>
      </w:r>
      <w:r>
        <w:tab/>
        <w:t>întrucât Albania încă nu a dat pe deplin curs recomandărilor OSCE/ODIHR privind îmbunătățirea în continuare a modului în care se desfășoară alegerile în țară</w:t>
      </w:r>
      <w:r w:rsidR="004171BE">
        <w:t>,</w:t>
      </w:r>
      <w:r>
        <w:t xml:space="preserve"> </w:t>
      </w:r>
    </w:p>
    <w:p w14:paraId="60C4AFA8" w14:textId="77777777" w:rsidR="00CB156F" w:rsidRPr="00CC06D3" w:rsidRDefault="009C2505" w:rsidP="00CB156F">
      <w:pPr>
        <w:pStyle w:val="NormalHanging12a"/>
      </w:pPr>
      <w:r>
        <w:t>1.</w:t>
      </w:r>
      <w:r>
        <w:tab/>
        <w:t xml:space="preserve">salută angajamentul remarcabil al Albaniei față de integrarea în UE, bazat pe consensul tuturor partidelor politice și pe sprijinul covârșitor al cetățenilor, și apreciază că Albania a deschis toate grupurile tematice ale negocierilor de aderare în numai 13 luni; </w:t>
      </w:r>
    </w:p>
    <w:p w14:paraId="7493AD0D" w14:textId="77777777" w:rsidR="00CB156F" w:rsidRPr="00CC06D3" w:rsidRDefault="009C2505" w:rsidP="00CB156F">
      <w:pPr>
        <w:pStyle w:val="NormalHanging12a"/>
      </w:pPr>
      <w:r>
        <w:t>2.</w:t>
      </w:r>
      <w:r>
        <w:tab/>
        <w:t xml:space="preserve">salută ambiția Albaniei de a încheia negocierile de aderare până la sfârșitul anului 2027 și progresele rapide înregistrate în ultimii </w:t>
      </w:r>
      <w:r>
        <w:t xml:space="preserve">ani; evidențiază necesitatea de a asigura punerea în aplicare cuprinzătoare a legislației; </w:t>
      </w:r>
    </w:p>
    <w:p w14:paraId="6062B093" w14:textId="77777777" w:rsidR="00CB156F" w:rsidRPr="00CC06D3" w:rsidRDefault="009C2505" w:rsidP="00CB156F">
      <w:pPr>
        <w:pStyle w:val="NormalHanging12a"/>
      </w:pPr>
      <w:r>
        <w:t>3.</w:t>
      </w:r>
      <w:r>
        <w:tab/>
        <w:t>constată că Comisia evaluează cadrul electoral al Albaniei ca fiind, în linii mari, adecvat pentru desfășurarea de alegeri competitive, reiterând, în același timp, preocupările legate de condițiile de concurență inechitabile, utilizarea abuzivă a resurselor administrative, acuzațiile de cumpărare a voturilor și presiunea asupra alegătorilor; invită, prin urmare, majoritatea și opoziția să urmărească în mod constructiv și incluziv o reformă electorală cuprinzătoare, în strânsă cooperare cu societatea civilă</w:t>
      </w:r>
      <w:r>
        <w:t>, și să pună pe deplin în aplicare recomandările restante ale OSCE/ODIHR și ale Comisiei de la Veneția cu mult înainte de viitoarele cicluri electorale;</w:t>
      </w:r>
    </w:p>
    <w:p w14:paraId="451CE420" w14:textId="77777777" w:rsidR="00CB156F" w:rsidRPr="00CC06D3" w:rsidRDefault="009C2505" w:rsidP="00CB156F">
      <w:pPr>
        <w:pStyle w:val="NormalHanging12a"/>
      </w:pPr>
      <w:r>
        <w:t>4.</w:t>
      </w:r>
      <w:r>
        <w:tab/>
        <w:t>își exprimă îngrijorarea cu privire la polarizarea politică continuă și la discursul politic conflictual, care subminează controlul parlamentar, încrederea publicului și funcționarea efectivă a instituțiilor democratice;</w:t>
      </w:r>
    </w:p>
    <w:p w14:paraId="0068689C" w14:textId="77777777" w:rsidR="00CB156F" w:rsidRPr="00CC06D3" w:rsidRDefault="009C2505" w:rsidP="00CB156F">
      <w:pPr>
        <w:pStyle w:val="NormalHanging12a"/>
      </w:pPr>
      <w:r>
        <w:t>5.</w:t>
      </w:r>
      <w:r>
        <w:tab/>
        <w:t>încurajează un control parlamentar mai strict al executivului, o mai mare transparență a procedurilor legislative și o consultare mai semnificativă cu organizațiile societății civile, partenerii sociali și instituțiile independente;</w:t>
      </w:r>
    </w:p>
    <w:p w14:paraId="4081D900" w14:textId="77777777" w:rsidR="00CB156F" w:rsidRPr="00CC06D3" w:rsidRDefault="009C2505" w:rsidP="00CB156F">
      <w:pPr>
        <w:pStyle w:val="NormalHanging12a"/>
        <w:rPr>
          <w:b/>
          <w:bCs/>
          <w:i/>
          <w:iCs/>
        </w:rPr>
      </w:pPr>
      <w:r>
        <w:rPr>
          <w:b/>
          <w:i/>
        </w:rPr>
        <w:t>Statul de drept, sistemul judiciar și combaterea corupției</w:t>
      </w:r>
    </w:p>
    <w:p w14:paraId="506EB4E9" w14:textId="77777777" w:rsidR="00CB156F" w:rsidRPr="00CC06D3" w:rsidRDefault="009C2505" w:rsidP="00CB156F">
      <w:pPr>
        <w:pStyle w:val="NormalHanging12a"/>
      </w:pPr>
      <w:r>
        <w:t>6.</w:t>
      </w:r>
      <w:r>
        <w:tab/>
        <w:t>salută continuarea punerii în aplicare a procesului de reformă a justiției, inclusiv verificarea judecătorilor și a procurorilor, care a contribuit la creșterea responsabilității și a integrității în cadrul sistemului judiciar; ia act, cu toate acestea, de provocările persistente legate de eficiența judiciară, de întârzierile înregistrate în soluționarea cauzelor, de consecvența jurisprudenței și de încercările de a exercita o influență nejustificată;</w:t>
      </w:r>
    </w:p>
    <w:p w14:paraId="421F23B0" w14:textId="77777777" w:rsidR="00CB156F" w:rsidRPr="00CC06D3" w:rsidRDefault="009C2505" w:rsidP="00CB156F">
      <w:pPr>
        <w:pStyle w:val="NormalHanging12a"/>
      </w:pPr>
      <w:r>
        <w:t>7.</w:t>
      </w:r>
      <w:r>
        <w:tab/>
        <w:t>solicită întărirea în continuare a organismelor de guvernanță judiciară, asigurând independența, transparența și capacitatea profesională a acestora, precum și investiții susținute în infrastructura instanțelor și în digitalizare;</w:t>
      </w:r>
    </w:p>
    <w:p w14:paraId="3FA8F6FF" w14:textId="77777777" w:rsidR="00CB156F" w:rsidRPr="00CC06D3" w:rsidRDefault="009C2505" w:rsidP="00CB156F">
      <w:pPr>
        <w:pStyle w:val="NormalHanging12a"/>
      </w:pPr>
      <w:r>
        <w:t>8.</w:t>
      </w:r>
      <w:r>
        <w:tab/>
        <w:t>subliniază că corupția rămâne un motiv serios de îngrijorare și că, în pofida progreselor înregistrate în ceea ce privește cadrul juridic și instituțional, Albania trebuie să își consolideze în continuare bilanțul în materie de anchete, urmăriri penale și condamnări definitive, în special în cazurile de corupție la nivel înalt;</w:t>
      </w:r>
    </w:p>
    <w:p w14:paraId="5018693B" w14:textId="77777777" w:rsidR="00CB156F" w:rsidRPr="00CC06D3" w:rsidRDefault="009C2505" w:rsidP="00CB156F">
      <w:pPr>
        <w:pStyle w:val="NormalHanging12a"/>
      </w:pPr>
      <w:r>
        <w:t>9.</w:t>
      </w:r>
      <w:r>
        <w:tab/>
        <w:t>insistă că corupția trebuie abordată la toate nivelurile pentru a întări încrederea cetățenilor în instituțiile statului și pentru a permite un mediu de afaceri previzibil;</w:t>
      </w:r>
    </w:p>
    <w:p w14:paraId="5389D90B" w14:textId="77777777" w:rsidR="00CB156F" w:rsidRPr="00CC06D3" w:rsidRDefault="009C2505" w:rsidP="00CB156F">
      <w:pPr>
        <w:pStyle w:val="NormalHanging12a"/>
      </w:pPr>
      <w:r>
        <w:t>10.</w:t>
      </w:r>
      <w:r>
        <w:tab/>
        <w:t>subliniază importanța combaterii eficace a criminalității organizate, inclusiv a rețelelor de spălare a banilor și de trafic de droguri, și solicită intensificarea cooperării cu agențiile UE, cum ar fi Europol și Eurojust;</w:t>
      </w:r>
    </w:p>
    <w:p w14:paraId="6A586850" w14:textId="77777777" w:rsidR="00CB156F" w:rsidRPr="00CC06D3" w:rsidRDefault="009C2505" w:rsidP="00CB156F">
      <w:pPr>
        <w:pStyle w:val="NormalHanging12a"/>
        <w:rPr>
          <w:b/>
          <w:bCs/>
          <w:i/>
          <w:iCs/>
        </w:rPr>
      </w:pPr>
      <w:r>
        <w:rPr>
          <w:b/>
          <w:i/>
        </w:rPr>
        <w:t>Drepturile fundamentale și libertatea mass-mediei</w:t>
      </w:r>
    </w:p>
    <w:p w14:paraId="5CA6C5CA" w14:textId="77777777" w:rsidR="00CB156F" w:rsidRPr="00CC06D3" w:rsidRDefault="009C2505" w:rsidP="00CB156F">
      <w:pPr>
        <w:pStyle w:val="NormalHanging12a"/>
      </w:pPr>
      <w:r>
        <w:t>11.</w:t>
      </w:r>
      <w:r>
        <w:tab/>
        <w:t>solicită eforturi suplimentare pentru a proteja libertatea de exprimare și pluralismul mass-mediei, inclusiv o mai mare transparență a posibilelor conflicte de interese ale proprietarilor de mass-media, garanții împotriva presiunii politice și economice asupra ziariștilor și investigarea eficace a amenințărilor și atacurilor împotriva profesioniștilor din domeniul mass-mediei;</w:t>
      </w:r>
    </w:p>
    <w:p w14:paraId="04FEB279" w14:textId="77777777" w:rsidR="00CB156F" w:rsidRPr="00CC06D3" w:rsidRDefault="009C2505" w:rsidP="00CB156F">
      <w:pPr>
        <w:pStyle w:val="NormalHanging12a"/>
      </w:pPr>
      <w:r>
        <w:t>12.</w:t>
      </w:r>
      <w:r>
        <w:tab/>
        <w:t>încurajează Albania să întărească cadrul instituțional pentru protecția minorităților și a grupurilor vulnerabile, inclusiv a romilor și a egiptenilor, a persoanelor cu dizabilități, a lucrătorilor migranți și a persoanelor LGBTIQ +, și să asigure punerea în aplicare eficace a legislației de combatere a discriminării; este preocupat de retorica împotriva egalității de gen prezentă în discursul politic;</w:t>
      </w:r>
    </w:p>
    <w:p w14:paraId="3A118880" w14:textId="77777777" w:rsidR="00CB156F" w:rsidRPr="00CC06D3" w:rsidRDefault="009C2505" w:rsidP="00CB156F">
      <w:pPr>
        <w:pStyle w:val="NormalHanging12a"/>
      </w:pPr>
      <w:r>
        <w:t>13.</w:t>
      </w:r>
      <w:r>
        <w:tab/>
        <w:t>subliniază necesitatea de a îmbunătăți accesul la justiție, în special pentru grupurile vulnerabile și marginalizate;</w:t>
      </w:r>
    </w:p>
    <w:p w14:paraId="4DAE6759" w14:textId="77777777" w:rsidR="00CB156F" w:rsidRPr="00CC06D3" w:rsidRDefault="009C2505" w:rsidP="00CB156F">
      <w:pPr>
        <w:pStyle w:val="NormalHanging12a"/>
        <w:rPr>
          <w:b/>
          <w:bCs/>
          <w:i/>
          <w:iCs/>
        </w:rPr>
      </w:pPr>
      <w:r>
        <w:rPr>
          <w:b/>
          <w:i/>
        </w:rPr>
        <w:t>Reforma și guvernanța administrației publice</w:t>
      </w:r>
    </w:p>
    <w:p w14:paraId="36BF9ACC" w14:textId="77777777" w:rsidR="00CB156F" w:rsidRPr="00CC06D3" w:rsidRDefault="009C2505" w:rsidP="00CB156F">
      <w:pPr>
        <w:pStyle w:val="NormalHanging12a"/>
      </w:pPr>
      <w:r>
        <w:t>14.</w:t>
      </w:r>
      <w:r>
        <w:tab/>
        <w:t>recunoaște progresele înregistrate în reforma administrației publice, inclusiv în ceea ce privește planificarea și coordonarea strategice; subliniază, cu toate acestea, că sunt necesare eforturi suplimentare pentru a asigura recrutarea pe bază de merit și depolitizarea administrației publice;</w:t>
      </w:r>
    </w:p>
    <w:p w14:paraId="6FA2594D" w14:textId="77777777" w:rsidR="00CB156F" w:rsidRPr="00CC06D3" w:rsidRDefault="009C2505" w:rsidP="00CB156F">
      <w:pPr>
        <w:pStyle w:val="NormalHanging12a"/>
      </w:pPr>
      <w:r>
        <w:t>15.</w:t>
      </w:r>
      <w:r>
        <w:tab/>
        <w:t>solicită o mai bună planificare a politicilor, un proces decizional bazat pe dovezi și procese bugetare transparente, inclusiv un control parlamentar întărit al finanțelor publice;</w:t>
      </w:r>
    </w:p>
    <w:p w14:paraId="4248CCF8" w14:textId="77777777" w:rsidR="00CB156F" w:rsidRPr="00CC06D3" w:rsidRDefault="009C2505" w:rsidP="00CB156F">
      <w:pPr>
        <w:pStyle w:val="NormalHanging12a"/>
        <w:rPr>
          <w:b/>
          <w:bCs/>
          <w:i/>
          <w:iCs/>
        </w:rPr>
      </w:pPr>
      <w:r>
        <w:rPr>
          <w:b/>
          <w:i/>
        </w:rPr>
        <w:t>Reformele socioeconomice și mediul</w:t>
      </w:r>
    </w:p>
    <w:p w14:paraId="7DEC1271" w14:textId="77777777" w:rsidR="00CB156F" w:rsidRPr="00CC06D3" w:rsidRDefault="009C2505" w:rsidP="00CB156F">
      <w:pPr>
        <w:pStyle w:val="NormalHanging12a"/>
      </w:pPr>
      <w:r>
        <w:t>16.</w:t>
      </w:r>
      <w:r>
        <w:tab/>
        <w:t xml:space="preserve">salută implicarea Albaniei în punerea în aplicare a Planului de creștere al UE pentru Balcanii de Vest; </w:t>
      </w:r>
      <w:r>
        <w:t>constată, cu toate acestea, că persistă deficiențe structurale, inclusiv caracterul informal, creșterea limitată a productivității și un mediu de afaceri dificil; reiterează importanța îmbunătățirii infrastructurii de transport dintre țările din Balcanii de Vest și a dezvoltării legăturilor cu statele membre ale UE;</w:t>
      </w:r>
    </w:p>
    <w:p w14:paraId="648C7CC6" w14:textId="77777777" w:rsidR="00CB156F" w:rsidRPr="00CC06D3" w:rsidRDefault="009C2505" w:rsidP="00CB156F">
      <w:pPr>
        <w:pStyle w:val="NormalHanging12a"/>
      </w:pPr>
      <w:r>
        <w:t>17.</w:t>
      </w:r>
      <w:r>
        <w:tab/>
        <w:t>subliniază importanța investițiilor în educație, dezvoltarea competențelor și inovare pentru a sprijini creșterea sustenabilă și coeziunea socială;</w:t>
      </w:r>
    </w:p>
    <w:p w14:paraId="7C9B9E5A" w14:textId="77777777" w:rsidR="00CB156F" w:rsidRPr="00CC06D3" w:rsidRDefault="009C2505" w:rsidP="00CB156F">
      <w:pPr>
        <w:pStyle w:val="NormalHanging12a"/>
      </w:pPr>
      <w:r>
        <w:t>18.</w:t>
      </w:r>
      <w:r>
        <w:tab/>
        <w:t>subliniază importanța esențială a unui dialog social veritabil pentru ca beneficiile extinderii să fie resimțite de diferitele segmente ale populației; regretă frecvența scăzută a reuniunilor Consiliului Național al Muncii; solicită întărirea procesului de consultare tripartită, inclusiv o reprezentare sindicală adecvată; subliniază necesitatea de a sprijini în continuare consolidarea capacităților partenerilor sociali;</w:t>
      </w:r>
    </w:p>
    <w:p w14:paraId="7916EE82" w14:textId="77777777" w:rsidR="00CB156F" w:rsidRPr="00CC06D3" w:rsidRDefault="009C2505" w:rsidP="00CB156F">
      <w:pPr>
        <w:pStyle w:val="NormalHanging12a"/>
      </w:pPr>
      <w:r>
        <w:t>19.</w:t>
      </w:r>
      <w:r>
        <w:tab/>
        <w:t>ia act cu îngrijorare de evaluarea Comisiei potrivit căreia nu s-au înregistrat progrese în ceea ce privește mediul și schimbările climatice în ultimul an;</w:t>
      </w:r>
    </w:p>
    <w:p w14:paraId="7FC8EF54" w14:textId="77777777" w:rsidR="00CB156F" w:rsidRPr="00CC06D3" w:rsidRDefault="009C2505" w:rsidP="00CB156F">
      <w:pPr>
        <w:pStyle w:val="NormalHanging12a"/>
        <w:rPr>
          <w:b/>
          <w:bCs/>
          <w:i/>
          <w:iCs/>
        </w:rPr>
      </w:pPr>
      <w:r>
        <w:rPr>
          <w:b/>
          <w:i/>
        </w:rPr>
        <w:t>Politica externă și cooperarea regională</w:t>
      </w:r>
    </w:p>
    <w:p w14:paraId="5A925E54" w14:textId="77777777" w:rsidR="00CB156F" w:rsidRPr="00CC06D3" w:rsidRDefault="009C2505" w:rsidP="00CB156F">
      <w:pPr>
        <w:pStyle w:val="NormalHanging12a"/>
      </w:pPr>
      <w:r>
        <w:t>20.</w:t>
      </w:r>
      <w:r>
        <w:tab/>
        <w:t>salută alinierea deplină continuă a Albaniei la politica externă și de securitate comună a UE, inclusiv la măsurile restrictive, implicarea continuă a Albaniei în misiunile și operațiunile PSAC, precum și rolul său constructiv în promovarea stabilității regionale;</w:t>
      </w:r>
    </w:p>
    <w:p w14:paraId="3C399D40" w14:textId="77777777" w:rsidR="00CB156F" w:rsidRPr="00CC06D3" w:rsidRDefault="009C2505" w:rsidP="00CB156F">
      <w:pPr>
        <w:pStyle w:val="NormalHanging12a"/>
      </w:pPr>
      <w:r>
        <w:t>21.</w:t>
      </w:r>
      <w:r>
        <w:tab/>
        <w:t>subliniază importanța relațiilor de bună vecinătate și a cooperării regionale ca elemente esențiale ale procesului de extindere și salută participarea activă a Albaniei la inițiativele regionale;</w:t>
      </w:r>
    </w:p>
    <w:p w14:paraId="095266D6" w14:textId="77777777" w:rsidR="00CB156F" w:rsidRPr="00CC06D3" w:rsidRDefault="009C2505" w:rsidP="00CB156F">
      <w:pPr>
        <w:pStyle w:val="NormalHanging12a"/>
        <w:rPr>
          <w:b/>
          <w:bCs/>
          <w:i/>
          <w:iCs/>
        </w:rPr>
      </w:pPr>
      <w:r>
        <w:rPr>
          <w:b/>
          <w:i/>
        </w:rPr>
        <w:t>Sprijinul UE</w:t>
      </w:r>
    </w:p>
    <w:p w14:paraId="393FD744" w14:textId="77777777" w:rsidR="00CB156F" w:rsidRPr="00CC06D3" w:rsidRDefault="009C2505" w:rsidP="00CB156F">
      <w:pPr>
        <w:pStyle w:val="NormalHanging12a"/>
      </w:pPr>
      <w:r>
        <w:t>22.</w:t>
      </w:r>
      <w:r>
        <w:tab/>
        <w:t>salută asistența financiară și tehnică acordată de UE Albaniei în cadrul IPA III și al Mecanismului de reformă și creștere și subliniază că un astfel de sprijin trebuie să rămână strâns legat de punerea în aplicare concretă a reformelor și de rezultate măsurabile;</w:t>
      </w:r>
    </w:p>
    <w:p w14:paraId="61321608" w14:textId="77777777" w:rsidR="00FD55C5" w:rsidRPr="00CC06D3" w:rsidRDefault="009C2505" w:rsidP="00FD55C5">
      <w:pPr>
        <w:pStyle w:val="NormalHanging12a"/>
        <w:jc w:val="center"/>
      </w:pPr>
      <w:r>
        <w:t>°</w:t>
      </w:r>
    </w:p>
    <w:p w14:paraId="598411F0" w14:textId="77777777" w:rsidR="00FD55C5" w:rsidRPr="00CC06D3" w:rsidRDefault="009C2505" w:rsidP="00454E1B">
      <w:pPr>
        <w:pStyle w:val="NormalHanging12a"/>
        <w:jc w:val="center"/>
      </w:pPr>
      <w:r>
        <w:t>°</w:t>
      </w:r>
      <w:r>
        <w:tab/>
        <w:t>°</w:t>
      </w:r>
    </w:p>
    <w:p w14:paraId="3AB106A5" w14:textId="77777777" w:rsidR="00CB156F" w:rsidRPr="00CC06D3" w:rsidRDefault="009C2505" w:rsidP="00CB156F">
      <w:pPr>
        <w:pStyle w:val="NormalHanging12a"/>
        <w:rPr>
          <w:bCs/>
          <w:iCs/>
        </w:rPr>
      </w:pPr>
      <w:r>
        <w:t>23.</w:t>
      </w:r>
      <w:r>
        <w:tab/>
        <w:t>încredințează Președintei sarcina de a transmite prezenta rezoluție Președintelui Consiliului European, Consiliului, Comisiei, Vicepreședintei Comisiei/Înaltei Reprezentante a Uniunii pentru afaceri externe și politica de securitate, guvernelor și parlamentelor statelor membre, precum și Președintelui, Guvernului și Parlamentului Republicii Albania.</w:t>
      </w:r>
    </w:p>
    <w:p w14:paraId="3458B558" w14:textId="77777777" w:rsidR="00CB156F" w:rsidRPr="00CC06D3" w:rsidRDefault="00CB156F" w:rsidP="00CB156F"/>
    <w:p w14:paraId="4A31BCCC" w14:textId="77777777" w:rsidR="00276B35" w:rsidRPr="00CC06D3" w:rsidRDefault="00276B35" w:rsidP="00F3651F">
      <w:pPr>
        <w:sectPr w:rsidR="00276B35" w:rsidRPr="00CC06D3" w:rsidSect="005904E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124B10D" w14:textId="77777777" w:rsidR="00276B35" w:rsidRPr="00CC06D3" w:rsidRDefault="009C2505" w:rsidP="00276B35">
      <w:pPr>
        <w:pStyle w:val="PageHeading"/>
      </w:pPr>
      <w:bookmarkStart w:id="1" w:name="_Toc223426992"/>
      <w:r>
        <w:t>EXPUNERE DE MOTIVE</w:t>
      </w:r>
      <w:bookmarkEnd w:id="1"/>
    </w:p>
    <w:p w14:paraId="27A942D9" w14:textId="77777777" w:rsidR="00CB156F" w:rsidRPr="00CC06D3" w:rsidRDefault="009C2505" w:rsidP="00CB156F">
      <w:pPr>
        <w:pStyle w:val="Normal12a"/>
      </w:pPr>
      <w:r>
        <w:t>Prezentul raport evaluează situația actuală și cele mai recente evoluții în ce privește progresele înregistrate de Albania pe calea aderării la UE. Acesta cuprinde răspunsul Parlamentului la raportul Comisiei pe 2025 privind extinderea.</w:t>
      </w:r>
    </w:p>
    <w:p w14:paraId="237653E1" w14:textId="77777777" w:rsidR="00CB156F" w:rsidRPr="00CC06D3" w:rsidRDefault="009C2505" w:rsidP="00CB156F">
      <w:pPr>
        <w:pStyle w:val="Normal12a"/>
      </w:pPr>
      <w:r>
        <w:t>Albania este țară candidată la aderarea la UE din 2014, a început negocierile de aderare în iulie 2022, a finalizat cu succes procesul de examinare analitică în noiembrie 2023 și a deschis toate grupurile tematice de negociere între 15 octombrie 2024 și 17 noiembrie 2025 într-un timp record de puțin peste un an.</w:t>
      </w:r>
    </w:p>
    <w:p w14:paraId="0D7C9870" w14:textId="77777777" w:rsidR="00CB156F" w:rsidRPr="00CC06D3" w:rsidRDefault="009C2505" w:rsidP="00CB156F">
      <w:pPr>
        <w:pStyle w:val="Normal12a"/>
      </w:pPr>
      <w:r>
        <w:t>În acest an și în anul următor, Albania va trebui să mențină dinamica necesară pentru a-și îndeplini obiectivul de a fi pregătită pentru aderarea la UE până la sfârșitul anului 2027. Acest lucru ar permite statelor membre să procedeze la ratificarea tratatului de aderare a Albaniei la UE până la sfârșitul deceniului. În această etapă următoare, punerea în aplicare efectivă pe teren a reformelor adoptate va fi esențială.</w:t>
      </w:r>
    </w:p>
    <w:p w14:paraId="7FF0AEEA" w14:textId="77777777" w:rsidR="00CB156F" w:rsidRPr="00CC06D3" w:rsidRDefault="009C2505" w:rsidP="00CB156F">
      <w:pPr>
        <w:pStyle w:val="Normal12a"/>
      </w:pPr>
      <w:r>
        <w:t>Prezentul raport evaluează progresele înregistrate de Albania în ceea ce privește instituțiile sale democratice, libertatea mass-mediei, implicarea societății civile, drepturile fundamentale, statul de drept, reformele socioeconomice, mediul, cooperarea regională și politica externă.</w:t>
      </w:r>
    </w:p>
    <w:p w14:paraId="4F7349FB" w14:textId="77777777" w:rsidR="00CB156F" w:rsidRPr="00CC06D3" w:rsidRDefault="009C2505" w:rsidP="00CB156F">
      <w:pPr>
        <w:pStyle w:val="Normal12a"/>
      </w:pPr>
      <w:r>
        <w:t>În pofida progreselor înregistrate, Albania se confruntă în continuare cu o serie de încercări, cum ar fi depășirea polarizării politice interne și îmbunătățirea culturii politice, întărirea statului de drept și consolidarea reformelor anticorupție.</w:t>
      </w:r>
    </w:p>
    <w:p w14:paraId="14EA0F82" w14:textId="77777777" w:rsidR="00CB156F" w:rsidRPr="00CC06D3" w:rsidRDefault="009C2505" w:rsidP="00CB156F">
      <w:pPr>
        <w:pStyle w:val="Normal12a"/>
      </w:pPr>
      <w:r>
        <w:t>Raportul din acest an pune un accent deosebit pe reformele socioeconomice și subliniază importanța majoră a unui dialog social veritabil pentru ca toate segmentele populației să se bucure de beneficiile extinderii.</w:t>
      </w:r>
    </w:p>
    <w:p w14:paraId="7261A239" w14:textId="77777777" w:rsidR="00276B35" w:rsidRPr="00CC06D3" w:rsidRDefault="00276B35" w:rsidP="00276B35">
      <w:pPr>
        <w:pStyle w:val="Normal12a"/>
      </w:pPr>
    </w:p>
    <w:p w14:paraId="26996729" w14:textId="77777777" w:rsidR="0066499D" w:rsidRPr="00CC06D3" w:rsidRDefault="0066499D">
      <w:pPr>
        <w:widowControl/>
        <w:sectPr w:rsidR="0066499D" w:rsidRPr="00CC06D3" w:rsidSect="00CB156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174C82" w14:textId="77777777" w:rsidR="0066499D" w:rsidRPr="00CC06D3" w:rsidRDefault="0066499D">
      <w:pPr>
        <w:widowControl/>
      </w:pPr>
    </w:p>
    <w:p w14:paraId="26DF1568" w14:textId="77777777" w:rsidR="0066499D" w:rsidRPr="00CC06D3" w:rsidRDefault="009C2505" w:rsidP="007041CC">
      <w:pPr>
        <w:pStyle w:val="PageHeading"/>
        <w:rPr>
          <w:noProof/>
        </w:rPr>
      </w:pPr>
      <w:bookmarkStart w:id="2" w:name="FootprintPageRR"/>
      <w:bookmarkStart w:id="3" w:name="_Toc223426993"/>
      <w:r>
        <w:t>ANEXĂ: DECLARAȚIE PRIVIND CONTRIBUȚIILE</w:t>
      </w:r>
      <w:bookmarkEnd w:id="3"/>
    </w:p>
    <w:p w14:paraId="57450C20" w14:textId="77777777" w:rsidR="0066499D" w:rsidRPr="00CC06D3" w:rsidRDefault="009C2505" w:rsidP="00B31C6A">
      <w:pPr>
        <w:pStyle w:val="Normal24a"/>
        <w:spacing w:after="240"/>
      </w:pPr>
      <w:r>
        <w:rPr>
          <w:rStyle w:val="HideTWBExt"/>
        </w:rPr>
        <w:t>&lt;FootprintIntro&gt;</w:t>
      </w:r>
      <w:r>
        <w:t xml:space="preserve">În conformitate cu articolul 8 din anexa I la Regulamentul de </w:t>
      </w:r>
      <w:r>
        <w:t>procedură, raportorul declară că a inclus în raportul său contribuții privind aspecte care țin de subiectul dosarului, pe care le-a primit pentru elaborarea proiectului de raport de la următorii reprezentanți de interese care intră sub incidența Acordului interinstituțional privind un registru de transparență obligatoriu</w:t>
      </w:r>
      <w:r>
        <w:rPr>
          <w:rStyle w:val="FootnoteReference"/>
        </w:rPr>
        <w:footnoteReference w:id="4"/>
      </w:r>
      <w:r>
        <w:t>, sau de la următorii reprezentanți ai autorităților publice din țările terțe, inclusiv misiuni diplomatice și ambasade ale acestora:</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54162" w14:paraId="01742B47" w14:textId="77777777" w:rsidTr="00A81CDF">
        <w:tc>
          <w:tcPr>
            <w:tcW w:w="9060" w:type="dxa"/>
            <w:shd w:val="clear" w:color="auto" w:fill="auto"/>
          </w:tcPr>
          <w:p w14:paraId="0EEEFD32" w14:textId="77777777" w:rsidR="0066499D" w:rsidRPr="00CC06D3" w:rsidRDefault="009C2505" w:rsidP="00F42F07">
            <w:pPr>
              <w:pStyle w:val="NormalBoldCenter"/>
            </w:pPr>
            <w:r>
              <w:t>1. Reprezentanți de interese care intră sub incidența Acordului interinstituțional privind un registru de transparență obligatoriu</w:t>
            </w:r>
          </w:p>
        </w:tc>
      </w:tr>
      <w:tr w:rsidR="00B54162" w14:paraId="67145F5E" w14:textId="77777777" w:rsidTr="00A81CDF">
        <w:tc>
          <w:tcPr>
            <w:tcW w:w="9060" w:type="dxa"/>
            <w:shd w:val="clear" w:color="auto" w:fill="auto"/>
          </w:tcPr>
          <w:p w14:paraId="60ACFA8A" w14:textId="77777777" w:rsidR="0066499D" w:rsidRPr="00CC06D3" w:rsidRDefault="0066499D" w:rsidP="00D47F5D">
            <w:pPr>
              <w:pStyle w:val="NormalSingle"/>
            </w:pPr>
          </w:p>
        </w:tc>
      </w:tr>
      <w:tr w:rsidR="00B54162" w14:paraId="4E889AB8" w14:textId="77777777" w:rsidTr="00A81CDF">
        <w:tc>
          <w:tcPr>
            <w:tcW w:w="9060" w:type="dxa"/>
            <w:shd w:val="clear" w:color="auto" w:fill="auto"/>
          </w:tcPr>
          <w:p w14:paraId="139B7949" w14:textId="77777777" w:rsidR="0066499D" w:rsidRPr="00CC06D3" w:rsidRDefault="009C2505" w:rsidP="001666EA">
            <w:pPr>
              <w:pStyle w:val="NormalBoldCenter"/>
            </w:pPr>
            <w:r>
              <w:t>2. Reprezentanți ai autorităților publice din țările terțe, inclusiv misiuni diplomatice și ambasade ale acestora</w:t>
            </w:r>
          </w:p>
        </w:tc>
      </w:tr>
      <w:tr w:rsidR="00B54162" w14:paraId="619D7392" w14:textId="77777777" w:rsidTr="00A81CDF">
        <w:tc>
          <w:tcPr>
            <w:tcW w:w="9060" w:type="dxa"/>
            <w:shd w:val="clear" w:color="auto" w:fill="auto"/>
          </w:tcPr>
          <w:p w14:paraId="69A45D55" w14:textId="77777777" w:rsidR="0066499D" w:rsidRPr="00CC06D3" w:rsidRDefault="009C2505" w:rsidP="00C6630E">
            <w:r>
              <w:t>Government of Republic of Albania</w:t>
            </w:r>
          </w:p>
        </w:tc>
      </w:tr>
      <w:tr w:rsidR="00B54162" w14:paraId="533B295E" w14:textId="77777777" w:rsidTr="00A81CDF">
        <w:tc>
          <w:tcPr>
            <w:tcW w:w="9060" w:type="dxa"/>
            <w:shd w:val="clear" w:color="auto" w:fill="auto"/>
          </w:tcPr>
          <w:p w14:paraId="7067A53E" w14:textId="77777777" w:rsidR="00753CC4" w:rsidRPr="00CC06D3" w:rsidRDefault="009C2505" w:rsidP="00C6630E">
            <w:r>
              <w:t>Members of Parliament of the Republic of Albania </w:t>
            </w:r>
          </w:p>
        </w:tc>
      </w:tr>
    </w:tbl>
    <w:p w14:paraId="1FAEE014" w14:textId="77777777" w:rsidR="0066499D" w:rsidRPr="00CC06D3" w:rsidRDefault="009C2505" w:rsidP="00086351">
      <w:pPr>
        <w:pStyle w:val="Footprint12b"/>
      </w:pPr>
      <w:r>
        <w:t>Raportorul elaborează lista de mai sus pe propria răspundere.</w:t>
      </w:r>
    </w:p>
    <w:p w14:paraId="12D72C72" w14:textId="77777777" w:rsidR="0066499D" w:rsidRPr="00CC06D3" w:rsidRDefault="009C2505" w:rsidP="00B7198C">
      <w:pPr>
        <w:pStyle w:val="Footprint12b"/>
      </w:pPr>
      <w:r>
        <w:t xml:space="preserve">Dacă în listă sunt identificate persoane fizice prin numele sau funcția lor ori prin ambele elemente, raportorul declară că a transmis </w:t>
      </w:r>
      <w:r>
        <w:t>persoanelor fizice în cauză Avizul nr. 484 al Parlamentului European privind protecția datelor (</w:t>
      </w:r>
      <w:hyperlink r:id="rId14" w:history="1">
        <w:r>
          <w:rPr>
            <w:rStyle w:val="Hyperlink"/>
          </w:rPr>
          <w:t>https://www.europarl.europa.eu/data-protect/index.do</w:t>
        </w:r>
      </w:hyperlink>
      <w:r>
        <w:t>), în care sunt stabilite condițiile în care sunt prelucrate datele lor cu caracter personal, precum și drepturile legate de prelucrarea respectivă.</w:t>
      </w:r>
    </w:p>
    <w:p w14:paraId="63D0C856" w14:textId="77777777" w:rsidR="0066499D" w:rsidRPr="00CC06D3" w:rsidRDefault="0066499D" w:rsidP="00646AD2">
      <w:pPr>
        <w:pStyle w:val="Footprint12b"/>
      </w:pPr>
    </w:p>
    <w:p w14:paraId="5BA26A8D" w14:textId="77777777" w:rsidR="0066499D" w:rsidRPr="00CC06D3" w:rsidRDefault="0066499D" w:rsidP="0066499D"/>
    <w:bookmarkEnd w:id="2"/>
    <w:p w14:paraId="00DE7EDD" w14:textId="77777777" w:rsidR="00100069" w:rsidRPr="00CC06D3" w:rsidRDefault="00100069" w:rsidP="00F3651F"/>
    <w:sectPr w:rsidR="00100069" w:rsidRPr="00CC06D3" w:rsidSect="00CB156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CF922" w14:textId="77777777" w:rsidR="009C2505" w:rsidRDefault="009C2505">
      <w:r>
        <w:separator/>
      </w:r>
    </w:p>
  </w:endnote>
  <w:endnote w:type="continuationSeparator" w:id="0">
    <w:p w14:paraId="3968D1A1" w14:textId="77777777" w:rsidR="009C2505" w:rsidRDefault="009C2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F9FBC" w14:textId="77777777" w:rsidR="005904E0" w:rsidRPr="00CC06D3" w:rsidRDefault="009C2505" w:rsidP="005904E0">
    <w:pPr>
      <w:pStyle w:val="EPFooter"/>
    </w:pPr>
    <w:r w:rsidRPr="00CC06D3">
      <w:t>PE</w:t>
    </w:r>
    <w:r w:rsidRPr="00CC06D3">
      <w:rPr>
        <w:rStyle w:val="HideTWBExt"/>
      </w:rPr>
      <w:t>&lt;NoPE&gt;</w:t>
    </w:r>
    <w:r w:rsidRPr="00CC06D3">
      <w:t>784.259</w:t>
    </w:r>
    <w:r w:rsidRPr="00CC06D3">
      <w:rPr>
        <w:rStyle w:val="HideTWBExt"/>
      </w:rPr>
      <w:t>&lt;/NoPE&gt;&lt;Version&gt;</w:t>
    </w:r>
    <w:r w:rsidRPr="00CC06D3">
      <w:t>v01-00</w:t>
    </w:r>
    <w:r w:rsidRPr="00CC06D3">
      <w:rPr>
        <w:rStyle w:val="HideTWBExt"/>
      </w:rPr>
      <w:t>&lt;/Version&gt;</w:t>
    </w:r>
    <w:r w:rsidRPr="00CC06D3">
      <w:tab/>
    </w:r>
    <w:r w:rsidRPr="00CC06D3">
      <w:fldChar w:fldCharType="begin"/>
    </w:r>
    <w:r w:rsidRPr="00CC06D3">
      <w:instrText xml:space="preserve"> PAGE  \* MERGEFORMAT </w:instrText>
    </w:r>
    <w:r w:rsidRPr="00CC06D3">
      <w:fldChar w:fldCharType="separate"/>
    </w:r>
    <w:r w:rsidRPr="00CC06D3">
      <w:rPr>
        <w:noProof/>
      </w:rPr>
      <w:t>2</w:t>
    </w:r>
    <w:r w:rsidRPr="00CC06D3">
      <w:fldChar w:fldCharType="end"/>
    </w:r>
    <w:r w:rsidRPr="00CC06D3">
      <w:t>/</w:t>
    </w:r>
    <w:r w:rsidRPr="00CC06D3">
      <w:fldChar w:fldCharType="begin"/>
    </w:r>
    <w:r>
      <w:instrText xml:space="preserve"> NUMPAGES  \* MERGEFORMAT </w:instrText>
    </w:r>
    <w:r w:rsidRPr="00CC06D3">
      <w:fldChar w:fldCharType="separate"/>
    </w:r>
    <w:r w:rsidRPr="00CC06D3">
      <w:rPr>
        <w:noProof/>
      </w:rPr>
      <w:t>9</w:t>
    </w:r>
    <w:r w:rsidRPr="00CC06D3">
      <w:rPr>
        <w:noProof/>
      </w:rPr>
      <w:fldChar w:fldCharType="end"/>
    </w:r>
    <w:r w:rsidRPr="00CC06D3">
      <w:tab/>
    </w:r>
    <w:r w:rsidRPr="00CC06D3">
      <w:rPr>
        <w:rStyle w:val="HideTWBExt"/>
      </w:rPr>
      <w:t>&lt;PathFdR&gt;</w:t>
    </w:r>
    <w:r w:rsidRPr="00CC06D3">
      <w:t>PR\1336685RO.docx</w:t>
    </w:r>
    <w:r w:rsidRPr="00CC06D3">
      <w:rPr>
        <w:rStyle w:val="HideTWBExt"/>
      </w:rPr>
      <w:t>&lt;/PathFdR&gt;</w:t>
    </w:r>
  </w:p>
  <w:p w14:paraId="19FFC1CC" w14:textId="77777777" w:rsidR="00100069" w:rsidRPr="00CC06D3" w:rsidRDefault="009C2505" w:rsidP="005904E0">
    <w:pPr>
      <w:pStyle w:val="EPFooter2"/>
    </w:pPr>
    <w:r w:rsidRPr="00CC06D3">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0C712" w14:textId="77777777" w:rsidR="005904E0" w:rsidRPr="00CC06D3" w:rsidRDefault="009C2505" w:rsidP="005904E0">
    <w:pPr>
      <w:pStyle w:val="EPFooter"/>
    </w:pPr>
    <w:r w:rsidRPr="00CC06D3">
      <w:rPr>
        <w:rStyle w:val="HideTWBExt"/>
      </w:rPr>
      <w:t>&lt;PathFdR&gt;</w:t>
    </w:r>
    <w:r w:rsidRPr="00CC06D3">
      <w:t>PR\1336685RO.docx</w:t>
    </w:r>
    <w:r w:rsidRPr="00CC06D3">
      <w:rPr>
        <w:rStyle w:val="HideTWBExt"/>
      </w:rPr>
      <w:t>&lt;/PathFdR&gt;</w:t>
    </w:r>
    <w:r w:rsidRPr="00CC06D3">
      <w:tab/>
    </w:r>
    <w:r w:rsidRPr="00CC06D3">
      <w:fldChar w:fldCharType="begin"/>
    </w:r>
    <w:r w:rsidRPr="00CC06D3">
      <w:instrText xml:space="preserve"> PAGE  \* MERGEFORMAT </w:instrText>
    </w:r>
    <w:r w:rsidRPr="00CC06D3">
      <w:fldChar w:fldCharType="separate"/>
    </w:r>
    <w:r w:rsidRPr="00CC06D3">
      <w:rPr>
        <w:noProof/>
      </w:rPr>
      <w:t>7</w:t>
    </w:r>
    <w:r w:rsidRPr="00CC06D3">
      <w:fldChar w:fldCharType="end"/>
    </w:r>
    <w:r w:rsidRPr="00CC06D3">
      <w:t>/</w:t>
    </w:r>
    <w:r w:rsidRPr="00CC06D3">
      <w:fldChar w:fldCharType="begin"/>
    </w:r>
    <w:r>
      <w:instrText xml:space="preserve"> NUMPAGES  \* MERGEFORMAT </w:instrText>
    </w:r>
    <w:r w:rsidRPr="00CC06D3">
      <w:fldChar w:fldCharType="separate"/>
    </w:r>
    <w:r w:rsidRPr="00CC06D3">
      <w:rPr>
        <w:noProof/>
      </w:rPr>
      <w:t>9</w:t>
    </w:r>
    <w:r w:rsidRPr="00CC06D3">
      <w:rPr>
        <w:noProof/>
      </w:rPr>
      <w:fldChar w:fldCharType="end"/>
    </w:r>
    <w:r w:rsidRPr="00CC06D3">
      <w:tab/>
      <w:t>PE</w:t>
    </w:r>
    <w:r w:rsidRPr="00CC06D3">
      <w:rPr>
        <w:rStyle w:val="HideTWBExt"/>
      </w:rPr>
      <w:t>&lt;NoPE&gt;</w:t>
    </w:r>
    <w:r w:rsidRPr="00CC06D3">
      <w:t>784.259</w:t>
    </w:r>
    <w:r w:rsidRPr="00CC06D3">
      <w:rPr>
        <w:rStyle w:val="HideTWBExt"/>
      </w:rPr>
      <w:t>&lt;/NoPE&gt;&lt;Version&gt;</w:t>
    </w:r>
    <w:r w:rsidRPr="00CC06D3">
      <w:t>v01-00</w:t>
    </w:r>
    <w:r w:rsidRPr="00CC06D3">
      <w:rPr>
        <w:rStyle w:val="HideTWBExt"/>
      </w:rPr>
      <w:t>&lt;/Version&gt;</w:t>
    </w:r>
  </w:p>
  <w:p w14:paraId="55F1CD69" w14:textId="77777777" w:rsidR="00100069" w:rsidRPr="00CC06D3" w:rsidRDefault="009C2505" w:rsidP="005904E0">
    <w:pPr>
      <w:pStyle w:val="EPFooter2"/>
    </w:pPr>
    <w:r w:rsidRPr="00CC06D3">
      <w:tab/>
    </w:r>
    <w:r w:rsidRPr="00CC06D3">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D47D0" w14:textId="77777777" w:rsidR="005904E0" w:rsidRPr="00CC06D3" w:rsidRDefault="009C2505" w:rsidP="005904E0">
    <w:pPr>
      <w:pStyle w:val="EPFooter"/>
    </w:pPr>
    <w:r w:rsidRPr="00CC06D3">
      <w:rPr>
        <w:rStyle w:val="HideTWBExt"/>
      </w:rPr>
      <w:t>&lt;PathFdR&gt;</w:t>
    </w:r>
    <w:r w:rsidRPr="00CC06D3">
      <w:t>PR\1336685RO.docx</w:t>
    </w:r>
    <w:r w:rsidRPr="00CC06D3">
      <w:rPr>
        <w:rStyle w:val="HideTWBExt"/>
      </w:rPr>
      <w:t>&lt;/PathFdR&gt;</w:t>
    </w:r>
    <w:r w:rsidRPr="00CC06D3">
      <w:tab/>
    </w:r>
    <w:r w:rsidRPr="00CC06D3">
      <w:tab/>
      <w:t>PE</w:t>
    </w:r>
    <w:r w:rsidRPr="00CC06D3">
      <w:rPr>
        <w:rStyle w:val="HideTWBExt"/>
      </w:rPr>
      <w:t>&lt;NoPE&gt;</w:t>
    </w:r>
    <w:r w:rsidRPr="00CC06D3">
      <w:t>784.259</w:t>
    </w:r>
    <w:r w:rsidRPr="00CC06D3">
      <w:rPr>
        <w:rStyle w:val="HideTWBExt"/>
      </w:rPr>
      <w:t>&lt;/NoPE&gt;&lt;Version&gt;</w:t>
    </w:r>
    <w:r w:rsidRPr="00CC06D3">
      <w:t>v01-00</w:t>
    </w:r>
    <w:r w:rsidRPr="00CC06D3">
      <w:rPr>
        <w:rStyle w:val="HideTWBExt"/>
      </w:rPr>
      <w:t>&lt;/Version&gt;</w:t>
    </w:r>
  </w:p>
  <w:p w14:paraId="7038D33F" w14:textId="77777777" w:rsidR="00100069" w:rsidRPr="00CC06D3" w:rsidRDefault="009C2505" w:rsidP="005904E0">
    <w:pPr>
      <w:pStyle w:val="EPFooter2"/>
    </w:pPr>
    <w:r w:rsidRPr="00CC06D3">
      <w:t>RO</w:t>
    </w:r>
    <w:r w:rsidRPr="00CC06D3">
      <w:tab/>
    </w:r>
    <w:r w:rsidRPr="00CC06D3">
      <w:rPr>
        <w:b w:val="0"/>
        <w:i/>
        <w:color w:val="C0C0C0"/>
        <w:sz w:val="22"/>
      </w:rPr>
      <w:t>Unită în diversitate</w:t>
    </w:r>
    <w:r w:rsidRPr="00CC06D3">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B9593" w14:textId="77777777" w:rsidR="003513CB" w:rsidRPr="00CC06D3" w:rsidRDefault="009C2505">
      <w:r w:rsidRPr="00CC06D3">
        <w:separator/>
      </w:r>
    </w:p>
  </w:footnote>
  <w:footnote w:type="continuationSeparator" w:id="0">
    <w:p w14:paraId="49A0D1F2" w14:textId="77777777" w:rsidR="003513CB" w:rsidRPr="00CC06D3" w:rsidRDefault="009C2505">
      <w:r w:rsidRPr="00CC06D3">
        <w:continuationSeparator/>
      </w:r>
    </w:p>
  </w:footnote>
  <w:footnote w:id="1">
    <w:p w14:paraId="0052AD52" w14:textId="77777777" w:rsidR="00CB156F" w:rsidRPr="00CC06D3" w:rsidRDefault="009C2505" w:rsidP="00CB156F">
      <w:pPr>
        <w:pStyle w:val="FootnoteText"/>
      </w:pPr>
      <w:r>
        <w:rPr>
          <w:rStyle w:val="FootnoteReference"/>
        </w:rPr>
        <w:footnoteRef/>
      </w:r>
      <w:r>
        <w:rPr>
          <w:rStyle w:val="FootnoteReference"/>
        </w:rPr>
        <w:t xml:space="preserve"> </w:t>
      </w:r>
      <w:r>
        <w:t xml:space="preserve">JO L 107, 28.4.2009, p. 166, ELI: </w:t>
      </w:r>
      <w:hyperlink r:id="rId1" w:tooltip="Oferă acces la acest document prin identificatorul său uniform de resurse ELI." w:history="1">
        <w:r>
          <w:t>http://data.europa.eu/eli/agree_internation/2009/332/oj</w:t>
        </w:r>
      </w:hyperlink>
      <w:r>
        <w:t>.</w:t>
      </w:r>
    </w:p>
  </w:footnote>
  <w:footnote w:id="2">
    <w:p w14:paraId="7ECFDBCE" w14:textId="77777777" w:rsidR="00CB156F" w:rsidRPr="00CC06D3" w:rsidRDefault="009C2505" w:rsidP="00CB156F">
      <w:pPr>
        <w:pStyle w:val="FootnoteText"/>
      </w:pPr>
      <w:r>
        <w:rPr>
          <w:rStyle w:val="FootnoteReference"/>
        </w:rPr>
        <w:footnoteRef/>
      </w:r>
      <w:r>
        <w:rPr>
          <w:rStyle w:val="FootnoteReference"/>
        </w:rPr>
        <w:t xml:space="preserve"> </w:t>
      </w:r>
      <w:r>
        <w:t xml:space="preserve">JO L 330, 20.9.2021, p. 1, ELI: </w:t>
      </w:r>
      <w:hyperlink r:id="rId2" w:tooltip="Oferă acces la acest document prin identificatorul său uniform de resurse ELI." w:history="1">
        <w:r>
          <w:t>http://data.europa.eu/eli/reg/2021/1529/oj</w:t>
        </w:r>
      </w:hyperlink>
      <w:r>
        <w:t>.</w:t>
      </w:r>
    </w:p>
  </w:footnote>
  <w:footnote w:id="3">
    <w:p w14:paraId="073076CF" w14:textId="77777777" w:rsidR="00CB156F" w:rsidRPr="00CC06D3" w:rsidRDefault="009C2505" w:rsidP="00CB156F">
      <w:pPr>
        <w:pStyle w:val="FootnoteText"/>
      </w:pPr>
      <w:r>
        <w:rPr>
          <w:rStyle w:val="FootnoteReference"/>
        </w:rPr>
        <w:footnoteRef/>
      </w:r>
      <w:r>
        <w:rPr>
          <w:rStyle w:val="FootnoteReference"/>
        </w:rPr>
        <w:t xml:space="preserve"> </w:t>
      </w:r>
      <w:r>
        <w:t xml:space="preserve">JO L, 2024/1449, 24.5.2024, ELI: </w:t>
      </w:r>
      <w:hyperlink r:id="rId3" w:tgtFrame="_blank" w:tooltip="Oferă acces la acest document prin identificatorul său uniform de resurse ELI." w:history="1">
        <w:r>
          <w:t>http://data.europa.eu/eli/reg/2024/1449/oj</w:t>
        </w:r>
      </w:hyperlink>
      <w:r>
        <w:t>.</w:t>
      </w:r>
    </w:p>
  </w:footnote>
  <w:footnote w:id="4">
    <w:p w14:paraId="694AA68F" w14:textId="77777777" w:rsidR="0066499D" w:rsidRPr="004171BE" w:rsidRDefault="009C2505">
      <w:pPr>
        <w:pStyle w:val="FootnoteText"/>
      </w:pPr>
      <w:r>
        <w:rPr>
          <w:rStyle w:val="FootnoteReference"/>
        </w:rPr>
        <w:footnoteRef/>
      </w:r>
      <w:r>
        <w:t xml:space="preserve"> </w:t>
      </w:r>
      <w:r w:rsidRPr="004171BE">
        <w:t xml:space="preserve">Acordul interinstituțional din 20 mai 2021 dintre Parlamentul European, Consiliul Uniunii Europene și Comisia Europeană privind un registru de transparență obligatoriu (JO L 207, 11.6.2021, p. 1, ELI: </w:t>
      </w:r>
      <w:hyperlink r:id="rId4" w:history="1">
        <w:r w:rsidRPr="004171BE">
          <w:rPr>
            <w:rStyle w:val="Hyperlink"/>
          </w:rPr>
          <w:t>http://data.europa.eu/eli/agree_interinstit/2021/611/oj</w:t>
        </w:r>
      </w:hyperlink>
      <w:r w:rsidRPr="004171B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56C04" w14:textId="77777777" w:rsidR="004F563B" w:rsidRDefault="004F56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1394F" w14:textId="77777777" w:rsidR="004F563B" w:rsidRDefault="004F56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34194" w14:textId="77777777" w:rsidR="004F563B" w:rsidRDefault="004F56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40301641">
    <w:abstractNumId w:val="9"/>
  </w:num>
  <w:num w:numId="2" w16cid:durableId="744954804">
    <w:abstractNumId w:val="9"/>
  </w:num>
  <w:num w:numId="3" w16cid:durableId="573514970">
    <w:abstractNumId w:val="7"/>
  </w:num>
  <w:num w:numId="4" w16cid:durableId="1424719724">
    <w:abstractNumId w:val="7"/>
  </w:num>
  <w:num w:numId="5" w16cid:durableId="904492199">
    <w:abstractNumId w:val="6"/>
  </w:num>
  <w:num w:numId="6" w16cid:durableId="1288588621">
    <w:abstractNumId w:val="6"/>
  </w:num>
  <w:num w:numId="7" w16cid:durableId="1368800594">
    <w:abstractNumId w:val="5"/>
  </w:num>
  <w:num w:numId="8" w16cid:durableId="1875726184">
    <w:abstractNumId w:val="5"/>
  </w:num>
  <w:num w:numId="9" w16cid:durableId="1071460742">
    <w:abstractNumId w:val="4"/>
  </w:num>
  <w:num w:numId="10" w16cid:durableId="1825929590">
    <w:abstractNumId w:val="4"/>
  </w:num>
  <w:num w:numId="11" w16cid:durableId="276446960">
    <w:abstractNumId w:val="8"/>
  </w:num>
  <w:num w:numId="12" w16cid:durableId="896285429">
    <w:abstractNumId w:val="8"/>
  </w:num>
  <w:num w:numId="13" w16cid:durableId="1064716967">
    <w:abstractNumId w:val="3"/>
  </w:num>
  <w:num w:numId="14" w16cid:durableId="1167672469">
    <w:abstractNumId w:val="3"/>
  </w:num>
  <w:num w:numId="15" w16cid:durableId="1752848772">
    <w:abstractNumId w:val="2"/>
  </w:num>
  <w:num w:numId="16" w16cid:durableId="832376162">
    <w:abstractNumId w:val="2"/>
  </w:num>
  <w:num w:numId="17" w16cid:durableId="2090687925">
    <w:abstractNumId w:val="1"/>
  </w:num>
  <w:num w:numId="18" w16cid:durableId="1658534123">
    <w:abstractNumId w:val="1"/>
  </w:num>
  <w:num w:numId="19" w16cid:durableId="350038388">
    <w:abstractNumId w:val="0"/>
  </w:num>
  <w:num w:numId="20" w16cid:durableId="1145003446">
    <w:abstractNumId w:val="0"/>
  </w:num>
  <w:num w:numId="21" w16cid:durableId="2084447131">
    <w:abstractNumId w:val="9"/>
  </w:num>
  <w:num w:numId="22" w16cid:durableId="1947106235">
    <w:abstractNumId w:val="7"/>
  </w:num>
  <w:num w:numId="23" w16cid:durableId="1230270643">
    <w:abstractNumId w:val="6"/>
  </w:num>
  <w:num w:numId="24" w16cid:durableId="1280573652">
    <w:abstractNumId w:val="5"/>
  </w:num>
  <w:num w:numId="25" w16cid:durableId="672340647">
    <w:abstractNumId w:val="4"/>
  </w:num>
  <w:num w:numId="26" w16cid:durableId="948857411">
    <w:abstractNumId w:val="8"/>
  </w:num>
  <w:num w:numId="27" w16cid:durableId="548417900">
    <w:abstractNumId w:val="3"/>
  </w:num>
  <w:num w:numId="28" w16cid:durableId="1478104577">
    <w:abstractNumId w:val="2"/>
  </w:num>
  <w:num w:numId="29" w16cid:durableId="1654723136">
    <w:abstractNumId w:val="1"/>
  </w:num>
  <w:num w:numId="30" w16cid:durableId="1030111042">
    <w:abstractNumId w:val="0"/>
  </w:num>
  <w:num w:numId="31" w16cid:durableId="139159000">
    <w:abstractNumId w:val="9"/>
  </w:num>
  <w:num w:numId="32" w16cid:durableId="1914967199">
    <w:abstractNumId w:val="7"/>
  </w:num>
  <w:num w:numId="33" w16cid:durableId="115568470">
    <w:abstractNumId w:val="6"/>
  </w:num>
  <w:num w:numId="34" w16cid:durableId="1718235063">
    <w:abstractNumId w:val="5"/>
  </w:num>
  <w:num w:numId="35" w16cid:durableId="252128135">
    <w:abstractNumId w:val="4"/>
  </w:num>
  <w:num w:numId="36" w16cid:durableId="1310330310">
    <w:abstractNumId w:val="8"/>
  </w:num>
  <w:num w:numId="37" w16cid:durableId="254870599">
    <w:abstractNumId w:val="3"/>
  </w:num>
  <w:num w:numId="38" w16cid:durableId="27950049">
    <w:abstractNumId w:val="2"/>
  </w:num>
  <w:num w:numId="39" w16cid:durableId="1701857849">
    <w:abstractNumId w:val="1"/>
  </w:num>
  <w:num w:numId="40" w16cid:durableId="1739743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2/2026"/>
    <w:docVar w:name="LastEditedSection" w:val=" 1"/>
    <w:docVar w:name="MOTIONMNU" w:val=" 1"/>
    <w:docVar w:name="NROJ" w:val=" 2"/>
    <w:docVar w:name="NVAR1" w:val="0"/>
    <w:docVar w:name="RULEMNU" w:val=" 1"/>
    <w:docVar w:name="strDocTypeID" w:val="PR_INI"/>
    <w:docVar w:name="strSubDir" w:val="1336"/>
    <w:docVar w:name="TITLEMNU" w:val=" 1"/>
    <w:docVar w:name="TXTAUTHOR" w:val="Andreas Schieder"/>
    <w:docVar w:name="TXTLANGUE" w:val="RO"/>
    <w:docVar w:name="TXTLANGUEMIN" w:val="ro"/>
    <w:docVar w:name="TXTNRINI" w:val="2025/2250"/>
    <w:docVar w:name="TXTNRPE" w:val="784.259"/>
    <w:docVar w:name="TXTPEorAP" w:val="PE"/>
    <w:docVar w:name="TXTROUTE" w:val="PR\1336685RO.docx"/>
    <w:docVar w:name="TXTTITLE" w:val="the 2025 Commission report on Albania"/>
    <w:docVar w:name="TXTVERSION" w:val="01-00"/>
  </w:docVars>
  <w:rsids>
    <w:rsidRoot w:val="003513CB"/>
    <w:rsid w:val="00025465"/>
    <w:rsid w:val="00040EAC"/>
    <w:rsid w:val="0007541B"/>
    <w:rsid w:val="00082B37"/>
    <w:rsid w:val="00086351"/>
    <w:rsid w:val="000D2631"/>
    <w:rsid w:val="000F1324"/>
    <w:rsid w:val="00100069"/>
    <w:rsid w:val="001046B1"/>
    <w:rsid w:val="00105C44"/>
    <w:rsid w:val="00112484"/>
    <w:rsid w:val="001666EA"/>
    <w:rsid w:val="001B207D"/>
    <w:rsid w:val="0023245A"/>
    <w:rsid w:val="00252C76"/>
    <w:rsid w:val="002544DF"/>
    <w:rsid w:val="00276B35"/>
    <w:rsid w:val="00335F69"/>
    <w:rsid w:val="003513CB"/>
    <w:rsid w:val="00351EDF"/>
    <w:rsid w:val="00392A26"/>
    <w:rsid w:val="00395A66"/>
    <w:rsid w:val="003E4507"/>
    <w:rsid w:val="003E6413"/>
    <w:rsid w:val="004016B4"/>
    <w:rsid w:val="004171BE"/>
    <w:rsid w:val="004200B3"/>
    <w:rsid w:val="00432B50"/>
    <w:rsid w:val="004478E1"/>
    <w:rsid w:val="00454E1B"/>
    <w:rsid w:val="00455003"/>
    <w:rsid w:val="00466A1A"/>
    <w:rsid w:val="004B1B5F"/>
    <w:rsid w:val="004F563B"/>
    <w:rsid w:val="005178FF"/>
    <w:rsid w:val="00531F4C"/>
    <w:rsid w:val="00556373"/>
    <w:rsid w:val="00584A07"/>
    <w:rsid w:val="005904E0"/>
    <w:rsid w:val="005B2DCF"/>
    <w:rsid w:val="00614C55"/>
    <w:rsid w:val="006272CD"/>
    <w:rsid w:val="00646AD2"/>
    <w:rsid w:val="00660CEF"/>
    <w:rsid w:val="0066499D"/>
    <w:rsid w:val="00685E62"/>
    <w:rsid w:val="007041CC"/>
    <w:rsid w:val="00705D44"/>
    <w:rsid w:val="00726C82"/>
    <w:rsid w:val="00753CC4"/>
    <w:rsid w:val="007963C6"/>
    <w:rsid w:val="00820F0A"/>
    <w:rsid w:val="00865656"/>
    <w:rsid w:val="008C4C65"/>
    <w:rsid w:val="0090583E"/>
    <w:rsid w:val="0095536F"/>
    <w:rsid w:val="00956282"/>
    <w:rsid w:val="00980885"/>
    <w:rsid w:val="00996AC6"/>
    <w:rsid w:val="009C2505"/>
    <w:rsid w:val="009E4ABB"/>
    <w:rsid w:val="00A45202"/>
    <w:rsid w:val="00AF310F"/>
    <w:rsid w:val="00B17532"/>
    <w:rsid w:val="00B31C6A"/>
    <w:rsid w:val="00B54162"/>
    <w:rsid w:val="00B7198C"/>
    <w:rsid w:val="00BA2A57"/>
    <w:rsid w:val="00BA5076"/>
    <w:rsid w:val="00BB70F1"/>
    <w:rsid w:val="00BC7C60"/>
    <w:rsid w:val="00C00074"/>
    <w:rsid w:val="00C21C5F"/>
    <w:rsid w:val="00C5697B"/>
    <w:rsid w:val="00C6630E"/>
    <w:rsid w:val="00C85D0F"/>
    <w:rsid w:val="00C93A60"/>
    <w:rsid w:val="00CB156F"/>
    <w:rsid w:val="00CC06D3"/>
    <w:rsid w:val="00CD3E8A"/>
    <w:rsid w:val="00D31D25"/>
    <w:rsid w:val="00D47BB0"/>
    <w:rsid w:val="00D47F5D"/>
    <w:rsid w:val="00D7244F"/>
    <w:rsid w:val="00DB4680"/>
    <w:rsid w:val="00DD7B9D"/>
    <w:rsid w:val="00DE14C7"/>
    <w:rsid w:val="00E155CA"/>
    <w:rsid w:val="00E3537C"/>
    <w:rsid w:val="00E61690"/>
    <w:rsid w:val="00F076A5"/>
    <w:rsid w:val="00F3651F"/>
    <w:rsid w:val="00F42F07"/>
    <w:rsid w:val="00F714A9"/>
    <w:rsid w:val="00FB717E"/>
    <w:rsid w:val="00FD3897"/>
    <w:rsid w:val="00FD55C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22C00B"/>
  <w15:chartTrackingRefBased/>
  <w15:docId w15:val="{A91AE142-A048-4427-A9D6-9B2318AF2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noteText">
    <w:name w:val="footnote text"/>
    <w:basedOn w:val="Normal"/>
    <w:link w:val="FootnoteTextChar"/>
    <w:rsid w:val="00660CEF"/>
    <w:rPr>
      <w:sz w:val="20"/>
    </w:rPr>
  </w:style>
  <w:style w:type="character" w:customStyle="1" w:styleId="FootnoteTextChar">
    <w:name w:val="Footnote Text Char"/>
    <w:basedOn w:val="DefaultParagraphFont"/>
    <w:link w:val="FootnoteText"/>
    <w:rsid w:val="00660CEF"/>
  </w:style>
  <w:style w:type="character" w:styleId="FootnoteReference">
    <w:name w:val="footnote reference"/>
    <w:basedOn w:val="DefaultParagraphFont"/>
    <w:rsid w:val="00660CEF"/>
    <w:rPr>
      <w:vertAlign w:val="superscript"/>
    </w:rPr>
  </w:style>
  <w:style w:type="character" w:styleId="Hyperlink">
    <w:name w:val="Hyperlink"/>
    <w:basedOn w:val="DefaultParagraphFont"/>
    <w:unhideWhenUsed/>
    <w:rsid w:val="00660CEF"/>
    <w:rPr>
      <w:color w:val="0563C1" w:themeColor="hyperlink"/>
      <w:u w:val="single"/>
    </w:rPr>
  </w:style>
  <w:style w:type="paragraph" w:styleId="Revision">
    <w:name w:val="Revision"/>
    <w:hidden/>
    <w:uiPriority w:val="99"/>
    <w:semiHidden/>
    <w:rsid w:val="0066499D"/>
    <w:rPr>
      <w:sz w:val="24"/>
    </w:rPr>
  </w:style>
  <w:style w:type="paragraph" w:customStyle="1" w:styleId="Normal24a">
    <w:name w:val="Normal24a"/>
    <w:basedOn w:val="Normal"/>
    <w:rsid w:val="0066499D"/>
    <w:pPr>
      <w:spacing w:after="480"/>
    </w:pPr>
  </w:style>
  <w:style w:type="paragraph" w:customStyle="1" w:styleId="NormalBoldCenter">
    <w:name w:val="NormalBoldCenter"/>
    <w:basedOn w:val="Normal"/>
    <w:rsid w:val="0066499D"/>
    <w:pPr>
      <w:jc w:val="center"/>
    </w:pPr>
    <w:rPr>
      <w:b/>
    </w:rPr>
  </w:style>
  <w:style w:type="paragraph" w:customStyle="1" w:styleId="Footprint12b">
    <w:name w:val="Footprint12b"/>
    <w:basedOn w:val="Normal"/>
    <w:rsid w:val="0066499D"/>
    <w:pPr>
      <w:spacing w:before="240"/>
    </w:pPr>
    <w:rPr>
      <w:szCs w:val="24"/>
    </w:rPr>
  </w:style>
  <w:style w:type="paragraph" w:customStyle="1" w:styleId="NormalSingle">
    <w:name w:val="NormalSingle"/>
    <w:basedOn w:val="Normal"/>
    <w:qFormat/>
    <w:rsid w:val="0066499D"/>
    <w:rPr>
      <w:szCs w:val="24"/>
    </w:rPr>
  </w:style>
  <w:style w:type="character" w:styleId="UnresolvedMention">
    <w:name w:val="Unresolved Mention"/>
    <w:basedOn w:val="DefaultParagraphFont"/>
    <w:uiPriority w:val="99"/>
    <w:semiHidden/>
    <w:unhideWhenUsed/>
    <w:rsid w:val="0066499D"/>
    <w:rPr>
      <w:color w:val="605E5C"/>
      <w:shd w:val="clear" w:color="auto" w:fill="E1DFDD"/>
    </w:rPr>
  </w:style>
  <w:style w:type="paragraph" w:styleId="Footer">
    <w:name w:val="footer"/>
    <w:basedOn w:val="Normal"/>
    <w:link w:val="FooterChar"/>
    <w:semiHidden/>
    <w:rsid w:val="00685E62"/>
    <w:pPr>
      <w:tabs>
        <w:tab w:val="center" w:pos="4513"/>
        <w:tab w:val="right" w:pos="9026"/>
      </w:tabs>
    </w:pPr>
  </w:style>
  <w:style w:type="character" w:customStyle="1" w:styleId="FooterChar">
    <w:name w:val="Footer Char"/>
    <w:basedOn w:val="DefaultParagraphFont"/>
    <w:link w:val="Footer"/>
    <w:semiHidden/>
    <w:rsid w:val="00685E6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4"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2067</Words>
  <Characters>12822</Characters>
  <Application>Microsoft Office Word</Application>
  <DocSecurity>0</DocSecurity>
  <Lines>228</Lines>
  <Paragraphs>104</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TENGELIDOU Gesthimani</dc:creator>
  <cp:lastModifiedBy>ATANASIU Stefania Cristina</cp:lastModifiedBy>
  <cp:revision>2</cp:revision>
  <cp:lastPrinted>2026-02-16T09:10:00Z</cp:lastPrinted>
  <dcterms:created xsi:type="dcterms:W3CDTF">2026-03-03T09:43:00Z</dcterms:created>
  <dcterms:modified xsi:type="dcterms:W3CDTF">2026-03-03T09:43:00Z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1336685</vt:lpwstr>
  </property>
  <property fmtid="{D5CDD505-2E9C-101B-9397-08002B2CF9AE}" pid="4" name="&lt;Model&gt;">
    <vt:lpwstr>PR_INI</vt:lpwstr>
  </property>
  <property fmtid="{D5CDD505-2E9C-101B-9397-08002B2CF9AE}" pid="5" name="&lt;ModelCod&gt;">
    <vt:lpwstr>\\eiciBRUpr1\pdocep$\DocEP\DOCS\General\PR\PR_NonLeg\INI\PR_INI.dotx(18/02/2025 08:53:03)</vt:lpwstr>
  </property>
  <property fmtid="{D5CDD505-2E9C-101B-9397-08002B2CF9AE}" pid="6" name="&lt;ModelTra&gt;">
    <vt:lpwstr>\\eiciBRUpr1\pdocep$\DocEP\TRANSFIL\EN\PR_INI.EN(18/02/2025 08:54:04)</vt:lpwstr>
  </property>
  <property fmtid="{D5CDD505-2E9C-101B-9397-08002B2CF9AE}" pid="7" name="&lt;Type&gt;">
    <vt:lpwstr>PR</vt:lpwstr>
  </property>
  <property fmtid="{D5CDD505-2E9C-101B-9397-08002B2CF9AE}" pid="8" name="Bookout">
    <vt:lpwstr>OK - 2026/03/03 10:42</vt:lpwstr>
  </property>
  <property fmtid="{D5CDD505-2E9C-101B-9397-08002B2CF9AE}" pid="9" name="Created with">
    <vt:lpwstr>10.2.1 Build [20260110]</vt:lpwstr>
  </property>
  <property fmtid="{D5CDD505-2E9C-101B-9397-08002B2CF9AE}" pid="10" name="FooterPath">
    <vt:lpwstr>PR\1336685RO.docx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784.259</vt:lpwstr>
  </property>
  <property fmtid="{D5CDD505-2E9C-101B-9397-08002B2CF9AE}" pid="14" name="SDLStudio">
    <vt:lpwstr/>
  </property>
  <property fmtid="{D5CDD505-2E9C-101B-9397-08002B2CF9AE}" pid="15" name="SendToEpades">
    <vt:lpwstr>OK - 2026/02/16 10:24</vt:lpwstr>
  </property>
</Properties>
</file>