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1.46pt">
                  <v:imagedata r:id="rId5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Výbor pro zahraniční věci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2025/2259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{26/02/2026}</w:t>
      </w:r>
      <w:r>
        <w:t>26.2.2026</w:t>
      </w:r>
      <w:r>
        <w:rPr>
          <w:rStyle w:val="HideTWBExt"/>
        </w:rPr>
        <w:t>&lt;/Date&gt;</w:t>
      </w:r>
    </w:p>
    <w:p>
      <w:pPr>
        <w:pStyle w:val="CoverDocType24a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Normal"/>
      </w:pPr>
      <w:r>
        <w:rPr>
          <w:rStyle w:val="HideTWBExt"/>
        </w:rPr>
        <w:t>&lt;Titre&gt;</w:t>
      </w:r>
      <w:r>
        <w:t>o zprávě Komise o Ukrajině za rok 2025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(2025/2259(INI))</w:t>
      </w:r>
      <w:r>
        <w:rPr>
          <w:rStyle w:val="HideTWBExt"/>
        </w:rPr>
        <w:t>&lt;/DocRef&gt;</w:t>
      </w:r>
    </w:p>
    <w:p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Výbor pro zahraniční věci</w:t>
      </w:r>
      <w:r>
        <w:rPr>
          <w:rStyle w:val="HideTWBExt"/>
        </w:rPr>
        <w:t>&lt;/Commission&gt;</w:t>
      </w:r>
    </w:p>
    <w:p>
      <w:pPr>
        <w:pStyle w:val="CoverNormal24a"/>
      </w:pPr>
      <w:r>
        <w:t>Zpravodaj</w:t>
      </w:r>
      <w:r>
        <w:t xml:space="preserve">: </w:t>
      </w:r>
      <w:r>
        <w:rPr>
          <w:rStyle w:val="HideTWBExt"/>
        </w:rPr>
        <w:t>&lt;Depute&gt;</w:t>
      </w:r>
      <w:r>
        <w:t>Michael Gahler</w:t>
      </w:r>
      <w:r>
        <w:rPr>
          <w:rStyle w:val="HideTWBExt"/>
        </w:rPr>
        <w:t>&lt;/Depute&gt;</w:t>
      </w:r>
    </w:p>
    <w:p>
      <w:r>
        <w:br w:type="page"/>
      </w:r>
      <w:r>
        <w:t>PR_INI</w:t>
      </w:r>
    </w:p>
    <w:p>
      <w:pPr>
        <w:pStyle w:val="TOCHeading"/>
      </w:pPr>
      <w:r>
        <w:t>OBSAH</w:t>
      </w:r>
    </w:p>
    <w:p>
      <w:pPr>
        <w:pStyle w:val="TOCPage"/>
      </w:pPr>
      <w:r>
        <w:t>Strana</w:t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\t</w:instrText>
      </w:r>
      <w:r>
        <w:instrText xml:space="preserve"> </w:instrText>
      </w:r>
      <w:r>
        <w:instrText>PageHeading</w:instrText>
      </w:r>
      <w:r>
        <w:fldChar w:fldCharType="separate"/>
      </w:r>
      <w:r>
        <w:t>NÁVRH USNESENÍ EVROPSKÉHO PARLAMENTU</w:t>
      </w:r>
      <w:r>
        <w:tab/>
      </w:r>
      <w:r>
        <w:fldChar w:fldCharType="begin"/>
      </w:r>
      <w:r>
        <w:instrText xml:space="preserve"> PAGEREF _Toc256000000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t>PŘÍLOHA: ZVEŘEJŇOVÁNÍ PODNĚTŮ</w:t>
      </w:r>
      <w:r>
        <w:tab/>
      </w:r>
      <w:r>
        <w:fldChar w:fldCharType="begin"/>
      </w:r>
      <w:r>
        <w:instrText xml:space="preserve"> PAGEREF _Toc256000001 \h </w:instrText>
      </w:r>
      <w:r>
        <w:fldChar w:fldCharType="separate"/>
      </w:r>
      <w:r>
        <w:t>7</w:t>
      </w:r>
      <w:r>
        <w:fldChar w:fldCharType="end"/>
      </w:r>
    </w:p>
    <w:p>
      <w:pPr>
        <w:pStyle w:val="TOC1"/>
      </w:pPr>
      <w:r>
        <w:fldChar w:fldCharType="end"/>
      </w:r>
    </w:p>
    <w:p>
      <w:r>
        <w:br w:type="page"/>
      </w:r>
    </w:p>
    <w:p>
      <w:pPr>
        <w:pStyle w:val="PageHeading"/>
      </w:pPr>
      <w:bookmarkStart w:id="0" w:name="_Toc256000000"/>
      <w:r>
        <w:t>NÁVRH USNESENÍ EVROPSKÉHO PARLAMENTU</w:t>
      </w:r>
      <w:bookmarkEnd w:id="0"/>
    </w:p>
    <w:p>
      <w:pPr>
        <w:pStyle w:val="NormalBold"/>
      </w:pPr>
      <w:r>
        <w:t>o zprávě Komise o Ukrajině za rok 2025</w:t>
      </w:r>
    </w:p>
    <w:p>
      <w:pPr>
        <w:pStyle w:val="NormalBold"/>
      </w:pPr>
    </w:p>
    <w:p>
      <w:pPr>
        <w:pStyle w:val="NormalBold12a"/>
      </w:pPr>
      <w:r>
        <w:t>(</w:t>
      </w:r>
      <w:r>
        <w:t>2025/2259(INI)</w:t>
      </w:r>
      <w:r>
        <w:t>)</w:t>
      </w:r>
    </w:p>
    <w:p>
      <w:pPr>
        <w:pStyle w:val="Normal12"/>
      </w:pPr>
      <w:r>
        <w:rPr>
          <w:i/>
        </w:rPr>
        <w:t>Evropský parlament</w:t>
      </w:r>
      <w:r>
        <w:t>,</w:t>
      </w:r>
    </w:p>
    <w:p>
      <w:pPr>
        <w:pStyle w:val="NormalHanging"/>
      </w:pPr>
      <w:r>
        <w:t>–</w:t>
      </w:r>
      <w:r>
        <w:tab/>
      </w:r>
      <w:r>
        <w:t>s ohledem na svá předchozí usnesení o Ukrajině,</w:t>
      </w:r>
    </w:p>
    <w:p>
      <w:pPr>
        <w:pStyle w:val="NormalHanging"/>
      </w:pPr>
      <w:r>
        <w:t>–</w:t>
      </w:r>
      <w:r>
        <w:tab/>
      </w:r>
      <w:r>
        <w:t>s ohledem na pracovní dokument útvarů Komise ze dne 4. listopadu 2025 nazvaný „Zpráva o Ukrajině 2025“ (SWD(2025)0759) a na doprovodné sdělení Komise nazvané „Sdělení o politice rozšíření EU pro rok 2025“ (COM(2025)0690),</w:t>
      </w:r>
    </w:p>
    <w:p>
      <w:pPr>
        <w:pStyle w:val="NormalHanging"/>
      </w:pPr>
      <w:r>
        <w:t>–</w:t>
      </w:r>
      <w:r>
        <w:tab/>
      </w:r>
      <w:r>
        <w:t>s ohledem na článek 55 jednacího řádu,</w:t>
      </w:r>
    </w:p>
    <w:p>
      <w:pPr>
        <w:pStyle w:val="NormalHanging"/>
      </w:pPr>
      <w:r>
        <w:t>–</w:t>
      </w:r>
      <w:r>
        <w:tab/>
      </w:r>
      <w:r>
        <w:t>s ohledem na zprávu Výboru pro zahraniční věci (A10-0000/2026),</w:t>
      </w:r>
    </w:p>
    <w:p>
      <w:pPr>
        <w:pStyle w:val="NormalHanging"/>
      </w:pPr>
      <w:r>
        <w:t>A.</w:t>
      </w:r>
      <w:r>
        <w:tab/>
      </w:r>
      <w:r>
        <w:t>vzhledem k tomu, že Parlament co nejdůrazněji odsuzuje ruskou agresi vůči Ukrajině a podporuje právo Ukrajiny na svrchovanost, nezávislost a územní celistvost v rámci jejích mezinárodně uznávaných hranic;</w:t>
      </w:r>
    </w:p>
    <w:p>
      <w:pPr>
        <w:pStyle w:val="NormalHanging"/>
      </w:pPr>
      <w:r>
        <w:t>B.</w:t>
      </w:r>
      <w:r>
        <w:tab/>
      </w:r>
      <w:r>
        <w:t>vzhledem k tomu, že Ukrajina navzdory probíhající ruské válečné agresi prokázala pozoruhodnou odolnost ve vztahu k závazku pokračovat na své cestě ke členství v EU;</w:t>
      </w:r>
    </w:p>
    <w:p>
      <w:pPr>
        <w:pStyle w:val="NormalHanging"/>
      </w:pPr>
      <w:r>
        <w:t>C.</w:t>
      </w:r>
      <w:r>
        <w:tab/>
      </w:r>
      <w:r>
        <w:t>vzhledem k tomu, že Ukrajina je i nadále odhodlána sladit své právní předpisy s </w:t>
      </w:r>
      <w:r>
        <w:rPr>
          <w:i/>
        </w:rPr>
        <w:t>acquis</w:t>
      </w:r>
      <w:r>
        <w:t xml:space="preserve"> EU;</w:t>
      </w:r>
    </w:p>
    <w:p>
      <w:pPr>
        <w:pStyle w:val="NormalHanging"/>
      </w:pPr>
      <w:r>
        <w:t>D.</w:t>
      </w:r>
      <w:r>
        <w:tab/>
      </w:r>
      <w:r>
        <w:t>vzhledem k tomu, že bylo dosaženo pokroku, je však třeba vyvinout další úsilí k posílení právního státu na Ukrajině a k boji proti korupci;</w:t>
      </w:r>
    </w:p>
    <w:p>
      <w:pPr>
        <w:pStyle w:val="NormalHanging"/>
      </w:pPr>
      <w:r>
        <w:t>E.</w:t>
      </w:r>
      <w:r>
        <w:tab/>
      </w:r>
      <w:r>
        <w:t>vzhledem k tomu, že ukrajinské demokratické instituce prokázaly schopnost přizpůsobit se válečnému stavu; vzhledem k tomu, že Ukrajina by měla i nadále usilovat o zajištění transparentnosti a rovnováhy moci;</w:t>
      </w:r>
    </w:p>
    <w:p>
      <w:pPr>
        <w:pStyle w:val="NormalHanging"/>
      </w:pPr>
      <w:r>
        <w:t>F.</w:t>
      </w:r>
      <w:r>
        <w:tab/>
      </w:r>
      <w:r>
        <w:t>vzhledem k tomu, že občanská společnost je i nadále pilířem odolnosti a demokracie na Ukrajině, ačkoli případy nátlaku na aktivisty vzbuzují obavy a vyžadují vládní opatření;</w:t>
      </w:r>
    </w:p>
    <w:p>
      <w:pPr>
        <w:pStyle w:val="NormalHanging"/>
      </w:pPr>
      <w:r>
        <w:t>G.</w:t>
      </w:r>
      <w:r>
        <w:tab/>
      </w:r>
      <w:r>
        <w:t>vzhledem k tomu, že integrace do EU je široce podporována napříč ukrajinskou společností a institucemi a zůstává základní hnací silou demokratického rozvoje Ukrajiny;</w:t>
      </w:r>
    </w:p>
    <w:p>
      <w:pPr>
        <w:pStyle w:val="Normal12a"/>
      </w:pPr>
      <w:r>
        <w:rPr>
          <w:b/>
        </w:rPr>
        <w:t xml:space="preserve">I. </w:t>
      </w:r>
      <w:r>
        <w:rPr>
          <w:b/>
        </w:rPr>
        <w:t>Aktuální</w:t>
      </w:r>
      <w:r>
        <w:rPr>
          <w:b/>
        </w:rPr>
        <w:t xml:space="preserve"> stav </w:t>
      </w:r>
      <w:r>
        <w:rPr>
          <w:b/>
        </w:rPr>
        <w:t>ruské</w:t>
      </w:r>
      <w:r>
        <w:rPr>
          <w:b/>
        </w:rPr>
        <w:t xml:space="preserve"> válečné agrese a sankcí</w:t>
      </w:r>
      <w:r>
        <w:t xml:space="preserve"> </w:t>
      </w:r>
      <w:r>
        <w:rPr>
          <w:b/>
        </w:rPr>
        <w:t>EU</w:t>
      </w:r>
    </w:p>
    <w:p>
      <w:pPr>
        <w:pStyle w:val="NormalHanging12a"/>
      </w:pPr>
      <w:r>
        <w:t>1.</w:t>
      </w:r>
      <w:r>
        <w:tab/>
      </w:r>
      <w:r>
        <w:t>opětovně zdůrazňuje svou neochvějnou solidaritu s lidem Ukrajiny a podporu její nezávislosti, svrchovanosti a územní celistvosti v rámci jejích mezinárodně uznaných hranic; důrazně poukazuje na přirozené právo Ukrajiny na sebeobranu v souladu s článkem 51 Charty OSN;</w:t>
      </w:r>
    </w:p>
    <w:p>
      <w:pPr>
        <w:pStyle w:val="NormalHanging12a"/>
      </w:pPr>
      <w:r>
        <w:t>2.</w:t>
      </w:r>
      <w:r>
        <w:tab/>
      </w:r>
      <w:r>
        <w:t>vyzývá EU a její členské státy, aby zvýšily pomoc na podporu práva Ukrajiny na sebeobranu; trvá na tom, že v zájmu zabránění další agrese ze strany Ruska musí EU a její členské státy spolu se svými partnery a spojenci přispět ke spolehlivým a právně závazným bezpečnostním zárukám pro Ukrajinu;</w:t>
      </w:r>
    </w:p>
    <w:p>
      <w:pPr>
        <w:pStyle w:val="NormalHanging12a"/>
      </w:pPr>
      <w:r>
        <w:t>3.</w:t>
      </w:r>
      <w:r>
        <w:tab/>
      </w:r>
      <w:r>
        <w:t>oceňuje oznámení Komise z ledna 2026, že v průběhu dvouletého období 2026–2027 poskytne 90 miliard EUR na kritickou podporu rozpočtových a vojenských potřeb Ukrajiny;</w:t>
      </w:r>
    </w:p>
    <w:p>
      <w:pPr>
        <w:pStyle w:val="Normal12a"/>
      </w:pPr>
      <w:r>
        <w:rPr>
          <w:b/>
        </w:rPr>
        <w:t>II. Odhodlání přistoupit k </w:t>
      </w:r>
      <w:r>
        <w:rPr>
          <w:b/>
        </w:rPr>
        <w:t>EU</w:t>
      </w:r>
    </w:p>
    <w:p>
      <w:pPr>
        <w:pStyle w:val="NormalHanging12a"/>
      </w:pPr>
      <w:r>
        <w:t>4.</w:t>
      </w:r>
      <w:r>
        <w:tab/>
      </w:r>
      <w:r>
        <w:t xml:space="preserve">vřele vítá pokračující odhodlání Ukrajiny plnit požadavky na členství v EU; vítá dokončení procesu prověřování všech klastrů a důrazně vyzývá </w:t>
      </w:r>
      <w:r>
        <w:t>Maďarsko</w:t>
      </w:r>
      <w:r>
        <w:t>, aby přestalo vetovat otevření vyjednávacích klastrů; vítá rozhodnutí Komise a kyperského předsednictví Rady pokračovat v jednáních na technické úrovni v očekávání budoucího zahájení jednání;</w:t>
      </w:r>
    </w:p>
    <w:p>
      <w:pPr>
        <w:pStyle w:val="Normal12a"/>
      </w:pPr>
      <w:r>
        <w:rPr>
          <w:b/>
        </w:rPr>
        <w:t>III. Demokracie, právní stát a boj proti korupci</w:t>
      </w:r>
    </w:p>
    <w:p>
      <w:pPr>
        <w:pStyle w:val="NormalHanging12a"/>
      </w:pPr>
      <w:r>
        <w:t>5.</w:t>
      </w:r>
      <w:r>
        <w:tab/>
      </w:r>
      <w:r>
        <w:t>bere na vědomí mimořádnou snahu Ukrajiny o posílení demokratických institucí během války; vítá pokrok Ukrajiny v oblasti reformy soudnictví a boje proti korupci; vyzývá k trvalému pokroku v těchto klíčových oblastech;</w:t>
      </w:r>
    </w:p>
    <w:p>
      <w:pPr>
        <w:pStyle w:val="NormalHanging12a"/>
      </w:pPr>
      <w:r>
        <w:t>6.</w:t>
      </w:r>
      <w:r>
        <w:tab/>
      </w:r>
      <w:r>
        <w:t>oceňuje přijetí desetibodového plánu prioritních reforem, na němž se EU a Ukrajina dohodly v prosinci 2025 a jehož cílem je upevnit právní stát a posílit protikorupční opatření;</w:t>
      </w:r>
    </w:p>
    <w:p>
      <w:pPr>
        <w:pStyle w:val="NormalHanging12a"/>
      </w:pPr>
      <w:r>
        <w:t>7.</w:t>
      </w:r>
      <w:r>
        <w:tab/>
      </w:r>
      <w:r>
        <w:t>oceňuje úsilí vynaložené na přípravu demokratických voleb, které se budou konat po zrušení válečného stavu; vítá obnovení parlamentního vysílání, které posílilo demokratickou legitimitu Ukrajiny;</w:t>
      </w:r>
    </w:p>
    <w:p>
      <w:pPr>
        <w:pStyle w:val="NormalHanging12a"/>
      </w:pPr>
      <w:r>
        <w:t>8.</w:t>
      </w:r>
      <w:r>
        <w:tab/>
      </w:r>
      <w:r>
        <w:t>znovu vyzdvihuje zásadní roli Nejvyšší rady Ukrajiny při rychlém přijetí reforem;</w:t>
      </w:r>
    </w:p>
    <w:p>
      <w:pPr>
        <w:pStyle w:val="NormalHanging12a"/>
      </w:pPr>
      <w:r>
        <w:t>9.</w:t>
      </w:r>
      <w:r>
        <w:tab/>
      </w:r>
      <w:r>
        <w:t>naléhavě vyzývá Ukrajinu, aby pokračovala v řešení problémů, které brání reformě soudnictví, zejména pokud jde o nezávislost soudů; vyzývá k reformě Bezpečnostní služby a Státního úřadu pro vyšetřování v návaznosti na iniciativu prezidenta Zelenského, která byla oznámena dne 2. ledna 2026;</w:t>
      </w:r>
    </w:p>
    <w:p>
      <w:pPr>
        <w:pStyle w:val="NormalHanging12a"/>
      </w:pPr>
      <w:r>
        <w:t>10.</w:t>
      </w:r>
      <w:r>
        <w:tab/>
      </w:r>
      <w:r>
        <w:t>vyzývá k revizi opatření válečného stavu, včetně tzv. Lozovijových změn, a praxe vyšetřovací vazby; podporuje větší transparentnost v přístupu k veřejným záznamům a zároveň uznává potřeby bezpečnosti v době válečného stavu; vítá zavedení nového zákona o lobbingu;</w:t>
      </w:r>
    </w:p>
    <w:p>
      <w:pPr>
        <w:pStyle w:val="NormalHanging12a"/>
      </w:pPr>
      <w:r>
        <w:t>11.</w:t>
      </w:r>
      <w:r>
        <w:tab/>
      </w:r>
      <w:r>
        <w:t>vítá pokrok specializovaných protikorupčních agentur při odhalování a stíhání závažných případů korupce; chválí zavedení mechanismů pro oznamovatele; naléhavě vyzývá Ukrajinu, aby zajistila nezávislost protikorupčních institucí prostřednictvím transparentních jmenovacích procesů a důkladných záruk proti politickým a soudním tlakům;</w:t>
      </w:r>
    </w:p>
    <w:p>
      <w:pPr>
        <w:pStyle w:val="NormalHanging12a"/>
      </w:pPr>
      <w:r>
        <w:t>12.</w:t>
      </w:r>
      <w:r>
        <w:tab/>
      </w:r>
      <w:r>
        <w:t>vítá členství Ukrajiny v pracovní skupině zabývající se problematikou podplácení Organizace pro hospodářskou spolupráci a rozvoj (OECD) jako pozitivní krok na cestě k plnému členství v OECD; oceňuje pokrok Ukrajiny při zavádění právních předpisů proti úplatkářství v rámci mezinárodních transakcí;</w:t>
      </w:r>
    </w:p>
    <w:p>
      <w:pPr>
        <w:pStyle w:val="Normal12a"/>
      </w:pPr>
      <w:r>
        <w:rPr>
          <w:b/>
        </w:rPr>
        <w:t>IV. Základní</w:t>
      </w:r>
      <w:r>
        <w:rPr>
          <w:b/>
        </w:rPr>
        <w:t xml:space="preserve"> svobody a lidská práva</w:t>
      </w:r>
    </w:p>
    <w:p>
      <w:pPr>
        <w:pStyle w:val="NormalHanging12a"/>
      </w:pPr>
      <w:r>
        <w:t>13.</w:t>
      </w:r>
      <w:r>
        <w:tab/>
      </w:r>
      <w:r>
        <w:t>oceňuje závazek Ukrajiny dodržovat základní práva navzdory pokračující ruské agresi, zejména prostřednictvím provádění plánu právního státu přijatého v květnu 2025; vyzývá Ukrajinu, aby zajistila trvalou podporu svobody projevu a nezávislosti médií; vyzývá k přezkoumání omezení v rámci válečného stavu, aby se zajistilo, že tato omezení budou nezbytná a přiměřená;</w:t>
      </w:r>
    </w:p>
    <w:p>
      <w:pPr>
        <w:pStyle w:val="NormalHanging12a"/>
      </w:pPr>
      <w:r>
        <w:t>14.</w:t>
      </w:r>
      <w:r>
        <w:tab/>
      </w:r>
      <w:r>
        <w:t>je potěšen tím, že ukrajinská občanská společnost zůstala aktivní navzdory těžkostem v době válečného stavu; vyzývá ukrajinské orgány, aby posílily konzultace s občanskou společností a sociálními partnery a zajistily, že jejich podněty budou náležitě zohledňovány;</w:t>
      </w:r>
    </w:p>
    <w:p>
      <w:pPr>
        <w:pStyle w:val="Normal12a"/>
      </w:pPr>
      <w:r>
        <w:rPr>
          <w:b/>
        </w:rPr>
        <w:t>V. Regionální</w:t>
      </w:r>
      <w:r>
        <w:rPr>
          <w:b/>
        </w:rPr>
        <w:t xml:space="preserve"> spolupráce a dobré sousedské vztahy</w:t>
      </w:r>
    </w:p>
    <w:p>
      <w:pPr>
        <w:pStyle w:val="NormalHanging12a"/>
      </w:pPr>
      <w:r>
        <w:t>15.</w:t>
      </w:r>
      <w:r>
        <w:tab/>
      </w:r>
      <w:r>
        <w:t>vítá zvýšené úsilí Ukrajiny o sladění jejích postojů s EU a Světovou obchodní organizací; podporuje úzkou koordinaci mezinárodních obchodních jednání s EU;</w:t>
      </w:r>
    </w:p>
    <w:p>
      <w:pPr>
        <w:pStyle w:val="NormalHanging12a"/>
      </w:pPr>
      <w:r>
        <w:t>16.</w:t>
      </w:r>
      <w:r>
        <w:tab/>
      </w:r>
      <w:r>
        <w:t>oceňuje intenzivnější spolupráci v oblasti bezpečnosti a obrany mezi Ukrajinou a EU a jejími členskými státy, zejména prostřednictvím Evropského mírového nástroje;</w:t>
      </w:r>
    </w:p>
    <w:p>
      <w:pPr>
        <w:pStyle w:val="Normal12a"/>
      </w:pPr>
      <w:r>
        <w:rPr>
          <w:b/>
        </w:rPr>
        <w:t xml:space="preserve">VI. </w:t>
      </w:r>
      <w:r>
        <w:rPr>
          <w:b/>
        </w:rPr>
        <w:t>Sociální a hospodářské reformy</w:t>
      </w:r>
    </w:p>
    <w:p>
      <w:pPr>
        <w:pStyle w:val="NormalHanging12a"/>
      </w:pPr>
      <w:r>
        <w:t>17.</w:t>
      </w:r>
      <w:r>
        <w:tab/>
      </w:r>
      <w:r>
        <w:t>vybízí ukrajinskou vládu, aby přijala systémový přístup k reformě veřejné správy a řízení veřejných financí a zajistila soulad se stávajícím plánem;</w:t>
      </w:r>
    </w:p>
    <w:p>
      <w:pPr>
        <w:pStyle w:val="NormalHanging12a"/>
      </w:pPr>
      <w:r>
        <w:t>18.</w:t>
      </w:r>
      <w:r>
        <w:tab/>
      </w:r>
      <w:r>
        <w:t>vítá úspěšnou reformu ukrajinského Úřadu pro hospodářskou bezpečnost a jeho Agentury pro vymáhání a správu majetku;</w:t>
      </w:r>
    </w:p>
    <w:p>
      <w:pPr>
        <w:pStyle w:val="NormalHanging12a"/>
      </w:pPr>
      <w:r>
        <w:t>19.</w:t>
      </w:r>
      <w:r>
        <w:tab/>
      </w:r>
      <w:r>
        <w:t>vybízí Ukrajinu, aby pokračovala v začlenění do jednotného trhu EU; doporučuje, aby se řídila deseti prioritami uvedenými v prioritním akčním plánu prohloubené a komplexní zóny volného obchodu mezi EU a Ukrajinou; vítá přistoupení Ukrajiny k unijnímu programu „roaming za domácích podmínek“, k němuž došlo v lednu 2026;</w:t>
      </w:r>
    </w:p>
    <w:p>
      <w:pPr>
        <w:pStyle w:val="NormalHanging12a"/>
      </w:pPr>
      <w:r>
        <w:t>20.</w:t>
      </w:r>
      <w:r>
        <w:tab/>
      </w:r>
      <w:r>
        <w:t>vyzývá k trvalému úsilí o liberalizaci pohybu kapitálu, mimo jiné prostřednictvím sladění s nařízením o jednotné oblasti pro platby v eurech</w:t>
      </w:r>
      <w:r>
        <w:rPr>
          <w:rStyle w:val="FootnoteReference"/>
        </w:rPr>
        <w:footnoteReference w:customMarkFollows="1" w:id="2"/>
        <w:t xml:space="preserve">1</w:t>
      </w:r>
      <w:r>
        <w:t>, a k posílení boje proti praní peněz a financování terorismu;</w:t>
      </w:r>
    </w:p>
    <w:p>
      <w:pPr>
        <w:pStyle w:val="NormalHanging12a"/>
      </w:pPr>
      <w:r>
        <w:t>21.</w:t>
      </w:r>
      <w:r>
        <w:tab/>
      </w:r>
      <w:r>
        <w:t>chválí účinnou víceúrovňovou správu věcí veřejných na Ukrajině; vítá pokrok, jehož bylo dosaženo při prosazování decentralizace v souladu s požadavky na přistoupení k EU; vyzývá k dalším reformám, které by posílily místní samosprávu;</w:t>
      </w:r>
    </w:p>
    <w:p>
      <w:pPr>
        <w:pStyle w:val="NormalHanging12a"/>
      </w:pPr>
      <w:r>
        <w:t>22.</w:t>
      </w:r>
      <w:r>
        <w:tab/>
      </w:r>
      <w:r>
        <w:t>chválí Ukrajinu za splnění 63 z 68 reformních podmínek uvedených v Plánu pro Ukrajinu, který byl původně navržen k provedení po skončení války, ale je realizován ještě v době války, což v roce 2025 umožnilo vyplatit 26,8 miliardy EUR; vyzývá k trvalému úsilí o provádění v souladu s nařízením (EU) č. 2024/792</w:t>
      </w:r>
      <w:r>
        <w:rPr>
          <w:rStyle w:val="FootnoteReference"/>
        </w:rPr>
        <w:footnoteReference w:customMarkFollows="1" w:id="3"/>
        <w:t xml:space="preserve">2</w:t>
      </w:r>
      <w:r>
        <w:t>, zejména s cílem podpořit Ukrajinu, aby se přizpůsobila právním předpisům EU v oblasti zadávání veřejných zakázek;</w:t>
      </w:r>
    </w:p>
    <w:p>
      <w:pPr>
        <w:pStyle w:val="Normal12a"/>
      </w:pPr>
      <w:r>
        <w:rPr>
          <w:b/>
        </w:rPr>
        <w:t xml:space="preserve">VII. Energetika </w:t>
      </w:r>
      <w:r>
        <w:rPr>
          <w:b/>
        </w:rPr>
        <w:t>a</w:t>
      </w:r>
      <w:r>
        <w:rPr>
          <w:b/>
        </w:rPr>
        <w:t> udržitelný rozvoj</w:t>
      </w:r>
    </w:p>
    <w:p>
      <w:pPr>
        <w:pStyle w:val="NormalHanging12a"/>
      </w:pPr>
      <w:r>
        <w:t>23.</w:t>
      </w:r>
      <w:r>
        <w:tab/>
      </w:r>
      <w:r>
        <w:t>vítá výrazný pokrok, jehož bylo dosaženo v rámci reformy odvětví energetiky, a to, že se Ukrajina řídí cíli Zelené dohody pro Evropu a Dohody o čistém průmyslu; chválí Ukrajinu za to, že navzdory rozsáhlému ničení ukrajinské energetické infrastruktury ze strany Ruska dosáhla značného pokroku v provádění svého vnitrostátního plánu v oblasti energetiky a klimatu;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24.</w:t>
      </w:r>
      <w:r>
        <w:tab/>
      </w:r>
      <w:r>
        <w:t>pověřuje svou předsedkyni, aby předala toto usnesení Radě, Komisi, místopředsedkyni Komise, vysoké představitelce Unie pro zahraniční věci a bezpečnostní politiku, vládám a parlamentům členských států a vládě a parlamentu Ukrajiny.</w:t>
      </w:r>
    </w:p>
    <w:p>
      <w:pPr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9" w:h="16834"/>
          <w:pgMar w:top="1134" w:right="1417" w:bottom="1417" w:left="1417" w:header="1134" w:footer="567"/>
          <w:cols w:space="720"/>
          <w:titlePg/>
        </w:sectPr>
      </w:pPr>
    </w:p>
    <w:p>
      <w:pPr>
        <w:pStyle w:val="PageHeading"/>
      </w:pPr>
      <w:bookmarkStart w:id="1" w:name="_Toc256000001"/>
      <w:r>
        <w:t>PŘÍLOHA: ZVEŘEJŇOVÁNÍ PODNĚTŮ</w:t>
      </w:r>
      <w:bookmarkEnd w:id="1"/>
    </w:p>
    <w:p>
      <w:pPr>
        <w:pStyle w:val="Normal12a"/>
      </w:pPr>
      <w:r>
        <w:rPr>
          <w:rStyle w:val="HideTWBExt"/>
        </w:rPr>
        <w:t>&lt;FootprintIntro&gt;</w:t>
      </w:r>
      <w:r>
        <w:rPr>
          <w:rStyle w:val="HideTWBExt"/>
        </w:rPr>
        <w:t>&lt;/FootprintIntro&gt;</w:t>
      </w:r>
    </w:p>
    <w:p>
      <w:pPr>
        <w:pStyle w:val="Normal12a"/>
      </w:pPr>
      <w:r>
        <w:t>Zpravodaj prohlašuje na svou výhradní odpovědnost, že do své zprávy nezahrnul podněty od zástupců zájmových skupin spadajících do oblasti působnosti interinstitucionální dohody o povinném rejstříku transparentnosti</w:t>
      </w:r>
      <w:r>
        <w:rPr>
          <w:rStyle w:val="FootnoteReference"/>
        </w:rPr>
        <w:footnoteReference w:customMarkFollows="1" w:id="4"/>
        <w:t xml:space="preserve">1</w:t>
      </w:r>
      <w:r>
        <w:t xml:space="preserve"> nebo představitelů orgánů třetích zemí, včetně jejich diplomatických misí a velvyslanectví, kteří musí být uvedeni v této příloze v souladu s článkem 8 přílohy I jednacího řádu.</w:t>
      </w:r>
    </w:p>
    <w:sectPr>
      <w:footnotePr>
        <w:numRestart w:val="eachSect"/>
      </w:footnotePr>
      <w:type w:val="nextPage"/>
      <w:pgSz w:w="11909" w:h="16834"/>
      <w:pgMar w:top="1134" w:right="1417" w:bottom="1417" w:left="1417" w:header="1134" w:footer="56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784.266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</w:t>
    </w:r>
    <w:r>
      <w:fldChar w:fldCharType="end"/>
    </w:r>
    <w:r>
      <w:tab/>
    </w:r>
    <w:r>
      <w:rPr>
        <w:rStyle w:val="HideTWBExt"/>
      </w:rPr>
      <w:t>&lt;PathFdR&gt;</w:t>
    </w:r>
    <w:r>
      <w:t>PR\1336727CS.docx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PR\1336727CS.docx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784.266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PR\1336727CS.docx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784.266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vertAlign w:val="superscript"/>
        </w:rPr>
        <w:t>1</w:t>
      </w:r>
      <w:r>
        <w:t xml:space="preserve"> </w:t>
      </w:r>
      <w:r>
        <w:t xml:space="preserve">Nařízení Evropského parlamentu a Rady (EU) č. 260/2012 ze dne 14. března 2012, kterým se stanoví technické a obchodní požadavky pro úhrady a inkasa v eurech a kterým se mění nařízení (ES) č. 924/2009 (Úř. věst. L 94, 30.3.2012, s. 22, ELI:. </w:t>
      </w:r>
      <w:hyperlink r:id="rId1" w:tgtFrame="http://data.europa.eu/eli/reg/2012/260/oj" w:history="1">
        <w:r>
          <w:rPr>
            <w:rStyle w:val="Hyperlink"/>
          </w:rPr>
          <w:t>http://data.europa.eu/eli/reg/2012/260/oj</w:t>
        </w:r>
      </w:hyperlink>
      <w:r>
        <w:t>).</w:t>
      </w:r>
    </w:p>
  </w:footnote>
  <w:footnote w:id="3">
    <w:p>
      <w:pPr>
        <w:pStyle w:val="FootnoteText"/>
      </w:pPr>
      <w:r>
        <w:rPr>
          <w:vertAlign w:val="superscript"/>
        </w:rPr>
        <w:t>2</w:t>
      </w:r>
      <w:r>
        <w:t xml:space="preserve"> </w:t>
      </w:r>
      <w:r>
        <w:t xml:space="preserve">Nařízení Evropského parlamentu a Rady (EU) 2024/792 ze dne 29. února 2024 o zřízení Nástroje pro Ukrajinu (Úř. věst. L, 2024/792, 29.2.2024, ELI: </w:t>
      </w:r>
      <w:hyperlink r:id="rId2" w:tgtFrame="http://data.europa.eu/eli/reg/2024/792/oj" w:history="1">
        <w:r>
          <w:rPr>
            <w:rStyle w:val="Hyperlink"/>
          </w:rPr>
          <w:t>http://data.europa.eu/eli/reg/2024/792/oj</w:t>
        </w:r>
      </w:hyperlink>
      <w:r>
        <w:t>).</w:t>
      </w:r>
    </w:p>
  </w:footnote>
  <w:footnote w:id="4">
    <w:p>
      <w:pPr>
        <w:pStyle w:val="FootnoteText"/>
      </w:pPr>
      <w:r>
        <w:rPr>
          <w:vertAlign w:val="superscript"/>
        </w:rPr>
        <w:t>1</w:t>
      </w:r>
      <w:r>
        <w:t xml:space="preserve"> </w:t>
      </w:r>
      <w:r>
        <w:t xml:space="preserve">Interinstitucionální dohoda ze dne 20. května 2021 mezi Evropským parlamentem, Radou Evropské unie a Evropskou komisí o povinném rejstříku transparentnosti (Úř. věst. L 207, 11.6.2021, s. 1, ELI: </w:t>
      </w:r>
      <w:hyperlink r:id="rId3" w:tgtFrame="http://data.europa.eu/eli/agree_interinstit/2021/611/oj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OCPage">
    <w:name w:val="TOC Page"/>
    <w:basedOn w:val="Normal"/>
    <w:pPr>
      <w:keepNext/>
      <w:widowControl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EPComma">
    <w:name w:val="EPComma"/>
    <w:basedOn w:val="Normal"/>
    <w:pPr>
      <w:widowControl/>
      <w:spacing w:before="480"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CoverNormal12a">
    <w:name w:val="CoverNormal12a"/>
    <w:basedOn w:val="Normal"/>
    <w:pPr>
      <w:widowControl/>
      <w:spacing w:after="240"/>
      <w:ind w:left="1418"/>
    </w:pPr>
  </w:style>
  <w:style w:type="paragraph" w:customStyle="1" w:styleId="LegendSign">
    <w:name w:val="LegendSign"/>
    <w:basedOn w:val="Normal"/>
    <w:pPr>
      <w:widowControl/>
      <w:tabs>
        <w:tab w:val="right" w:pos="454"/>
        <w:tab w:val="left" w:pos="736"/>
      </w:tabs>
      <w:overflowPunct/>
      <w:ind w:left="736" w:hanging="736"/>
    </w:pPr>
    <w:rPr>
      <w:sz w:val="18"/>
    </w:rPr>
  </w:style>
  <w:style w:type="paragraph" w:customStyle="1" w:styleId="LegendStandard">
    <w:name w:val="LegendStandard"/>
    <w:basedOn w:val="LegendSign"/>
    <w:pPr>
      <w:widowControl/>
      <w:ind w:left="0" w:firstLine="0"/>
    </w:pPr>
  </w:style>
  <w:style w:type="paragraph" w:customStyle="1" w:styleId="LegendTitle">
    <w:name w:val="LegendTitle"/>
    <w:basedOn w:val="Normal"/>
    <w:pPr>
      <w:widowControl/>
      <w:spacing w:before="240" w:after="240"/>
    </w:pPr>
    <w:rPr>
      <w:b/>
      <w:i/>
    </w:rPr>
  </w:style>
  <w:style w:type="paragraph" w:styleId="TOC1">
    <w:name w:val="toc 1"/>
    <w:basedOn w:val="Normal12b"/>
    <w:next w:val="Normal12b"/>
    <w:autoRedefine/>
    <w:rsid w:val="00805BCE"/>
    <w:pPr>
      <w:widowControl/>
      <w:spacing w:after="240"/>
    </w:p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pPr>
      <w:widowControl/>
      <w:spacing w:before="240"/>
    </w:pPr>
  </w:style>
  <w:style w:type="paragraph" w:customStyle="1" w:styleId="PMissingStyle">
    <w:name w:val="P_MissingStyle"/>
    <w:basedOn w:val="Normal"/>
    <w:pPr>
      <w:widowControl/>
      <w:spacing w:after="0" w:line="240" w:lineRule="auto"/>
    </w:pPr>
    <w:rPr>
      <w:rFonts w:ascii="Times New Roman" w:eastAsia="Times New Roman" w:hAnsi="Times New Roman" w:cs="Times New Roman"/>
      <w:color w:val="FFFFFF"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Next/>
      <w:widowControl/>
      <w:spacing w:before="240" w:after="240"/>
      <w:jc w:val="center"/>
      <w:outlineLvl w:val="9"/>
    </w:pPr>
    <w:rPr>
      <w:rFonts w:ascii="Arial" w:hAnsi="Arial"/>
      <w:b/>
    </w:rPr>
  </w:style>
  <w:style w:type="paragraph" w:customStyle="1" w:styleId="Normal12">
    <w:name w:val="Normal12"/>
    <w:basedOn w:val="Normal"/>
    <w:pPr>
      <w:widowControl/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NormalHanging12a4">
    <w:name w:val="NormalHanging12a4"/>
    <w:basedOn w:val="NormalHanging12a3"/>
    <w:pPr>
      <w:widowControl/>
      <w:ind w:left="2268"/>
    </w:pPr>
  </w:style>
  <w:style w:type="paragraph" w:customStyle="1" w:styleId="NormalHanging12a5">
    <w:name w:val="NormalHanging12a5"/>
    <w:basedOn w:val="NormalHanging12a4"/>
    <w:pPr>
      <w:widowControl/>
      <w:ind w:left="2692"/>
    </w:pPr>
  </w:style>
  <w:style w:type="paragraph" w:customStyle="1" w:styleId="NormalHanging12a6">
    <w:name w:val="NormalHanging12a6"/>
    <w:basedOn w:val="NormalHanging12a5"/>
    <w:pPr>
      <w:widowControl/>
      <w:ind w:left="3118"/>
    </w:pPr>
  </w:style>
  <w:style w:type="paragraph" w:customStyle="1" w:styleId="NormalHanging12a7">
    <w:name w:val="NormalHanging12a7"/>
    <w:basedOn w:val="NormalHanging12a6"/>
    <w:pPr>
      <w:widowControl/>
      <w:ind w:left="3544"/>
    </w:pPr>
  </w:style>
  <w:style w:type="paragraph" w:customStyle="1" w:styleId="NormalHanging12a1">
    <w:name w:val="NormalHanging12a1"/>
    <w:basedOn w:val="Normal"/>
    <w:pPr>
      <w:widowControl/>
      <w:overflowPunct/>
      <w:spacing w:after="240" w:line="240" w:lineRule="auto"/>
      <w:ind w:left="992" w:hanging="424"/>
    </w:pPr>
    <w:rPr>
      <w:rFonts w:ascii="Times New Roman" w:eastAsia="Times New Roman" w:hAnsi="Times New Roman" w:cs="Times New Roman"/>
      <w:sz w:val="24"/>
    </w:rPr>
  </w:style>
  <w:style w:type="paragraph" w:customStyle="1" w:styleId="NormalHanging12a2">
    <w:name w:val="NormalHanging12a2"/>
    <w:basedOn w:val="NormalHanging12a1"/>
    <w:pPr>
      <w:widowControl/>
      <w:ind w:left="1416"/>
    </w:pPr>
  </w:style>
  <w:style w:type="paragraph" w:customStyle="1" w:styleId="NormalHanging12a3">
    <w:name w:val="NormalHanging12a3"/>
    <w:basedOn w:val="NormalHanging12a2"/>
    <w:pPr>
      <w:widowControl/>
      <w:ind w:left="1842"/>
    </w:pPr>
  </w:style>
  <w:style w:type="paragraph" w:customStyle="1" w:styleId="NormalHanging">
    <w:name w:val="NormalHanging"/>
    <w:basedOn w:val="Normal"/>
    <w:pPr>
      <w:widowControl/>
      <w:overflowPunct/>
      <w:spacing w:after="240" w:line="240" w:lineRule="auto"/>
      <w:ind w:left="566" w:hanging="566"/>
    </w:pPr>
    <w:rPr>
      <w:rFonts w:ascii="Times New Roman" w:eastAsia="Times New Roman" w:hAnsi="Times New Roman" w:cs="Times New Roman"/>
      <w:sz w:val="24"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pPr>
      <w:widowControl/>
      <w:spacing w:after="240"/>
    </w:pPr>
    <w:rPr>
      <w:b/>
    </w:r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Normal12BoldUnderline">
    <w:name w:val="Normal12BoldUnderline"/>
    <w:basedOn w:val="Normal"/>
    <w:pPr>
      <w:widowControl/>
      <w:spacing w:before="480"/>
    </w:pPr>
    <w:rPr>
      <w:b/>
      <w:u w:val="single"/>
    </w:rPr>
  </w:style>
  <w:style w:type="paragraph" w:customStyle="1" w:styleId="Normal12Bullet2">
    <w:name w:val="Normal12Bullet2"/>
    <w:basedOn w:val="Normal"/>
    <w:pPr>
      <w:widowControl/>
      <w:numPr>
        <w:numId w:val="2"/>
      </w:numPr>
    </w:pPr>
  </w:style>
  <w:style w:type="paragraph" w:customStyle="1" w:styleId="NormalHangingJustified">
    <w:name w:val="NormalHangingJustified"/>
    <w:basedOn w:val="Normal"/>
    <w:pPr>
      <w:widowControl/>
      <w:overflowPunct/>
      <w:spacing w:after="240"/>
      <w:ind w:left="714" w:hanging="356"/>
      <w:jc w:val="both"/>
    </w:pPr>
  </w:style>
  <w:style w:type="paragraph" w:customStyle="1" w:styleId="NormalCenter">
    <w:name w:val="NormalCenter"/>
    <w:basedOn w:val="Normal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12/260/oj" TargetMode="External" /><Relationship Id="rId2" Type="http://schemas.openxmlformats.org/officeDocument/2006/relationships/hyperlink" Target="http://data.europa.eu/eli/reg/2024/792/oj" TargetMode="External" /><Relationship Id="rId3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7</Pages>
  <Words>1239</Words>
  <Characters>7375</Characters>
  <Application>Microsoft Office Word</Application>
  <DocSecurity>0</DocSecurity>
  <Lines>1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1336727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.render.id">
    <vt:lpwstr>412398</vt:lpwstr>
  </property>
  <property fmtid="{D5CDD505-2E9C-101B-9397-08002B2CF9AE}" pid="7" name="dmxml.render.traceId">
    <vt:lpwstr>69b155471fc9a31871a4cb62c5b47b4d</vt:lpwstr>
  </property>
  <property fmtid="{D5CDD505-2E9C-101B-9397-08002B2CF9AE}" pid="8" name="FooterPath">
    <vt:lpwstr>PR\1336727CS.doc</vt:lpwstr>
  </property>
  <property fmtid="{D5CDD505-2E9C-101B-9397-08002B2CF9AE}" pid="9" name="PE Number">
    <vt:lpwstr>784.266</vt:lpwstr>
  </property>
  <property fmtid="{D5CDD505-2E9C-101B-9397-08002B2CF9AE}" pid="10" name="UID">
    <vt:lpwstr>eu.europa.europarl-DIN1-2026-0000024142_01.06-cs-01.00_text-xml</vt:lpwstr>
  </property>
</Properties>
</file>