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{AFET}</w:t>
      </w:r>
      <w:r>
        <w:t>Udenrigsudvalget</w:t>
      </w:r>
      <w:r>
        <w:rPr>
          <w:rStyle w:val="HideTWBExt"/>
        </w:rPr>
        <w:t>&lt;/Commission&gt;</w:t>
      </w:r>
    </w:p>
    <w:p>
      <w:pPr>
        <w:pStyle w:val="LineBottom"/>
      </w:pPr>
      <w:r>
        <w:t xml:space="preserve"> </w:t>
      </w:r>
    </w:p>
    <w:p>
      <w:pPr>
        <w:pStyle w:val="CoverReference"/>
      </w:pPr>
      <w:r>
        <w:rPr>
          <w:rStyle w:val="HideTWBExt"/>
        </w:rPr>
        <w:t>&lt;RefProc&gt;</w:t>
      </w:r>
      <w:r>
        <w:t>2025/2259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{26/02/2026}</w:t>
      </w:r>
      <w:r>
        <w:t>26.02.2026</w:t>
      </w:r>
      <w:r>
        <w:rPr>
          <w:rStyle w:val="HideTWBExt"/>
        </w:rPr>
        <w:t>&lt;/Date&gt;</w:t>
      </w:r>
    </w:p>
    <w:p>
      <w:pPr>
        <w:pStyle w:val="CoverDocType24a"/>
      </w:pPr>
      <w:r>
        <w:rPr>
          <w:rStyle w:val="HideTWBExt"/>
        </w:rPr>
        <w:t>&lt;TitreType&gt;</w:t>
      </w:r>
      <w:r>
        <w:t>UDKAST TIL BETÆNKNING</w:t>
      </w:r>
      <w:r>
        <w:rPr>
          <w:rStyle w:val="HideTWBExt"/>
        </w:rPr>
        <w:t>&lt;/TitreType&gt;</w:t>
      </w:r>
    </w:p>
    <w:p>
      <w:pPr>
        <w:pStyle w:val="CoverNormal"/>
      </w:pPr>
      <w:r>
        <w:rPr>
          <w:rStyle w:val="HideTWBExt"/>
        </w:rPr>
        <w:t>&lt;Titre&gt;</w:t>
      </w:r>
      <w:r>
        <w:t>om Kommissionens 2025-rapport om Ukraine</w:t>
      </w:r>
      <w:r>
        <w:rPr>
          <w:rStyle w:val="HideTWBExt"/>
        </w:rPr>
        <w:t>&lt;/Titre&gt;</w:t>
      </w:r>
    </w:p>
    <w:p>
      <w:pPr>
        <w:pStyle w:val="CoverNormal24a"/>
      </w:pPr>
      <w:r>
        <w:rPr>
          <w:rStyle w:val="HideTWBExt"/>
        </w:rPr>
        <w:t>&lt;DocRef&gt;</w:t>
      </w:r>
      <w:r>
        <w:t>(2025/2259(INI))</w:t>
      </w:r>
      <w:r>
        <w:rPr>
          <w:rStyle w:val="HideTWBExt"/>
        </w:rPr>
        <w:t>&lt;/DocRef&gt;</w:t>
      </w:r>
    </w:p>
    <w:p>
      <w:pPr>
        <w:pStyle w:val="CoverNormal24a"/>
      </w:pPr>
      <w:r>
        <w:rPr>
          <w:rStyle w:val="HideTWBExt"/>
        </w:rPr>
        <w:t>&lt;Commission&gt;</w:t>
      </w:r>
      <w:r>
        <w:rPr>
          <w:rStyle w:val="HideTWBInt"/>
        </w:rPr>
        <w:t>{AFET}</w:t>
      </w:r>
      <w:r>
        <w:t>Udenrigsudvalget</w:t>
      </w:r>
      <w:r>
        <w:rPr>
          <w:rStyle w:val="HideTWBExt"/>
        </w:rPr>
        <w:t>&lt;/Commission&gt;</w:t>
      </w:r>
    </w:p>
    <w:p>
      <w:pPr>
        <w:pStyle w:val="CoverNormal24a"/>
      </w:pPr>
      <w:r>
        <w:t>Ordfører</w:t>
      </w:r>
      <w:r>
        <w:t xml:space="preserve">: </w:t>
      </w:r>
      <w:r>
        <w:rPr>
          <w:rStyle w:val="HideTWBExt"/>
        </w:rPr>
        <w:t>&lt;Depute&gt;</w:t>
      </w:r>
      <w:r>
        <w:t>Michael Gahler</w:t>
      </w:r>
      <w:r>
        <w:rPr>
          <w:rStyle w:val="HideTWBExt"/>
        </w:rPr>
        <w:t>&lt;/Depute&gt;</w:t>
      </w:r>
    </w:p>
    <w:p>
      <w:r>
        <w:br w:type="page"/>
      </w:r>
      <w:r>
        <w:t>PR_INI</w:t>
      </w:r>
    </w:p>
    <w:p>
      <w:pPr>
        <w:pStyle w:val="TOCHeading"/>
      </w:pPr>
      <w:r>
        <w:t>INDHOLD</w:t>
      </w:r>
    </w:p>
    <w:p>
      <w:pPr>
        <w:pStyle w:val="TOCPage"/>
      </w:pPr>
      <w:r>
        <w:t>Side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FORSLAG TIL EUROPA-PARLAMENTETS BESLUTNING</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BILAG: ERKLÆRING OM INPUT</w:t>
      </w:r>
      <w:r>
        <w:tab/>
      </w:r>
      <w:r>
        <w:fldChar w:fldCharType="begin"/>
      </w:r>
      <w:r>
        <w:instrText xml:space="preserve"> PAGEREF _Toc256000001 \h </w:instrText>
      </w:r>
      <w:r>
        <w:fldChar w:fldCharType="separate"/>
      </w:r>
      <w:r>
        <w:t>7</w:t>
      </w:r>
      <w:r>
        <w:fldChar w:fldCharType="end"/>
      </w:r>
    </w:p>
    <w:p>
      <w:pPr>
        <w:pStyle w:val="TOC1"/>
      </w:pPr>
      <w:r>
        <w:fldChar w:fldCharType="end"/>
      </w:r>
    </w:p>
    <w:p>
      <w:r>
        <w:br w:type="page"/>
      </w:r>
    </w:p>
    <w:p>
      <w:pPr>
        <w:pStyle w:val="PageHeading"/>
      </w:pPr>
      <w:bookmarkStart w:id="0" w:name="_Toc256000000"/>
      <w:r>
        <w:t>FORSLAG TIL EUROPA-PARLAMENTETS BESLUTNING</w:t>
      </w:r>
      <w:bookmarkEnd w:id="0"/>
    </w:p>
    <w:p>
      <w:pPr>
        <w:pStyle w:val="NormalBold"/>
      </w:pPr>
      <w:r>
        <w:t>om Kommissionens 2025-rapport om Ukraine</w:t>
      </w:r>
    </w:p>
    <w:p>
      <w:pPr>
        <w:pStyle w:val="NormalBold"/>
      </w:pPr>
    </w:p>
    <w:p>
      <w:pPr>
        <w:pStyle w:val="NormalBold12a"/>
      </w:pPr>
      <w:r>
        <w:t>(</w:t>
      </w:r>
      <w:r>
        <w:t>2025/2259(INI)</w:t>
      </w:r>
      <w:r>
        <w:t>)</w:t>
      </w:r>
    </w:p>
    <w:p>
      <w:pPr>
        <w:pStyle w:val="Normal12"/>
      </w:pPr>
      <w:r>
        <w:t>Europa-Parlamentet,</w:t>
      </w:r>
    </w:p>
    <w:p>
      <w:pPr>
        <w:pStyle w:val="NormalHanging"/>
      </w:pPr>
      <w:r>
        <w:t>–</w:t>
      </w:r>
      <w:r>
        <w:tab/>
      </w:r>
      <w:r>
        <w:t>der henviser til sine tidligere beslutninger om Ukraine,</w:t>
      </w:r>
    </w:p>
    <w:p>
      <w:pPr>
        <w:pStyle w:val="NormalHanging"/>
      </w:pPr>
      <w:r>
        <w:t>–</w:t>
      </w:r>
      <w:r>
        <w:tab/>
      </w:r>
      <w:r>
        <w:t>der henviser til arbejdsdokument fra Kommissionens tjenestegrene af 4. november 2025 med titlen "Ukraine 2025 Report" (SWD(2025)0759) og til den ledsagende meddelelse fra Kommissionen med titlen "Meddelelse om EU's udvidelsespolitik 2025" (COM (2025) 0690),</w:t>
      </w:r>
    </w:p>
    <w:p>
      <w:pPr>
        <w:pStyle w:val="NormalHanging"/>
      </w:pPr>
      <w:r>
        <w:t>–</w:t>
      </w:r>
      <w:r>
        <w:tab/>
      </w:r>
      <w:r>
        <w:t>der henviser til forretningsordenens artikel 55,</w:t>
      </w:r>
    </w:p>
    <w:p>
      <w:pPr>
        <w:pStyle w:val="NormalHanging"/>
      </w:pPr>
      <w:r>
        <w:t>–</w:t>
      </w:r>
      <w:r>
        <w:tab/>
      </w:r>
      <w:r>
        <w:t>der henviser til betænkning fra Udenrigsudvalget (A10-0000/2026),</w:t>
      </w:r>
    </w:p>
    <w:p>
      <w:pPr>
        <w:pStyle w:val="NormalHanging"/>
      </w:pPr>
      <w:r>
        <w:t>A.</w:t>
      </w:r>
      <w:r>
        <w:tab/>
      </w:r>
      <w:r>
        <w:t>der henviser til, at Parlamentet på det kraftigste fordømmer den russiske invasion af Ukraine og bakker op om Ukraines ret til suverænitet, uafhængighed og territorial integritet inden for dets internationalt anerkendte grænser;</w:t>
      </w:r>
    </w:p>
    <w:p>
      <w:pPr>
        <w:pStyle w:val="NormalHanging"/>
      </w:pPr>
      <w:r>
        <w:t>B.</w:t>
      </w:r>
      <w:r>
        <w:tab/>
      </w:r>
      <w:r>
        <w:t>der henviser til, at Ukraine har udvist en bemærkelsesværdig vedholdenhed i sine fremskridt hen imod EU-medlemskab, til trods for den igangværende russiske aggression;</w:t>
      </w:r>
    </w:p>
    <w:p>
      <w:pPr>
        <w:pStyle w:val="NormalHanging"/>
      </w:pPr>
      <w:r>
        <w:t>C.</w:t>
      </w:r>
      <w:r>
        <w:tab/>
      </w:r>
      <w:r>
        <w:t>der henviser til, at Ukraine fortsat bestræber sig på at tilpasse sin lovgivning til gældende EU-ret;</w:t>
      </w:r>
    </w:p>
    <w:p>
      <w:pPr>
        <w:pStyle w:val="NormalHanging"/>
      </w:pPr>
      <w:r>
        <w:t>D.</w:t>
      </w:r>
      <w:r>
        <w:tab/>
      </w:r>
      <w:r>
        <w:t>der henviser til, at der er gjort fremskridt, men at en endnu større indsats er nødvendig for at styrke retsstatsprincippet i Ukraine og bekæmpe korruption;</w:t>
      </w:r>
    </w:p>
    <w:p>
      <w:pPr>
        <w:pStyle w:val="NormalHanging"/>
      </w:pPr>
      <w:r>
        <w:t>E.</w:t>
      </w:r>
      <w:r>
        <w:tab/>
      </w:r>
      <w:r>
        <w:t>der henviser til, at Ukraines demokratiske institutioner har udvist tilpasningsevne under den militære undtagelsestilstand; der henviser til, at Ukraine fortsat bør arbejde på at udvirke gennemsigtighed og sikre magtbalancen;</w:t>
      </w:r>
    </w:p>
    <w:p>
      <w:pPr>
        <w:pStyle w:val="NormalHanging"/>
      </w:pPr>
      <w:r>
        <w:t>F.</w:t>
      </w:r>
      <w:r>
        <w:tab/>
      </w:r>
      <w:r>
        <w:t>der henviser til, at civilsamfundet fortsat er et bærende element i Ukraines modstandskraft og demokrati, selv om tilfælde af pres mod aktivister giver anledning til bekymring og kræver indgreb fra statsligt hold;</w:t>
      </w:r>
    </w:p>
    <w:p>
      <w:pPr>
        <w:pStyle w:val="NormalHanging"/>
      </w:pPr>
      <w:r>
        <w:t>G.</w:t>
      </w:r>
      <w:r>
        <w:tab/>
      </w:r>
      <w:r>
        <w:t>der henviser til, at EU-integration nyder udbredt tilslutning i det ukrainske samfund og landets institutioner og fortsat er en grundlæggende drivkraft for Ukraines demokratiske udvikling;</w:t>
      </w:r>
    </w:p>
    <w:p>
      <w:pPr>
        <w:pStyle w:val="Normal12a"/>
      </w:pPr>
      <w:r>
        <w:rPr>
          <w:b/>
        </w:rPr>
        <w:t xml:space="preserve">I. </w:t>
      </w:r>
      <w:r>
        <w:t>Status vedrørende den russiske angrebskrig og EU's sanktioner</w:t>
      </w:r>
    </w:p>
    <w:p>
      <w:pPr>
        <w:pStyle w:val="NormalHanging12a"/>
      </w:pPr>
      <w:r>
        <w:t>1.</w:t>
      </w:r>
      <w:r>
        <w:tab/>
      </w:r>
      <w:r>
        <w:t>slår atter fast, at det står helt og fuldt solidarisk med det ukrainske folk og i sin opbakning til Ukraines uafhængighed, suverænitet og territoriale integritet inden for dets internationalt anerkendte grænser; understreger kraftigt Ukraines naturlige ret til at forsvare sig selv i overensstemmelse med artikel 51 i FN-pagten;</w:t>
      </w:r>
    </w:p>
    <w:p>
      <w:pPr>
        <w:pStyle w:val="NormalHanging12a"/>
      </w:pPr>
      <w:r>
        <w:t>2.</w:t>
      </w:r>
      <w:r>
        <w:tab/>
      </w:r>
      <w:r>
        <w:t>opfordrer EU og dets medlemsstater til at øge deres bistand til at understøtte Ukraines ret til selvforsvar; fastholder, at EU og dets medlemsstater sammen med deres partnere og allierede skal bidrage til solide og retsligt bindende sikkerhedsgarantier for Ukraine for at afskrække Rusland fra yderligere angreb;</w:t>
      </w:r>
    </w:p>
    <w:p>
      <w:pPr>
        <w:pStyle w:val="NormalHanging12a"/>
      </w:pPr>
      <w:r>
        <w:t>3.</w:t>
      </w:r>
      <w:r>
        <w:tab/>
      </w:r>
      <w:r>
        <w:t>roser Kommissionens meddelelse i januar 2026 om, at den vil yde 90 mia. EUR i kritisk støtte til Ukraines budgetmæssige og militære behov i løbet af den toårige periode 2026-2027;</w:t>
      </w:r>
    </w:p>
    <w:p>
      <w:pPr>
        <w:pStyle w:val="Normal12a"/>
      </w:pPr>
      <w:r>
        <w:rPr>
          <w:b/>
        </w:rPr>
        <w:t xml:space="preserve">II. </w:t>
      </w:r>
      <w:r>
        <w:t>Engagement i EU-tiltrædelse</w:t>
      </w:r>
    </w:p>
    <w:p>
      <w:pPr>
        <w:pStyle w:val="NormalHanging12a"/>
      </w:pPr>
      <w:r>
        <w:t>4.</w:t>
      </w:r>
      <w:r>
        <w:tab/>
      </w:r>
      <w:r>
        <w:t xml:space="preserve">glæder sig overordentligt over Ukraines fortsatte engagement i at opfylde kravene til EU-medlemskab; glæder sig over afslutningen af screeningsprocessen for alle klynger og opfordrer indtrængende </w:t>
      </w:r>
      <w:r>
        <w:t>Ungarn</w:t>
      </w:r>
      <w:r>
        <w:t xml:space="preserve"> til at ophøre med at nedlægge veto mod åbning af forhandlingsklyngerne; glæder sig over Kommissionens og det cypriotiske rådsformandskabs beslutning om at fortsætte forhandlingerne på teknisk plan i forventning om, at der indledes forhandlinger i fremtiden;</w:t>
      </w:r>
    </w:p>
    <w:p>
      <w:pPr>
        <w:pStyle w:val="Normal12a"/>
      </w:pPr>
      <w:r>
        <w:rPr>
          <w:b/>
        </w:rPr>
        <w:t>III. Demokrati, retsstatsprincippet og kampen mod korruption</w:t>
      </w:r>
    </w:p>
    <w:p>
      <w:pPr>
        <w:pStyle w:val="NormalHanging12a"/>
      </w:pPr>
      <w:r>
        <w:t>5.</w:t>
      </w:r>
      <w:r>
        <w:tab/>
      </w:r>
      <w:r>
        <w:t>udtrykker anerkendelse af den ekstraordinære indsats, som fra ukrainsk hold gøres i en krigssituation for at styrke landets demokratiske institutioner; glæder sig over Ukraines fremskridt med hensyn til reform af retsvæsenet og bekæmpelse af korruption; opfordrer til vedvarende fremskridt på disse kritiske områder;</w:t>
      </w:r>
    </w:p>
    <w:p>
      <w:pPr>
        <w:pStyle w:val="NormalHanging12a"/>
      </w:pPr>
      <w:r>
        <w:t>6.</w:t>
      </w:r>
      <w:r>
        <w:tab/>
      </w:r>
      <w:r>
        <w:t>roser vedtagelsen af 10-punktsplanen for prioriterede reformer, der blev aftalt mellem EU og Ukraine i december 2025, og som har til formål at styrke retsstatsprincippet og foranstaltningerne til bekæmpelse af korruption;</w:t>
      </w:r>
    </w:p>
    <w:p>
      <w:pPr>
        <w:pStyle w:val="NormalHanging12a"/>
      </w:pPr>
      <w:r>
        <w:t>7.</w:t>
      </w:r>
      <w:r>
        <w:tab/>
      </w:r>
      <w:r>
        <w:t>anerkender den indsats, der er gjort til at forberede afholdelse af demokratiske valg, så snart den militære undtagelsestilstand er ophævet; glæder sig over genetableringen af TV-dækning fra parlamentariske forhandlinger, hvad der har styrket Ukraines demokratiske legitimitet;</w:t>
      </w:r>
    </w:p>
    <w:p>
      <w:pPr>
        <w:pStyle w:val="NormalHanging12a"/>
      </w:pPr>
      <w:r>
        <w:t>8.</w:t>
      </w:r>
      <w:r>
        <w:tab/>
      </w:r>
      <w:r>
        <w:t>gentager, at Verkhovna Rada har en afgørende rolle at udfylde for, at reformerne kan vedtages hurtigt;</w:t>
      </w:r>
    </w:p>
    <w:p>
      <w:pPr>
        <w:pStyle w:val="NormalHanging12a"/>
      </w:pPr>
      <w:r>
        <w:t>9.</w:t>
      </w:r>
      <w:r>
        <w:tab/>
      </w:r>
      <w:r>
        <w:t>opfordrer indtrængende Ukraine til fortsat at tage fat på spørgsmål, der hindrer en reform af retsvæsenet, navnlig med hensyn til retsvæsenets uafhængighed; opfordrer til en reform af sikkerhedstjenesten og DBR (det Statslige Efterforskningsagentur) med afsæt i præsident Zelenskyjs initiativ som bebudet den 2. januar 2026;</w:t>
      </w:r>
    </w:p>
    <w:p>
      <w:pPr>
        <w:pStyle w:val="NormalHanging12a"/>
      </w:pPr>
      <w:r>
        <w:t>10.</w:t>
      </w:r>
      <w:r>
        <w:tab/>
      </w:r>
      <w:r>
        <w:t>opfordrer til en revision af de foranstaltninger, der er truffet som led i den militære undtagelsestilstand, herunder "Lozovyj-ændringerne", og af anvendelsen af varetægtsfængsling; opfordrer til større gennemsigtighed vedrørende aktindsigt i offentlige akter, idet det dog anerkender de sikkerhedsmæssige hensyn, som krigssituationen fordrer; glæder sig over indførelsen af en ny lov om lobbyvirksomhed;</w:t>
      </w:r>
    </w:p>
    <w:p>
      <w:pPr>
        <w:pStyle w:val="NormalHanging12a"/>
      </w:pPr>
      <w:r>
        <w:t>11.</w:t>
      </w:r>
      <w:r>
        <w:tab/>
      </w:r>
      <w:r>
        <w:t>glæder sig over de fremskridt, som de specialiserede korruptionsbekæmpende agenturer har gjort med hensyn til at afdække og retsforfølge højtprofilerede sager; roser implementeringen af whistleblowermekanismer; opfordrer indtrængende Ukraine til at sikre, at korruptionsbekæmpende institutioner forbliver uafhængige i kraft af gennemsigtige udnævnelsesprocesser og solide bolværk mod politisk og retligt pres;</w:t>
      </w:r>
    </w:p>
    <w:p>
      <w:pPr>
        <w:pStyle w:val="NormalHanging12a"/>
      </w:pPr>
      <w:r>
        <w:t>12.</w:t>
      </w:r>
      <w:r>
        <w:tab/>
      </w:r>
      <w:r>
        <w:t>glæder sig over Ukraines medlemskab af Arbejdsgruppen vedrørende Korruption under OECD som et positivt skridt i retning af fuldt OECD-medlemskab; anerkender Ukraines fremskridt med hensyn til at gennemføre lovgivning om bekæmpelse af bestikkelse i forbindelse med internationale transaktioner;</w:t>
      </w:r>
    </w:p>
    <w:p>
      <w:pPr>
        <w:pStyle w:val="Normal12a"/>
      </w:pPr>
      <w:r>
        <w:rPr>
          <w:b/>
        </w:rPr>
        <w:t xml:space="preserve">IV. </w:t>
      </w:r>
      <w:r>
        <w:t>Grundlæggende friheds- og menneskerettigheder</w:t>
      </w:r>
    </w:p>
    <w:p>
      <w:pPr>
        <w:pStyle w:val="NormalHanging12a"/>
      </w:pPr>
      <w:r>
        <w:t>13.</w:t>
      </w:r>
      <w:r>
        <w:tab/>
      </w:r>
      <w:r>
        <w:t>roser Ukraines bestræbelser på at værne om de grundlæggende rettigheder på trods af den igangværende russiske aggression, navnlig gennemførelsen af retsstatskøreplanen, der blev vedtaget i maj 2025; opfordrer Ukraine til at fortsat understøtte betingelser for ytringsfrihed og mediernes uafhængighed; opfordrer til en gennemgang af den militære undtagelsestilstands restriktioner med henblik på at sikre, at sådanne restriktioner er nødvendige og forholdsmæssige;</w:t>
      </w:r>
    </w:p>
    <w:p>
      <w:pPr>
        <w:pStyle w:val="NormalHanging12a"/>
      </w:pPr>
      <w:r>
        <w:t>14.</w:t>
      </w:r>
      <w:r>
        <w:tab/>
      </w:r>
      <w:r>
        <w:t>glæder sig over, at det ukrainske civilsamfund fortsat er aktivt på trods af de vanskeligheder, som krigssituationen medfører; opfordrer indtrængende de ukrainske myndigheder til at styrke samråd med civilsamfundet og arbejdsmarkedets parter og til at sikre, at der tages behørigt hensyn til tilkendegivelser fra disse hold;</w:t>
      </w:r>
    </w:p>
    <w:p>
      <w:pPr>
        <w:pStyle w:val="Normal12a"/>
      </w:pPr>
      <w:r>
        <w:rPr>
          <w:b/>
        </w:rPr>
        <w:t xml:space="preserve">V. </w:t>
      </w:r>
      <w:r>
        <w:t>Regionalt samarbejde og gode naboforbindelser</w:t>
      </w:r>
    </w:p>
    <w:p>
      <w:pPr>
        <w:pStyle w:val="NormalHanging12a"/>
      </w:pPr>
      <w:r>
        <w:t>15.</w:t>
      </w:r>
      <w:r>
        <w:tab/>
      </w:r>
      <w:r>
        <w:t>glæder sig over Ukraines øgede bestræbelser på at tilpasse sin stillingtagen efter EU og Verdenshandelsorganisationen; opfordrer til tæt samordning med EU om internationale handelsforhandlinger;</w:t>
      </w:r>
    </w:p>
    <w:p>
      <w:pPr>
        <w:pStyle w:val="NormalHanging12a"/>
      </w:pPr>
      <w:r>
        <w:t>16.</w:t>
      </w:r>
      <w:r>
        <w:tab/>
      </w:r>
      <w:r>
        <w:t>roser det øgede samarbejde om sikkerheds- og forsvarsanliggender mellem Ukraine og EU og dets medlemsstater, navnlig gennem den europæiske fredsfacilitet;</w:t>
      </w:r>
    </w:p>
    <w:p>
      <w:pPr>
        <w:pStyle w:val="Normal12a"/>
      </w:pPr>
      <w:r>
        <w:rPr>
          <w:b/>
        </w:rPr>
        <w:t xml:space="preserve">VI. </w:t>
      </w:r>
      <w:r>
        <w:rPr>
          <w:b/>
        </w:rPr>
        <w:t>Socioøkonomiske reformer</w:t>
      </w:r>
    </w:p>
    <w:p>
      <w:pPr>
        <w:pStyle w:val="NormalHanging12a"/>
      </w:pPr>
      <w:r>
        <w:t>17.</w:t>
      </w:r>
      <w:r>
        <w:tab/>
      </w:r>
      <w:r>
        <w:t>opfordrer den ukrainske regering til at anlægge en systemisk tilgang til reform af den offentlige sektor og til forvaltning af offentlige finanser, således at disse bringes i overensstemmelse med den opstillede køreplan;</w:t>
      </w:r>
    </w:p>
    <w:p>
      <w:pPr>
        <w:pStyle w:val="NormalHanging12a"/>
      </w:pPr>
      <w:r>
        <w:t>18.</w:t>
      </w:r>
      <w:r>
        <w:tab/>
      </w:r>
      <w:r>
        <w:t>glæder sig over den vellykkede reform af Ukraines Styrelse for Økonomisk Sikkerhed og dets Agentur for Inddrivelse og Forvaltning af Aktiver;</w:t>
      </w:r>
    </w:p>
    <w:p>
      <w:pPr>
        <w:pStyle w:val="NormalHanging12a"/>
      </w:pPr>
      <w:r>
        <w:t>19.</w:t>
      </w:r>
      <w:r>
        <w:tab/>
      </w:r>
      <w:r>
        <w:t>opfordrer Ukraine til at fortsætte fremskridt hen imod integration i EU's indre marked; anbefaler, at landet følger de 10 prioriteter, der er skitseret i den prioriterede reformplan for det vidtgående og brede frihandelsområde mellem EU og Ukraine; glæder sig over Ukraines tiltrædelse af EU's "roaming til hjemmetakst" i januar 2026;</w:t>
      </w:r>
    </w:p>
    <w:p>
      <w:pPr>
        <w:pStyle w:val="NormalHanging12a"/>
      </w:pPr>
      <w:r>
        <w:t>20.</w:t>
      </w:r>
      <w:r>
        <w:tab/>
      </w:r>
      <w:r>
        <w:t>opfordrer til en vedvarende indsats for at liberalisere kapitalbevægelserne, herunder gennem tilpasning til forordningen om det fælles eurobetalingsområde</w:t>
      </w:r>
      <w:r>
        <w:rPr>
          <w:rStyle w:val="FootnoteReference"/>
        </w:rPr>
        <w:footnoteReference w:customMarkFollows="1" w:id="2"/>
        <w:t xml:space="preserve">1</w:t>
      </w:r>
      <w:r>
        <w:t>, og til at styrke bekæmpelsen af hvidvask af penge og finansiering af terrorisme;</w:t>
      </w:r>
    </w:p>
    <w:p>
      <w:pPr>
        <w:pStyle w:val="NormalHanging12a"/>
      </w:pPr>
      <w:r>
        <w:t>21.</w:t>
      </w:r>
      <w:r>
        <w:tab/>
      </w:r>
      <w:r>
        <w:t>roser Ukraines virkningsfulde flerniveaustyring; glæder sig over fremskridtene med hensyn til at fremme decentralisering i overensstemmelse med EU-tiltrædelseskravene; opfordrer til yderligere reformer for at styrke det lokale selvstyre;</w:t>
      </w:r>
    </w:p>
    <w:p>
      <w:pPr>
        <w:pStyle w:val="NormalHanging12a"/>
      </w:pPr>
      <w:r>
        <w:t>22.</w:t>
      </w:r>
      <w:r>
        <w:tab/>
      </w:r>
      <w:r>
        <w:t>roser Ukraine for at opfylde 63 ud af 68 reformbetingelser, der er skitseret i Ukraineplanen, og som oprindeligt var udformet til at blive gennemført efter krigens afslutning og endnu ikke gennemført i krigstid, hvilket gjorde det muligt at udbetale 26,8 mia. EUR i 2025; opfordrer til en vedvarende gennemførelsesindsats i overensstemmelse med forordning (EU) 2024/792</w:t>
      </w:r>
      <w:r>
        <w:rPr>
          <w:rStyle w:val="FootnoteReference"/>
        </w:rPr>
        <w:footnoteReference w:customMarkFollows="1" w:id="3"/>
        <w:t xml:space="preserve">2</w:t>
      </w:r>
      <w:r>
        <w:t>, navnlig for at anspore Ukraine til at tilpasse sig EU's lovgivning om offentlige udbud;</w:t>
      </w:r>
    </w:p>
    <w:p>
      <w:pPr>
        <w:pStyle w:val="Normal12a"/>
      </w:pPr>
      <w:r>
        <w:rPr>
          <w:b/>
        </w:rPr>
        <w:t xml:space="preserve">VII. </w:t>
      </w:r>
      <w:r>
        <w:t>Handel og bæredygtig udvikling</w:t>
      </w:r>
    </w:p>
    <w:p>
      <w:pPr>
        <w:pStyle w:val="NormalHanging12a"/>
      </w:pPr>
      <w:r>
        <w:t>23.</w:t>
      </w:r>
      <w:r>
        <w:tab/>
      </w:r>
      <w:r>
        <w:t>glæder sig over de betydelige fremskridt i reformerne inden for energisektoren og Ukraines tilpasning til målene i den europæiske grønne pagt og aftalen om ren industri; roser Ukraine for at have gjort gode fremskridt med gennemførelsen af sin nationale energi- og klimaplan på trods af Ruslands omfattende ødelæggelse af landets energiinfrastruktur;</w:t>
      </w:r>
    </w:p>
    <w:p>
      <w:pPr>
        <w:pStyle w:val="NormalCenter12a"/>
      </w:pPr>
      <w:r>
        <w:t>°</w:t>
      </w:r>
    </w:p>
    <w:p>
      <w:pPr>
        <w:pStyle w:val="NormalCenter12a"/>
      </w:pPr>
      <w:r>
        <w:t>°</w:t>
      </w:r>
      <w:r>
        <w:tab/>
      </w:r>
      <w:r>
        <w:t>°</w:t>
      </w:r>
    </w:p>
    <w:p>
      <w:pPr>
        <w:pStyle w:val="NormalHanging12a"/>
      </w:pPr>
      <w:r>
        <w:t>24.</w:t>
      </w:r>
      <w:r>
        <w:tab/>
      </w:r>
      <w:r>
        <w:t>pålægger sin formand at sende denne beslutning til Rådet, Kommissionen, næstformanden for Kommissionen/Unionens højtstående repræsentant for udenrigsanliggender og sikkerhedspolitik, medlemsstaternes regeringer og parlamenter og Ukraines regering og parlament.</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
      </w:pPr>
      <w:bookmarkStart w:id="1" w:name="_Toc256000001"/>
      <w:r>
        <w:t>BILAG: ERKLÆRING OM INPUT</w:t>
      </w:r>
      <w:bookmarkEnd w:id="1"/>
    </w:p>
    <w:p>
      <w:pPr>
        <w:pStyle w:val="Normal12a"/>
      </w:pPr>
      <w:r>
        <w:rPr>
          <w:rStyle w:val="HideTWBExt"/>
        </w:rPr>
        <w:t>&lt;FootprintIntro&gt;</w:t>
      </w:r>
      <w:r>
        <w:rPr>
          <w:rStyle w:val="HideTWBExt"/>
        </w:rPr>
        <w:t>&lt;/FootprintIntro&gt;</w:t>
      </w:r>
    </w:p>
    <w:p>
      <w:pPr>
        <w:pStyle w:val="Normal12a"/>
      </w:pPr>
      <w:r>
        <w:t>Ordføreren erklærer på eget ansvar, at han ikke i sin betænkning har medtaget input fra interesserepræsentanter, der er omfattet af anvendelsesområdet for den interinstitutionelle aftale om et obligatorisk åbenhedsregister</w:t>
      </w:r>
      <w:r>
        <w:rPr>
          <w:rStyle w:val="FootnoteReference"/>
        </w:rPr>
        <w:footnoteReference w:customMarkFollows="1" w:id="4"/>
        <w:t xml:space="preserve">1</w:t>
      </w:r>
      <w:r>
        <w:t>, eller fra repræsentanter for offentlige myndigheder i tredjelande, herunder deres diplomatiske missioner og ambassader, som i henhold til artikel 8 i bilag I til forretningsordenen skal angives i dette bilag.</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7</w:t>
    </w:r>
    <w:r>
      <w:fldChar w:fldCharType="end"/>
    </w:r>
    <w:r>
      <w:tab/>
    </w:r>
    <w:r>
      <w:rPr>
        <w:rStyle w:val="HideTWBExt"/>
      </w:rPr>
      <w:t>&lt;PathFdR&gt;</w:t>
    </w:r>
    <w:r>
      <w:t>PR\1336727DA.docx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PR\1336727DA.docx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7</w:t>
    </w:r>
    <w:r>
      <w:fldChar w:fldCharType="end"/>
    </w:r>
    <w:r>
      <w:tab/>
    </w:r>
    <w:r>
      <w:t>PE</w:t>
    </w:r>
    <w:r>
      <w:rPr>
        <w:rStyle w:val="HideTWBExt"/>
      </w:rPr>
      <w:t>&lt;NoPE&gt;</w:t>
    </w:r>
    <w:r>
      <w:t>784.266</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PR\1336727DA.docx</w:t>
    </w:r>
    <w:r>
      <w:rPr>
        <w:rStyle w:val="HideTWBExt"/>
      </w:rPr>
      <w:t>&lt;/PathFdR&gt;</w:t>
    </w:r>
    <w:r>
      <w:tab/>
    </w:r>
    <w:r>
      <w:tab/>
    </w:r>
    <w:r>
      <w:t>PE</w:t>
    </w:r>
    <w:r>
      <w:rPr>
        <w:rStyle w:val="HideTWBExt"/>
      </w:rPr>
      <w:t>&lt;NoPE&gt;</w:t>
    </w:r>
    <w:r>
      <w:t>784.266</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Europa-Parlamentets og Rådets forordning (EU) nr. 260/2012 af 14. marts 2012 om tekniske og forretningsmæssige krav til kreditoverførsler og direkte debiteringer i euro og om ændring af forordning (EF) nr. 924/2009 (EUT L 94 af 30.3.2012, s. 22, ELI: http://data.europa.eu/eli/reg/2012/260/oj). </w:t>
      </w:r>
      <w:hyperlink r:id="rId1" w:tgtFrame="http://data.europa.eu/eli/reg/2012/260/oj" w:history="1">
        <w:r>
          <w:rPr>
            <w:rStyle w:val="Hyperlink"/>
          </w:rPr>
          <w:t>http://data.europa.eu/eli/reg/2012/260/oj</w:t>
        </w:r>
      </w:hyperlink>
      <w:r>
        <w:t>).</w:t>
      </w:r>
    </w:p>
  </w:footnote>
  <w:footnote w:id="3">
    <w:p>
      <w:pPr>
        <w:pStyle w:val="FootnoteText"/>
      </w:pPr>
      <w:r>
        <w:rPr>
          <w:vertAlign w:val="superscript"/>
        </w:rPr>
        <w:t>2</w:t>
      </w:r>
      <w:r>
        <w:t xml:space="preserve"> </w:t>
      </w:r>
      <w:r>
        <w:t xml:space="preserve">Europa-Parlamentets og Rådets forordning (EU) 2024/792 af 29. februar 2024 om oprettelse af Ukrainefaciliteten (EUT L, 2024/792, 29.2.2024, ELI: </w:t>
      </w:r>
      <w:hyperlink r:id="rId2" w:tgtFrame="http://data.europa.eu/eli/reg/2024/792/oj" w:history="1">
        <w:r>
          <w:rPr>
            <w:rStyle w:val="Hyperlink"/>
          </w:rPr>
          <w:t>http://data.europa.eu/eli/reg/2024/792/oj</w:t>
        </w:r>
      </w:hyperlink>
      <w:r>
        <w:t>).</w:t>
      </w:r>
    </w:p>
  </w:footnote>
  <w:footnote w:id="4">
    <w:p>
      <w:pPr>
        <w:pStyle w:val="FootnoteText"/>
      </w:pPr>
      <w:r>
        <w:rPr>
          <w:vertAlign w:val="superscript"/>
        </w:rPr>
        <w:t>1</w:t>
      </w:r>
      <w:r>
        <w:t xml:space="preserve"> </w:t>
      </w:r>
      <w:r>
        <w:t xml:space="preserve">Interinstitutionel aftale af 20. maj 2021 mellem Europa-Parlamentet, Rådet for Den Europæiske Union og Europa-Kommissionen om et obligatorisk åbenhedsregister (EUT L 207 af 11.6.2021, s. 1, ELI: </w:t>
      </w:r>
      <w:hyperlink r:id="rId3"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2/260/oj" TargetMode="External" /><Relationship Id="rId2" Type="http://schemas.openxmlformats.org/officeDocument/2006/relationships/hyperlink" Target="http://data.europa.eu/eli/reg/2024/792/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Pages>
  <Words>1361</Words>
  <Characters>8608</Characters>
  <Application>Microsoft Office Word</Application>
  <DocSecurity>0</DocSecurity>
  <Lines>1</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1336727</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418551</vt:lpwstr>
  </property>
  <property fmtid="{D5CDD505-2E9C-101B-9397-08002B2CF9AE}" pid="7" name="dmxml.render.traceId">
    <vt:lpwstr>69b2d34fea0219e19a48931d7fca0c5e</vt:lpwstr>
  </property>
  <property fmtid="{D5CDD505-2E9C-101B-9397-08002B2CF9AE}" pid="8" name="FooterPath">
    <vt:lpwstr>PR\1336727DA.doc</vt:lpwstr>
  </property>
  <property fmtid="{D5CDD505-2E9C-101B-9397-08002B2CF9AE}" pid="9" name="PE Number">
    <vt:lpwstr>784.266</vt:lpwstr>
  </property>
  <property fmtid="{D5CDD505-2E9C-101B-9397-08002B2CF9AE}" pid="10" name="UID">
    <vt:lpwstr>eu.europa.europarl-DIN1-2026-0000024142_01.06-da-01.00_text-xml</vt:lpwstr>
  </property>
</Properties>
</file>