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{AFET}</w:t>
      </w:r>
      <w:r>
        <w:t>Επιτροπή Εξωτερικών Υποθέσεων</w:t>
      </w:r>
      <w:r>
        <w:rPr>
          <w:rStyle w:val="HideTWBExt"/>
        </w:rPr>
        <w:t>&lt;/Commission&gt;</w:t>
      </w:r>
    </w:p>
    <w:p>
      <w:pPr>
        <w:pStyle w:val="LineBottom"/>
      </w:pPr>
      <w:r>
        <w:t xml:space="preserve"> </w:t>
      </w:r>
    </w:p>
    <w:p>
      <w:pPr>
        <w:pStyle w:val="CoverReference"/>
      </w:pPr>
      <w:r>
        <w:rPr>
          <w:rStyle w:val="HideTWBExt"/>
        </w:rPr>
        <w:t>&lt;RefProc&gt;</w:t>
      </w:r>
      <w:r>
        <w:t>2025/2259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{26/02/2026}</w:t>
      </w:r>
      <w:r>
        <w:t>26.02.2026</w:t>
      </w:r>
      <w:r>
        <w:rPr>
          <w:rStyle w:val="HideTWBExt"/>
        </w:rPr>
        <w:t>&lt;/Date&gt;</w:t>
      </w:r>
    </w:p>
    <w:p>
      <w:pPr>
        <w:pStyle w:val="CoverDocType24a"/>
      </w:pPr>
      <w:r>
        <w:rPr>
          <w:rStyle w:val="HideTWBExt"/>
        </w:rPr>
        <w:t>&lt;TitreType&gt;</w:t>
      </w:r>
      <w:r>
        <w:t>ΣΧΕΔΙΟ ΕΚΘΕΣΗΣ</w:t>
      </w:r>
      <w:r>
        <w:rPr>
          <w:rStyle w:val="HideTWBExt"/>
        </w:rPr>
        <w:t>&lt;/TitreType&gt;</w:t>
      </w:r>
    </w:p>
    <w:p>
      <w:pPr>
        <w:pStyle w:val="CoverNormal"/>
      </w:pPr>
      <w:r>
        <w:rPr>
          <w:rStyle w:val="HideTWBExt"/>
        </w:rPr>
        <w:t>&lt;Titre&gt;</w:t>
      </w:r>
      <w:r>
        <w:t>σχετικά με την έκθεση της Επιτροπής του 2025 για την Ουκρανία</w:t>
      </w:r>
      <w:r>
        <w:rPr>
          <w:rStyle w:val="HideTWBExt"/>
        </w:rPr>
        <w:t>&lt;/Titre&gt;</w:t>
      </w:r>
    </w:p>
    <w:p>
      <w:pPr>
        <w:pStyle w:val="CoverNormal24a"/>
      </w:pPr>
      <w:r>
        <w:rPr>
          <w:rStyle w:val="HideTWBExt"/>
        </w:rPr>
        <w:t>&lt;DocRef&gt;</w:t>
      </w:r>
      <w:r>
        <w:t>(2025/2259(INI))</w:t>
      </w:r>
      <w:r>
        <w:rPr>
          <w:rStyle w:val="HideTWBExt"/>
        </w:rPr>
        <w:t>&lt;/DocRef&gt;</w:t>
      </w:r>
    </w:p>
    <w:p>
      <w:pPr>
        <w:pStyle w:val="CoverNormal24a"/>
      </w:pPr>
      <w:r>
        <w:rPr>
          <w:rStyle w:val="HideTWBExt"/>
        </w:rPr>
        <w:t>&lt;Commission&gt;</w:t>
      </w:r>
      <w:r>
        <w:rPr>
          <w:rStyle w:val="HideTWBInt"/>
        </w:rPr>
        <w:t>{AFET}</w:t>
      </w:r>
      <w:r>
        <w:t>Επιτροπή Εξωτερικών Υποθέσεων</w:t>
      </w:r>
      <w:r>
        <w:rPr>
          <w:rStyle w:val="HideTWBExt"/>
        </w:rPr>
        <w:t>&lt;/Commission&gt;</w:t>
      </w:r>
    </w:p>
    <w:p>
      <w:pPr>
        <w:pStyle w:val="CoverNormal24a"/>
      </w:pPr>
      <w:r>
        <w:t>Εισηγητής</w:t>
      </w:r>
      <w:r>
        <w:t xml:space="preserve">: </w:t>
      </w:r>
      <w:r>
        <w:rPr>
          <w:rStyle w:val="HideTWBExt"/>
        </w:rPr>
        <w:t>&lt;Depute&gt;</w:t>
      </w:r>
      <w:r>
        <w:t>Michael Gahler</w:t>
      </w:r>
      <w:r>
        <w:rPr>
          <w:rStyle w:val="HideTWBExt"/>
        </w:rPr>
        <w:t>&lt;/Depute&gt;</w:t>
      </w:r>
    </w:p>
    <w:p>
      <w:r>
        <w:br w:type="page"/>
      </w:r>
      <w:r>
        <w:t>PR_INI</w:t>
      </w:r>
    </w:p>
    <w:p>
      <w:pPr>
        <w:pStyle w:val="TOCHeading"/>
      </w:pPr>
      <w:r>
        <w:t>ΠΕΡΙΕΧΟΜΕNA</w:t>
      </w:r>
    </w:p>
    <w:p>
      <w:pPr>
        <w:pStyle w:val="TOCPage"/>
      </w:pPr>
      <w:r>
        <w:t>Σελίδα</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ΠΡΟΤΑΣΗ ΨΗΦΙΣΜΑΤΟΣ ΤΟΥ ΕΥΡΩΠΑΪΚΟΥ ΚΟΙΝΟΒΟΥΛΙΟΥ</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ΠΑΡΑΡΤΗΜΑ: ΔΗΛΩΣΗ ΕΙΣΗΓΗΣΕΩΝ</w:t>
      </w:r>
      <w:r>
        <w:tab/>
      </w:r>
      <w:r>
        <w:fldChar w:fldCharType="begin"/>
      </w:r>
      <w:r>
        <w:instrText xml:space="preserve"> PAGEREF _Toc256000001 \h </w:instrText>
      </w:r>
      <w:r>
        <w:fldChar w:fldCharType="separate"/>
      </w:r>
      <w:r>
        <w:t>8</w:t>
      </w:r>
      <w:r>
        <w:fldChar w:fldCharType="end"/>
      </w:r>
    </w:p>
    <w:p>
      <w:pPr>
        <w:pStyle w:val="TOC1"/>
      </w:pPr>
      <w:r>
        <w:fldChar w:fldCharType="end"/>
      </w:r>
    </w:p>
    <w:p>
      <w:r>
        <w:br w:type="page"/>
      </w:r>
    </w:p>
    <w:p>
      <w:pPr>
        <w:pStyle w:val="PageHeading"/>
      </w:pPr>
      <w:bookmarkStart w:id="0" w:name="_Toc256000000"/>
      <w:r>
        <w:t>ΠΡΟΤΑΣΗ ΨΗΦΙΣΜΑΤΟΣ ΤΟΥ ΕΥΡΩΠΑΪΚΟΥ ΚΟΙΝΟΒΟΥΛΙΟΥ</w:t>
      </w:r>
      <w:bookmarkEnd w:id="0"/>
    </w:p>
    <w:p>
      <w:pPr>
        <w:pStyle w:val="NormalBold"/>
      </w:pPr>
      <w:r>
        <w:t>σχετικά με την έκθεση της Επιτροπής του 2025 για την Ουκρανία</w:t>
      </w:r>
    </w:p>
    <w:p>
      <w:pPr>
        <w:pStyle w:val="NormalBold"/>
      </w:pPr>
    </w:p>
    <w:p>
      <w:pPr>
        <w:pStyle w:val="NormalBold12a"/>
      </w:pPr>
      <w:r>
        <w:t>(</w:t>
      </w:r>
      <w:r>
        <w:t>2025/2259(INI)</w:t>
      </w:r>
      <w:r>
        <w:t>)</w:t>
      </w:r>
    </w:p>
    <w:p>
      <w:pPr>
        <w:pStyle w:val="Normal12"/>
      </w:pPr>
      <w:r>
        <w:rPr>
          <w:i/>
        </w:rPr>
        <w:t>Το Ευρωπαϊκό Κοινοβούλιο</w:t>
      </w:r>
      <w:r>
        <w:t>,</w:t>
      </w:r>
    </w:p>
    <w:p>
      <w:pPr>
        <w:pStyle w:val="NormalHanging"/>
      </w:pPr>
      <w:r>
        <w:t>–</w:t>
      </w:r>
      <w:r>
        <w:tab/>
      </w:r>
      <w:r>
        <w:t>έχοντας υπόψη τα προηγούμενα ψηφίσματά του για την Ουκρανία,</w:t>
      </w:r>
    </w:p>
    <w:p>
      <w:pPr>
        <w:pStyle w:val="NormalHanging"/>
      </w:pPr>
      <w:r>
        <w:t>–</w:t>
      </w:r>
      <w:r>
        <w:tab/>
      </w:r>
      <w:r>
        <w:t>έχοντας υπόψη το έγγραφο εργασίας των υπηρεσιών της Επιτροπής, της 4ης Νοεμβρίου 2025, με τίτλο «Έκθεση του 2025 για την Ουκρανία» (SWD (2025) 0759) και τη συνοδευτική ανακοίνωση της Επιτροπής με τίτλο «Ανακοίνωση του 2025 σχετικά με την πολιτική διεύρυνσης της ΕΕ» (COM (2025) 0690),</w:t>
      </w:r>
    </w:p>
    <w:p>
      <w:pPr>
        <w:pStyle w:val="NormalHanging"/>
      </w:pPr>
      <w:r>
        <w:t>–</w:t>
      </w:r>
      <w:r>
        <w:tab/>
      </w:r>
      <w:r>
        <w:t>έχοντας υπόψη το άρθρο 55 του Κανονισμού του,</w:t>
      </w:r>
    </w:p>
    <w:p>
      <w:pPr>
        <w:pStyle w:val="NormalHanging"/>
      </w:pPr>
      <w:r>
        <w:t>–</w:t>
      </w:r>
      <w:r>
        <w:tab/>
      </w:r>
      <w:r>
        <w:t>έχοντας υπόψη την έκθεση της Επιτροπής Εξωτερικών Υποθέσεων (A10-0000/2026),</w:t>
      </w:r>
    </w:p>
    <w:p>
      <w:pPr>
        <w:pStyle w:val="NormalHanging"/>
      </w:pPr>
      <w:r>
        <w:t>Α.</w:t>
      </w:r>
      <w:r>
        <w:tab/>
      </w:r>
      <w:r>
        <w:t>λαμβάνοντας υπόψη ότι το Κοινοβούλιο καταδικάζει απερίφραστα την επίθεση της Ρωσίας κατά της Ουκρανίας και στηρίζει το δικαίωμα της Ουκρανίας στην κυριαρχία, την ανεξαρτησία και την εδαφική ακεραιότητα εντός των διεθνώς αναγνωρισμένων συνόρων της·</w:t>
      </w:r>
    </w:p>
    <w:p>
      <w:pPr>
        <w:pStyle w:val="NormalHanging"/>
      </w:pPr>
      <w:r>
        <w:t>Β.</w:t>
      </w:r>
      <w:r>
        <w:tab/>
      </w:r>
      <w:r>
        <w:t>λαμβάνοντας υπόψη ότι η Ουκρανία έχει επιδείξει αξιοσημείωτη ανθεκτικότητα στην πορεία της προς την ένταξη στην ΕΕ, παρά τον συνεχιζόμενο επιθετικό πόλεμο της Ρωσίας·</w:t>
      </w:r>
    </w:p>
    <w:p>
      <w:pPr>
        <w:pStyle w:val="NormalHanging"/>
      </w:pPr>
      <w:r>
        <w:t>Γ.</w:t>
      </w:r>
      <w:r>
        <w:tab/>
      </w:r>
      <w:r>
        <w:t>λαμβάνοντας υπόψη ότι η Ουκρανία παραμένει προσηλωμένη στην ευθυγράμμιση της νομοθεσίας της με το κεκτημένο της ΕΕ·</w:t>
      </w:r>
    </w:p>
    <w:p>
      <w:pPr>
        <w:pStyle w:val="NormalHanging"/>
      </w:pPr>
      <w:r>
        <w:t>Δ.</w:t>
      </w:r>
      <w:r>
        <w:tab/>
      </w:r>
      <w:r>
        <w:t>λαμβάνοντας υπόψη ότι έχει σημειωθεί πρόοδος, αλλά απαιτούνται περισσότερες προσπάθειες για την ενίσχυση του κράτους δικαίου στην Ουκρανία και την καταπολέμηση της διαφθοράς·</w:t>
      </w:r>
    </w:p>
    <w:p>
      <w:pPr>
        <w:pStyle w:val="NormalHanging"/>
      </w:pPr>
      <w:r>
        <w:t>Ε.</w:t>
      </w:r>
      <w:r>
        <w:tab/>
      </w:r>
      <w:r>
        <w:t>λαμβάνοντας υπόψη ότι οι δημοκρατικοί θεσμοί της Ουκρανίας έχουν επιδείξει προσαρμοστικότητα στο πλαίσιο του στρατιωτικού νόμου· λαμβάνοντας υπόψη ότι η Ουκρανία θα πρέπει να συνεχίσει να εργάζεται για τη διασφάλιση της διαφάνειας και της ισορροπίας δυνάμεων·</w:t>
      </w:r>
    </w:p>
    <w:p>
      <w:pPr>
        <w:pStyle w:val="NormalHanging"/>
      </w:pPr>
      <w:r>
        <w:t>ΣΤ.</w:t>
      </w:r>
      <w:r>
        <w:tab/>
      </w:r>
      <w:r>
        <w:t>λαμβάνοντας υπόψη ότι η κοινωνία των πολιτών παραμένει πυλώνας ανθεκτικότητας και δημοκρατίας στην Ουκρανία, αν και περιστατικά άσκησης πίεσης κατά ακτιβιστών εγείρουν ανησυχίες και επιτάσσουν την ανάληψη κυβερνητικής δράσης·</w:t>
      </w:r>
    </w:p>
    <w:p>
      <w:pPr>
        <w:pStyle w:val="NormalHanging"/>
      </w:pPr>
      <w:r>
        <w:t>Ζ.</w:t>
      </w:r>
      <w:r>
        <w:tab/>
      </w:r>
      <w:r>
        <w:t>λαμβάνοντας υπόψη ότι η ένταξη στην ΕΕ υποστηρίζεται ευρέως από το σύνολο της κοινωνίας και των θεσμών της Ουκρανίας και παραμένει θεμελιώδης κινητήρια δύναμη για τη δημοκρατική ανάπτυξη της Ουκρανίας·</w:t>
      </w:r>
    </w:p>
    <w:p>
      <w:pPr>
        <w:pStyle w:val="Normal12a"/>
      </w:pPr>
      <w:r>
        <w:rPr>
          <w:b/>
        </w:rPr>
        <w:t xml:space="preserve">I. </w:t>
      </w:r>
      <w:r>
        <w:t>Τρέχουσα κατάσταση όσον αφορά τον επιθετικό πόλεμο της Ρωσίας και τις κυρώσεις της ΕΕ</w:t>
      </w:r>
    </w:p>
    <w:p>
      <w:pPr>
        <w:pStyle w:val="NormalHanging12a"/>
      </w:pPr>
      <w:r>
        <w:t>1.</w:t>
      </w:r>
      <w:r>
        <w:tab/>
      </w:r>
      <w:r>
        <w:t>επαναλαμβάνει την αταλάντευτη αλληλεγγύη του με τον λαό της Ουκρανίας, καθώς και τη στήριξή του υπέρ της ανεξαρτησίας, της κυριαρχίας και της εδαφικής ακεραιότητας της χώρας εντός των διεθνώς αναγνωρισμένων συνόρων της· υπογραμμίζει με έμφαση το φυσικό δικαίωμα της Ουκρανίας στην αυτοάμυνα σύμφωνα με το άρθρο 51 του Χάρτη των Ηνωμένων Εθνών·</w:t>
      </w:r>
    </w:p>
    <w:p>
      <w:pPr>
        <w:pStyle w:val="NormalHanging12a"/>
      </w:pPr>
      <w:r>
        <w:t>2.</w:t>
      </w:r>
      <w:r>
        <w:tab/>
      </w:r>
      <w:r>
        <w:t>καλεί την ΕΕ και τα κράτη μέλη της να αυξήσουν τη βοήθεια για την προάσπιση του δικαιώματος της Ουκρανίας στην αυτοάμυνα· επιμένει ότι η ΕΕ και τα κράτη μέλη της, από κοινού με εταίρους και συμμάχους, πρέπει να συμβάλουν στην παροχή ισχυρών και νομικά δεσμευτικών εγγυήσεων ασφάλειας για την Ουκρανία, προκειμένου να αποτραπεί περαιτέρω επίθεση της Ρωσίας·</w:t>
      </w:r>
    </w:p>
    <w:p>
      <w:pPr>
        <w:pStyle w:val="NormalHanging12a"/>
      </w:pPr>
      <w:r>
        <w:t>3.</w:t>
      </w:r>
      <w:r>
        <w:tab/>
      </w:r>
      <w:r>
        <w:t>επαινεί την εξαγγελία στην οποία προέβη η Επιτροπή τον Ιανουάριο του 2026, ότι θα παράσχει 90 δισεκατομμύρια EUR σε κρίσιμης σημασίας στήριξη για τις δημοσιονομικές και στρατιωτικές ανάγκες της Ουκρανίας κατά τη διετία 2026-2027·</w:t>
      </w:r>
    </w:p>
    <w:p>
      <w:pPr>
        <w:pStyle w:val="Normal12a"/>
      </w:pPr>
      <w:r>
        <w:rPr>
          <w:b/>
        </w:rPr>
        <w:t>II. Δέσμευση για την προσχώρηση στην ΕΕ</w:t>
      </w:r>
    </w:p>
    <w:p>
      <w:pPr>
        <w:pStyle w:val="NormalHanging12a"/>
      </w:pPr>
      <w:r>
        <w:t>4.</w:t>
      </w:r>
      <w:r>
        <w:tab/>
      </w:r>
      <w:r>
        <w:t xml:space="preserve">εκφράζει την έντονη ικανοποίησή του για τη συνεχιζόμενη προσήλωση της Ουκρανίας στην εκπλήρωση των απαιτήσεων προσχώρησης στην ΕΕ· εκφράζει την ικανοποίησή του για την ολοκλήρωση της διαδικασίας ελέγχου για όλες τις ομάδες και παροτρύνει έντονα την </w:t>
      </w:r>
      <w:r>
        <w:t>Ουγγαρία</w:t>
      </w:r>
      <w:r>
        <w:t xml:space="preserve"> να σταματήσει να ασκεί βέτο στο άνοιγμα των διαπραγματευτικών ομάδων· χαιρετίζει την απόφαση της Επιτροπής και της Κυπριακής Προεδρίας του Συμβουλίου να συνεχίσουν τις διαπραγματεύσεις σε τεχνικό επίπεδο εν αναμονή της έναρξης των διαπραγματεύσεων στο μέλλον·</w:t>
      </w:r>
    </w:p>
    <w:p>
      <w:pPr>
        <w:pStyle w:val="Normal12a"/>
      </w:pPr>
      <w:r>
        <w:rPr>
          <w:b/>
        </w:rPr>
        <w:t>III. Δημοκρατία, κράτος δικαίου και καταπολέμηση της διαφθοράς</w:t>
      </w:r>
    </w:p>
    <w:p>
      <w:pPr>
        <w:pStyle w:val="NormalHanging12a"/>
      </w:pPr>
      <w:r>
        <w:t>5.</w:t>
      </w:r>
      <w:r>
        <w:tab/>
      </w:r>
      <w:r>
        <w:t>αναγνωρίζει τις εξαιρετικές προσπάθειες της Ουκρανίας για την ενίσχυση των δημοκρατικών θεσμών κατά τη διάρκεια του πολέμου· χαιρετίζει την πρόοδο της Ουκρανίας όσον αφορά τη μεταρρύθμιση του δικαστικού συστήματος και την καταπολέμηση της διαφθοράς· ζητεί να επιτευχθεί σταθερή πρόοδος σε αυτούς τους κρίσιμους τομείς·</w:t>
      </w:r>
    </w:p>
    <w:p>
      <w:pPr>
        <w:pStyle w:val="NormalHanging12a"/>
      </w:pPr>
      <w:r>
        <w:t>6.</w:t>
      </w:r>
      <w:r>
        <w:tab/>
      </w:r>
      <w:r>
        <w:t>επαινεί την έγκριση του μεταρρυθμιστικού σχεδίου προτεραιότητας 10 σημείων που συμφωνήθηκε μεταξύ της ΕΕ και της Ουκρανίας τον Δεκέμβριο του 2025, το οποίο αποσκοπεί στην ενίσχυση του κράτους δικαίου και των μέτρων για την καταπολέμηση της διαφθοράς·</w:t>
      </w:r>
    </w:p>
    <w:p>
      <w:pPr>
        <w:pStyle w:val="NormalHanging12a"/>
      </w:pPr>
      <w:r>
        <w:t>7.</w:t>
      </w:r>
      <w:r>
        <w:tab/>
      </w:r>
      <w:r>
        <w:t>αναγνωρίζει τις προσπάθειες που καταβάλλονται στο πλαίσιο της προετοιμασίας για τις δημοκρατικές εκλογές, οι οποίες θα διεξαχθούν μόλις αρθεί ο στρατιωτικός νόμος· χαιρετίζει την αποκατάσταση των κοινοβουλευτικών εκπομπών, η οποία ενίσχυσε τη δημοκρατική νομιμότητα της Ουκρανίας·</w:t>
      </w:r>
    </w:p>
    <w:p>
      <w:pPr>
        <w:pStyle w:val="NormalHanging12a"/>
      </w:pPr>
      <w:r>
        <w:t>8.</w:t>
      </w:r>
      <w:r>
        <w:tab/>
      </w:r>
      <w:r>
        <w:t>επαναλαμβάνει τον ζωτικό ρόλο της Verkhovna Rada στην ταχεία έγκριση των μεταρρυθμίσεων·</w:t>
      </w:r>
    </w:p>
    <w:p>
      <w:pPr>
        <w:pStyle w:val="NormalHanging12a"/>
      </w:pPr>
      <w:r>
        <w:t>9.</w:t>
      </w:r>
      <w:r>
        <w:tab/>
      </w:r>
      <w:r>
        <w:t>παροτρύνει την Ουκρανία να συνεχίσει να αντιμετωπίζει τα ζητήματα που εμποδίζουν τη δικαστική μεταρρύθμιση, ιδίως όσον αφορά την ανεξαρτησία της δικαιοσύνης· ζητεί τη μεταρρύθμιση της Υπηρεσίας Ασφαλείας και της Κρατικής Υπηρεσίας Ερευνών, με βάση την πρωτοβουλία του Προέδρου Zelenskyy, όπως ανακοινώθηκε στις 2 Ιανουαρίου 2026·</w:t>
      </w:r>
    </w:p>
    <w:p>
      <w:pPr>
        <w:pStyle w:val="NormalHanging12a"/>
      </w:pPr>
      <w:r>
        <w:t>10.</w:t>
      </w:r>
      <w:r>
        <w:tab/>
      </w:r>
      <w:r>
        <w:t>ζητεί την επανεξέταση των μέτρων στρατιωτικού νόμου, συμπεριλαμβανομένων των «τροποποιήσεων Lozovyi», και των πρακτικών προσωρινής κράτησης· ενθαρρύνει την αύξηση της διαφάνειας όσον αφορά την πρόσβαση σε δημόσια αρχεία, αναγνωρίζοντας παράλληλα τις ανάγκες ασφάλειας κατά τη διάρκεια του πολέμου· χαιρετίζει τη θέσπιση νέου νόμου για την άσκηση πίεσης ή επιρροής από ομάδες συμφερόντων·</w:t>
      </w:r>
    </w:p>
    <w:p>
      <w:pPr>
        <w:pStyle w:val="NormalHanging12a"/>
      </w:pPr>
      <w:r>
        <w:t>11.</w:t>
      </w:r>
      <w:r>
        <w:tab/>
      </w:r>
      <w:r>
        <w:t>εκφράζει την ικανοποίησή του για την πρόοδο που επέτυχαν οι εξειδικευμένες υπηρεσίες καταπολέμησης της διαφθοράς όσον αφορά την αποκάλυψη και τη δίωξη προβεβλημένων υποθέσεων· επαινεί την εφαρμογή μηχανισμών καταγγελίας δυσλειτουργιών· παροτρύνει την Ουκρανία να διασφαλίσει ότι τα θεσμικά όργανα για την καταπολέμηση της διαφθοράς θα παραμείνουν ανεξάρτητα μέσω διαφανών διαδικασιών διορισμού και ισχυρών διασφαλίσεων έναντι πολιτικών και δικαστικών πιέσεων·</w:t>
      </w:r>
    </w:p>
    <w:p>
      <w:pPr>
        <w:pStyle w:val="NormalHanging12a"/>
      </w:pPr>
      <w:r>
        <w:t>12.</w:t>
      </w:r>
      <w:r>
        <w:tab/>
      </w:r>
      <w:r>
        <w:t>χαιρετίζει τη συμμετοχή της Ουκρανίας στην ομάδα εργασίας για τη δωροδοκία του Οργανισμού Οικονομικής Συνεργασίας και Ανάπτυξης (ΟΟΣΑ) ως θετικό βήμα προς την πλήρη συμμετοχή στον ΟΟΣΑ· αναγνωρίζει την πρόοδο της Ουκρανίας όσον αφορά την εφαρμογή της νομοθεσίας για την καταπολέμηση της δωροδοκίας στις διεθνείς συναλλαγές·</w:t>
      </w:r>
    </w:p>
    <w:p>
      <w:pPr>
        <w:pStyle w:val="Normal12a"/>
      </w:pPr>
      <w:r>
        <w:rPr>
          <w:b/>
        </w:rPr>
        <w:t>IV. Θεμελιώδεις</w:t>
      </w:r>
      <w:r>
        <w:t xml:space="preserve"> </w:t>
      </w:r>
      <w:r>
        <w:rPr>
          <w:b/>
        </w:rPr>
        <w:t>ελευθερίες και ανθρώπινα δικαιώματα</w:t>
      </w:r>
    </w:p>
    <w:p>
      <w:pPr>
        <w:pStyle w:val="NormalHanging12a"/>
      </w:pPr>
      <w:r>
        <w:t>13.</w:t>
      </w:r>
      <w:r>
        <w:tab/>
      </w:r>
      <w:r>
        <w:t>επαινεί τη δέσμευση της Ουκρανίας για προάσπιση των θεμελιωδών δικαιωμάτων παρά τη συνεχιζόμενη ρωσική επίθεση, ιδίως μέσω της εφαρμογής του χάρτη πορείας για το κράτος δικαίου που εγκρίθηκε τον Μάιο του 2025· καλεί την Ουκρανία να διασφαλίσει τη συνεχή στήριξη της ελευθερίας της έκφρασης και της ανεξαρτησίας των μέσων ενημέρωσης· ζητεί την επανεξέταση των περιορισμών που επιβάλλει ο στρατιωτικός νόμος προκειμένου να διασφαλιστεί ότι οι εν λόγω περιορισμοί είναι αναγκαίοι και αναλογικοί·</w:t>
      </w:r>
    </w:p>
    <w:p>
      <w:pPr>
        <w:pStyle w:val="NormalHanging12a"/>
      </w:pPr>
      <w:r>
        <w:t>14.</w:t>
      </w:r>
      <w:r>
        <w:tab/>
      </w:r>
      <w:r>
        <w:t>εκφράζει την ικανοποίησή του για το γεγονός ότι η ουκρανική κοινωνία των πολιτών έχει παραμείνει ενεργή παρά τις δυσκολίες που αντιμετώπισε κατά τη διάρκεια του πολέμου· παροτρύνει τις ουκρανικές αρχές να ενισχύσουν τη διαβούλευση με την κοινωνία των πολιτών και τους κοινωνικούς εταίρους και να διασφαλίσουν ότι θα λαμβάνονται δεόντως υπόψη οι εισηγήσεις που δέχεται από αυτούς·</w:t>
      </w:r>
    </w:p>
    <w:p>
      <w:pPr>
        <w:pStyle w:val="Normal12a"/>
      </w:pPr>
      <w:r>
        <w:rPr>
          <w:b/>
        </w:rPr>
        <w:t>V. Περιφερειακή</w:t>
      </w:r>
      <w:r>
        <w:t xml:space="preserve"> </w:t>
      </w:r>
      <w:r>
        <w:rPr>
          <w:b/>
        </w:rPr>
        <w:t>συνεργασία και σχέσεις καλής γειτονίας</w:t>
      </w:r>
    </w:p>
    <w:p>
      <w:pPr>
        <w:pStyle w:val="NormalHanging12a"/>
      </w:pPr>
      <w:r>
        <w:t>15.</w:t>
      </w:r>
      <w:r>
        <w:tab/>
      </w:r>
      <w:r>
        <w:t>εκφράζει την ικανοποίησή του για τις αυξημένες προσπάθειες της Ουκρανίας να ευθυγραμμίσει τις θέσεις της με την ΕΕ και τον Παγκόσμιο Οργανισμό Εμπορίου· ενθαρρύνει τον στενό συντονισμό με την ΕΕ όσον αφορά τις διεθνείς εμπορικές διαπραγματεύσεις·</w:t>
      </w:r>
    </w:p>
    <w:p>
      <w:pPr>
        <w:pStyle w:val="NormalHanging12a"/>
      </w:pPr>
      <w:r>
        <w:t>16.</w:t>
      </w:r>
      <w:r>
        <w:tab/>
      </w:r>
      <w:r>
        <w:t>επαινεί την αυξημένη συνεργασία σε θέματα ασφάλειας και άμυνας μεταξύ της Ουκρανίας και της ΕΕ και των κρατών μελών της, ιδίως μέσω του Ευρωπαϊκού Μηχανισμού για την Ειρήνη·</w:t>
      </w:r>
    </w:p>
    <w:p>
      <w:pPr>
        <w:pStyle w:val="Normal12a"/>
      </w:pPr>
      <w:r>
        <w:rPr>
          <w:b/>
        </w:rPr>
        <w:t xml:space="preserve">VI. </w:t>
      </w:r>
      <w:r>
        <w:rPr>
          <w:b/>
        </w:rPr>
        <w:t>Κοινωνικοοικονομικές μεταρρυθμίσεις</w:t>
      </w:r>
    </w:p>
    <w:p>
      <w:pPr>
        <w:pStyle w:val="NormalHanging12a"/>
      </w:pPr>
      <w:r>
        <w:t>17.</w:t>
      </w:r>
      <w:r>
        <w:tab/>
      </w:r>
      <w:r>
        <w:t>ενθαρρύνει την ουκρανική κυβέρνηση να υιοθετήσει μια συστημική προσέγγιση όσον αφορά τη μεταρρύθμιση της δημόσιας διοίκησης και τη διαχείριση των δημόσιων οικονομικών, διασφαλίζοντας την ευθυγράμμιση με τον υφιστάμενο χάρτη πορείας·</w:t>
      </w:r>
    </w:p>
    <w:p>
      <w:pPr>
        <w:pStyle w:val="NormalHanging12a"/>
      </w:pPr>
      <w:r>
        <w:t>18.</w:t>
      </w:r>
      <w:r>
        <w:tab/>
      </w:r>
      <w:r>
        <w:t>χαιρετίζει την επιτυχή μεταρρύθμιση του Γραφείου Οικονομικής Ασφάλειας της Ουκρανίας και της Υπηρεσίας Ανάκτησης και Διαχείρισης Περιουσιακών Στοιχείων της·</w:t>
      </w:r>
    </w:p>
    <w:p>
      <w:pPr>
        <w:pStyle w:val="NormalHanging12a"/>
      </w:pPr>
      <w:r>
        <w:t>19.</w:t>
      </w:r>
      <w:r>
        <w:tab/>
      </w:r>
      <w:r>
        <w:t>ενθαρρύνει την Ουκρανία να συνεχίσει να προχωρά προς την ένταξη στην ενιαία αγορά της ΕΕ· συνιστά να ακολουθήσει τις 10 προτεραιότητες που περιγράφονται στο σχέδιο δράσης προτεραιότητας της σφαιρικής και σε βάθος ζώνης ελεύθερων συναλλαγών ΕΕ-Ουκρανίας· χαιρετίζει την προσχώρηση της Ουκρανίας στην «περιαγωγή με χρέωση εσωτερικού» της ΕΕ τον Ιανουάριο του 2026·</w:t>
      </w:r>
    </w:p>
    <w:p>
      <w:pPr>
        <w:pStyle w:val="NormalHanging12a"/>
      </w:pPr>
      <w:r>
        <w:t>20.</w:t>
      </w:r>
      <w:r>
        <w:tab/>
      </w:r>
      <w:r>
        <w:t>ζητεί την καταβολή συνεχών προσπαθειών για την ελευθέρωση των κινήσεων κεφαλαίων, μεταξύ άλλων μέσω της ευθυγράμμισης με τον κανονισμό για τον ενιαίο χώρο πληρωμών σε ευρώ</w:t>
      </w:r>
      <w:r>
        <w:rPr>
          <w:rStyle w:val="FootnoteReference"/>
        </w:rPr>
        <w:footnoteReference w:customMarkFollows="1" w:id="2"/>
        <w:t xml:space="preserve">1</w:t>
      </w:r>
      <w:r>
        <w:t>, και για την ενίσχυση της καταπολέμησης της νομιμοποίησης εσόδων από παράνομες δραστηριότητες και της χρηματοδότησης της τρομοκρατίας·</w:t>
      </w:r>
    </w:p>
    <w:p>
      <w:pPr>
        <w:pStyle w:val="NormalHanging12a"/>
      </w:pPr>
      <w:r>
        <w:t>21.</w:t>
      </w:r>
      <w:r>
        <w:tab/>
      </w:r>
      <w:r>
        <w:t>επαινεί την αποτελεσματική πολυεπίπεδη διακυβέρνηση της Ουκρανίας· χαιρετίζει την πρόοδο στην προώθηση της αποκέντρωσης σύμφωνα με τις απαιτήσεις προσχώρησης στην ΕΕ· ζητεί περαιτέρω μεταρρυθμίσεις για την ενδυνάμωση της τοπικής αυτοδιοίκησης·</w:t>
      </w:r>
    </w:p>
    <w:p>
      <w:pPr>
        <w:pStyle w:val="NormalHanging12a"/>
      </w:pPr>
      <w:r>
        <w:t>22.</w:t>
      </w:r>
      <w:r>
        <w:tab/>
      </w:r>
      <w:r>
        <w:t>συγχαίρει την Ουκρανία για την εκπλήρωση 63 από τους 68 μεταρρυθμιστικούς όρους που περιγράφονται στο σχέδιο για την Ουκρανία, το οποίο ενώ είχε αρχικά σχεδιαστεί για να εφαρμοστεί μετά το τέλος του πολέμου, υλοποιείται, ωστόσο, κατά τη διάρκεια του πολέμου, επιτρέποντας την εκταμίευση 26.8 δισεκατομμυρίων EUR το 2025· ζητεί την καταβολή συνεχών προσπαθειών εφαρμογής, σύμφωνα με τον κανονισμό (ΕΕ) 2024/792</w:t>
      </w:r>
      <w:r>
        <w:rPr>
          <w:rStyle w:val="FootnoteReference"/>
        </w:rPr>
        <w:footnoteReference w:customMarkFollows="1" w:id="3"/>
        <w:t xml:space="preserve">2</w:t>
      </w:r>
      <w:r>
        <w:t>, ιδίως για να ενθαρρυνθεί η Ουκρανία να ευθυγραμμιστεί με τη νομοθεσία της ΕΕ για τις δημόσιες συμβάσεις·</w:t>
      </w:r>
    </w:p>
    <w:p>
      <w:pPr>
        <w:pStyle w:val="Normal12a"/>
      </w:pPr>
      <w:r>
        <w:rPr>
          <w:b/>
        </w:rPr>
        <w:t xml:space="preserve">VII. </w:t>
      </w:r>
      <w:r>
        <w:t>Ενέργεια και βιώσιμη ανάπτυξη</w:t>
      </w:r>
    </w:p>
    <w:p>
      <w:pPr>
        <w:pStyle w:val="NormalHanging12a"/>
      </w:pPr>
      <w:r>
        <w:t>23.</w:t>
      </w:r>
      <w:r>
        <w:tab/>
      </w:r>
      <w:r>
        <w:t>εκφράζει την ικανοποίησή του για τη σημαντική πρόοδο που έχει σημειωθεί όσον αφορά τις μεταρρυθμίσεις στον τομέα της ενέργειας και την ευθυγράμμιση της Ουκρανίας με τους στόχους της Ευρωπαϊκής Πράσινης Συμφωνίας και της Συμφωνίας για Καθαρή Βιομηχανία· συγχαίρει την Ουκρανία για την ικανοποιητική πρόοδο που σημείωσε όσον αφορά την εφαρμογή του εθνικού της σχεδίου για την ενέργεια και το κλίμα, παρά την εκτεταμένη καταστροφή των ενεργειακών υποδομών της Ουκρανίας από τη Ρωσία·</w:t>
      </w:r>
    </w:p>
    <w:p>
      <w:pPr>
        <w:pStyle w:val="NormalCenter12a"/>
      </w:pPr>
      <w:r>
        <w:t>°</w:t>
      </w:r>
    </w:p>
    <w:p>
      <w:pPr>
        <w:pStyle w:val="NormalCenter12a"/>
      </w:pPr>
      <w:r>
        <w:t>°</w:t>
      </w:r>
      <w:r>
        <w:tab/>
      </w:r>
      <w:r>
        <w:t>°</w:t>
      </w:r>
    </w:p>
    <w:p>
      <w:pPr>
        <w:pStyle w:val="NormalHanging12a"/>
      </w:pPr>
      <w:r>
        <w:t>24.</w:t>
      </w:r>
      <w:r>
        <w:tab/>
      </w:r>
      <w:r>
        <w:t>αναθέτει στην Πρόεδρό του να διαβιβάσει το παρόν ψήφισμα στο Συμβούλιο, στην Επιτροπή, στον Αντιπρόεδρο της Επιτροπής/Ύπατο Εκπρόσωπο της Ένωσης για Θέματα Εξωτερικής Πολιτικής και Πολιτικής Ασφαλείας, στις κυβερνήσεις και τα κοινοβούλια των κρατών μελών, καθώς και στην κυβέρνηση και το κοινοβούλιο της Ουκρανίας.</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
      </w:pPr>
      <w:bookmarkStart w:id="1" w:name="_Toc256000001"/>
      <w:r>
        <w:t>ΠΑΡΑΡΤΗΜΑ: ΔΗΛΩΣΗ ΕΙΣΗΓΗΣΕΩΝ</w:t>
      </w:r>
      <w:bookmarkEnd w:id="1"/>
    </w:p>
    <w:p>
      <w:pPr>
        <w:pStyle w:val="Normal12a"/>
      </w:pPr>
      <w:r>
        <w:rPr>
          <w:rStyle w:val="HideTWBExt"/>
        </w:rPr>
        <w:t>&lt;FootprintIntro&gt;</w:t>
      </w:r>
      <w:r>
        <w:rPr>
          <w:rStyle w:val="HideTWBExt"/>
        </w:rPr>
        <w:t>&lt;/FootprintIntro&gt;</w:t>
      </w:r>
    </w:p>
    <w:p>
      <w:pPr>
        <w:pStyle w:val="Normal12a"/>
      </w:pPr>
      <w:r>
        <w:t>Ο εισηγητής δηλώνει, υπό την αποκλειστική του ευθύνη, ότι δεν έχει συμπεριλάβει στην έκθεσή του εισηγήσεις από εκπροσώπους συμφερόντων που εμπίπτουν στο πεδίο εφαρμογής της διοργανικής συμφωνίας για ένα υποχρεωτικό μητρώο διαφάνειας</w:t>
      </w:r>
      <w:r>
        <w:rPr>
          <w:rStyle w:val="FootnoteReference"/>
        </w:rPr>
        <w:footnoteReference w:customMarkFollows="1" w:id="4"/>
        <w:t xml:space="preserve">1</w:t>
      </w:r>
      <w:r>
        <w:t xml:space="preserve"> ή από εκπροσώπους δημόσιων αρχών τρίτων χωρών, συμπεριλαμβανομένων των διπλωματικών αποστολών και πρεσβειών τους, οι οποίες πρέπει να περιληφθούν στο παρόν παράρτημα δυνάμει του άρθρου 8 του παραρτήματος Ι του Κανονισμού.</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784.266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8</w:t>
    </w:r>
    <w:r>
      <w:fldChar w:fldCharType="end"/>
    </w:r>
    <w:r>
      <w:tab/>
    </w:r>
    <w:r>
      <w:rPr>
        <w:rStyle w:val="HideTWBExt"/>
      </w:rPr>
      <w:t>&lt;PathFdR&gt;</w:t>
    </w:r>
    <w:r>
      <w:t>PR\1336727EL.docx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PR\1336727EL.docx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8</w:t>
    </w:r>
    <w:r>
      <w:fldChar w:fldCharType="end"/>
    </w:r>
    <w:r>
      <w:tab/>
    </w:r>
    <w:r>
      <w:t>PE</w:t>
    </w:r>
    <w:r>
      <w:rPr>
        <w:rStyle w:val="HideTWBExt"/>
      </w:rPr>
      <w:t>&lt;NoPE&gt;</w:t>
    </w:r>
    <w:r>
      <w:t>784.266</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PR\1336727EL.docx</w:t>
    </w:r>
    <w:r>
      <w:rPr>
        <w:rStyle w:val="HideTWBExt"/>
      </w:rPr>
      <w:t>&lt;/PathFdR&gt;</w:t>
    </w:r>
    <w:r>
      <w:tab/>
    </w:r>
    <w:r>
      <w:tab/>
    </w:r>
    <w:r>
      <w:t>PE</w:t>
    </w:r>
    <w:r>
      <w:rPr>
        <w:rStyle w:val="HideTWBExt"/>
      </w:rPr>
      <w:t>&lt;NoPE&gt;</w:t>
    </w:r>
    <w:r>
      <w:t>784.266</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Ενωμένη στην πολυμορφία</w:t>
    </w:r>
    <w:r>
      <w:tab/>
    </w:r>
    <w:r>
      <w:t>EL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Κανονισμός (ΕΕ) αριθ. 260/2012 του Ευρωπαϊκού Κοινοβουλίου και του Συμβουλίου, της 14ης Μαρτίου 2012, σχετικά με την καθιέρωση τεχνικών απαιτήσεων και επιχειρηματικών κανόνων για τις μεταφορές πίστωσης και τις άμεσες χρεώσεις σε ευρώ και με την τροποποίηση του κανονισμού (ΕΚ) αριθ. 924/2009 (ΕΕ L 94 της 30.3.2012, σ. 22, ELI: </w:t>
      </w:r>
      <w:hyperlink r:id="rId1" w:tgtFrame="http://data.europa.eu/eli/reg/2012/260/oj" w:history="1">
        <w:r>
          <w:rPr>
            <w:rStyle w:val="Hyperlink"/>
          </w:rPr>
          <w:t>http://data.europa.eu/eli/reg/2012/260/oj</w:t>
        </w:r>
      </w:hyperlink>
      <w:r>
        <w:t>).</w:t>
      </w:r>
    </w:p>
  </w:footnote>
  <w:footnote w:id="3">
    <w:p>
      <w:pPr>
        <w:pStyle w:val="FootnoteText"/>
      </w:pPr>
      <w:r>
        <w:rPr>
          <w:vertAlign w:val="superscript"/>
        </w:rPr>
        <w:t>2</w:t>
      </w:r>
      <w:r>
        <w:t xml:space="preserve"> </w:t>
      </w:r>
      <w:r>
        <w:t xml:space="preserve">Κανονισμός (ΕΕ) 2024/792 του Ευρωπαϊκού Κοινοβουλίου και του Συμβουλίου, της 29ης Φεβρουαρίου 2024, για τη θέσπιση του Μέσου Διευκόλυνσης για την Ουκρανία (ΕΕ L, 2024/792, 29.2.2024, ELI: </w:t>
      </w:r>
      <w:hyperlink r:id="rId2" w:tgtFrame="http://data.europa.eu/eli/reg/2024/792/oj" w:history="1">
        <w:r>
          <w:rPr>
            <w:rStyle w:val="Hyperlink"/>
          </w:rPr>
          <w:t>http://data.europa.eu/eli/reg/2024/792/oj</w:t>
        </w:r>
      </w:hyperlink>
      <w:r>
        <w:t>).</w:t>
      </w:r>
    </w:p>
  </w:footnote>
  <w:footnote w:id="4">
    <w:p>
      <w:pPr>
        <w:pStyle w:val="FootnoteText"/>
      </w:pPr>
      <w:r>
        <w:rPr>
          <w:vertAlign w:val="superscript"/>
        </w:rPr>
        <w:t>1</w:t>
      </w:r>
      <w:r>
        <w:t xml:space="preserve"> </w:t>
      </w:r>
      <w:r>
        <w:t xml:space="preserve">Διοργανική συμφωνία, της 20ής Μαΐου 2021, μεταξύ του Ευρωπαϊκού Κοινοβουλίου, του Συμβουλίου της Ευρωπαϊκής Ένωσης και της Ευρωπαϊκής Επιτροπής για ένα υποχρεωτικό Μητρώο Διαφάνειας (ΕΕ L 207 της 11.6.2021, σ. 1, ELI: </w:t>
      </w:r>
      <w:hyperlink r:id="rId3"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character" w:customStyle="1" w:styleId="HideTWBExt">
    <w:name w:val="HideTWBExt"/>
    <w:rPr>
      <w:rFonts w:ascii="Arial" w:hAnsi="Arial"/>
      <w:vanish/>
      <w:color w:val="000080"/>
      <w:sz w:val="20"/>
    </w:r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2/260/oj" TargetMode="External" /><Relationship Id="rId2" Type="http://schemas.openxmlformats.org/officeDocument/2006/relationships/hyperlink" Target="http://data.europa.eu/eli/reg/2024/792/oj" TargetMode="External" /><Relationship Id="rId3"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Pages>
  <Words>1573</Words>
  <Characters>9484</Characters>
  <Application>Microsoft Office Word</Application>
  <DocSecurity>0</DocSecurity>
  <Lines>1</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1336727</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416724</vt:lpwstr>
  </property>
  <property fmtid="{D5CDD505-2E9C-101B-9397-08002B2CF9AE}" pid="7" name="dmxml.render.traceId">
    <vt:lpwstr>69b27c984261ae639df73a6470ba8b44</vt:lpwstr>
  </property>
  <property fmtid="{D5CDD505-2E9C-101B-9397-08002B2CF9AE}" pid="8" name="FooterPath">
    <vt:lpwstr>PR\1336727EL.doc</vt:lpwstr>
  </property>
  <property fmtid="{D5CDD505-2E9C-101B-9397-08002B2CF9AE}" pid="9" name="PE Number">
    <vt:lpwstr>784.266</vt:lpwstr>
  </property>
  <property fmtid="{D5CDD505-2E9C-101B-9397-08002B2CF9AE}" pid="10" name="UID">
    <vt:lpwstr>eu.europa.europarl-DIN1-2026-0000024142_01.06-el-01.00_text-xml</vt:lpwstr>
  </property>
</Properties>
</file>