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Euroopan parlamentti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{AFET}</w:t>
      </w:r>
      <w:r>
        <w:t>Ulkoasiainvaliokunta</w:t>
      </w:r>
      <w:r>
        <w:rPr>
          <w:rStyle w:val="HideTWBExt"/>
        </w:rPr>
        <w:t>&lt;/Commission&gt;</w:t>
      </w:r>
    </w:p>
    <w:p>
      <w:pPr>
        <w:pStyle w:val="LineBottom"/>
      </w:pPr>
      <w:r>
        <w:t xml:space="preserve"> </w:t>
      </w:r>
    </w:p>
    <w:p>
      <w:pPr>
        <w:pStyle w:val="CoverReference"/>
      </w:pPr>
      <w:r>
        <w:rPr>
          <w:rStyle w:val="HideTWBExt"/>
        </w:rPr>
        <w:t>&lt;RefProc&gt;</w:t>
      </w:r>
      <w:r>
        <w:t>2026/2036</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{12/05/2026}</w:t>
      </w:r>
      <w:r>
        <w:t>12.5.2026</w:t>
      </w:r>
      <w:r>
        <w:rPr>
          <w:rStyle w:val="HideTWBExt"/>
        </w:rPr>
        <w:t>&lt;/Date&gt;</w:t>
      </w:r>
    </w:p>
    <w:p>
      <w:pPr>
        <w:pStyle w:val="CoverDocType24a"/>
      </w:pPr>
      <w:r>
        <w:rPr>
          <w:rStyle w:val="HideTWBExt"/>
        </w:rPr>
        <w:t>&lt;TitreType&gt;</w:t>
      </w:r>
      <w:r>
        <w:t>MIETINTÖLUONNOS</w:t>
      </w:r>
      <w:r>
        <w:rPr>
          <w:rStyle w:val="HideTWBExt"/>
        </w:rPr>
        <w:t>&lt;/TitreType&gt;</w:t>
      </w:r>
    </w:p>
    <w:p>
      <w:pPr>
        <w:pStyle w:val="CoverNormal"/>
      </w:pPr>
      <w:r>
        <w:rPr>
          <w:rStyle w:val="HideTWBExt"/>
        </w:rPr>
        <w:t>&lt;Titre&gt;</w:t>
      </w:r>
      <w:r>
        <w:t>EU:n ja Syyrian poliittisista suhteista</w:t>
      </w:r>
      <w:r>
        <w:rPr>
          <w:rStyle w:val="HideTWBExt"/>
        </w:rPr>
        <w:t>&lt;/Titre&gt;</w:t>
      </w:r>
    </w:p>
    <w:p>
      <w:pPr>
        <w:pStyle w:val="CoverNormal24a"/>
      </w:pPr>
      <w:r>
        <w:rPr>
          <w:rStyle w:val="HideTWBExt"/>
        </w:rPr>
        <w:t>&lt;DocRef&gt;</w:t>
      </w:r>
      <w:r>
        <w:t>(2026/2036(INI))</w:t>
      </w:r>
      <w:r>
        <w:rPr>
          <w:rStyle w:val="HideTWBExt"/>
        </w:rPr>
        <w:t>&lt;/DocRef&gt;</w:t>
      </w:r>
    </w:p>
    <w:p>
      <w:pPr>
        <w:pStyle w:val="CoverNormal24a"/>
      </w:pPr>
      <w:r>
        <w:rPr>
          <w:rStyle w:val="HideTWBExt"/>
        </w:rPr>
        <w:t>&lt;Commission&gt;</w:t>
      </w:r>
      <w:r>
        <w:rPr>
          <w:rStyle w:val="HideTWBInt"/>
        </w:rPr>
        <w:t>{AFET}</w:t>
      </w:r>
      <w:r>
        <w:t>Ulkoasiainvaliokunta</w:t>
      </w:r>
      <w:r>
        <w:rPr>
          <w:rStyle w:val="HideTWBExt"/>
        </w:rPr>
        <w:t>&lt;/Commission&gt;</w:t>
      </w:r>
    </w:p>
    <w:p>
      <w:pPr>
        <w:pStyle w:val="CoverNormal24a"/>
      </w:pPr>
      <w:r>
        <w:t>Esittelijä</w:t>
      </w:r>
      <w:r>
        <w:t xml:space="preserve">: </w:t>
      </w:r>
      <w:r>
        <w:rPr>
          <w:rStyle w:val="HideTWBExt"/>
        </w:rPr>
        <w:t>&lt;Depute&gt;</w:t>
      </w:r>
      <w:r>
        <w:t>Nathalie Loiseau</w:t>
      </w:r>
      <w:r>
        <w:rPr>
          <w:rStyle w:val="HideTWBExt"/>
        </w:rPr>
        <w:t>&lt;/Depute&gt;</w:t>
      </w:r>
    </w:p>
    <w:p>
      <w:r>
        <w:br w:type="page"/>
      </w:r>
      <w:r>
        <w:t>PR_INI</w:t>
      </w:r>
    </w:p>
    <w:p>
      <w:pPr>
        <w:pStyle w:val="TOCHeading"/>
      </w:pPr>
      <w:r>
        <w:t>SISÄLTÖ</w:t>
      </w:r>
    </w:p>
    <w:p>
      <w:pPr>
        <w:pStyle w:val="TOCPage"/>
      </w:pPr>
      <w:r>
        <w:t>Sivu</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EUROOPAN PARLAMENTIN PÄÄTÖSLAUSELMAESITYS</w:t>
      </w:r>
      <w:r>
        <w:tab/>
      </w:r>
      <w:r>
        <w:fldChar w:fldCharType="begin"/>
      </w:r>
      <w:r>
        <w:instrText xml:space="preserve"> PAGEREF _Toc256000003 \h </w:instrText>
      </w:r>
      <w:r>
        <w:fldChar w:fldCharType="separate"/>
      </w:r>
      <w:r>
        <w:t>3</w:t>
      </w:r>
      <w:r>
        <w:fldChar w:fldCharType="end"/>
      </w:r>
    </w:p>
    <w:p>
      <w:pPr>
        <w:pStyle w:val="TOC1"/>
        <w:tabs>
          <w:tab w:val="right" w:leader="dot" w:pos="9065"/>
        </w:tabs>
        <w:rPr>
          <w:rFonts w:ascii="Calibri" w:hAnsi="Calibri"/>
          <w:noProof/>
          <w:sz w:val="22"/>
        </w:rPr>
      </w:pPr>
      <w:r>
        <w:t>PERUSTELUT</w:t>
      </w:r>
      <w:r>
        <w:tab/>
      </w:r>
      <w:r>
        <w:fldChar w:fldCharType="begin"/>
      </w:r>
      <w:r>
        <w:instrText xml:space="preserve"> PAGEREF _Toc256000004 \h </w:instrText>
      </w:r>
      <w:r>
        <w:fldChar w:fldCharType="separate"/>
      </w:r>
      <w:r>
        <w:t>7</w:t>
      </w:r>
      <w:r>
        <w:fldChar w:fldCharType="end"/>
      </w:r>
    </w:p>
    <w:p>
      <w:pPr>
        <w:pStyle w:val="TOC1"/>
        <w:tabs>
          <w:tab w:val="right" w:leader="dot" w:pos="9065"/>
        </w:tabs>
        <w:rPr>
          <w:rFonts w:ascii="Calibri" w:hAnsi="Calibri"/>
          <w:noProof/>
          <w:sz w:val="22"/>
        </w:rPr>
      </w:pPr>
      <w:r>
        <w:t>LIITE: ILMOITUS SAADUISTA TIEDOISTA</w:t>
      </w:r>
      <w:r>
        <w:tab/>
      </w:r>
      <w:r>
        <w:fldChar w:fldCharType="begin"/>
      </w:r>
      <w:r>
        <w:instrText xml:space="preserve"> PAGEREF _Toc256000005 \h </w:instrText>
      </w:r>
      <w:r>
        <w:fldChar w:fldCharType="separate"/>
      </w:r>
      <w:r>
        <w:t>8</w:t>
      </w:r>
      <w:r>
        <w:fldChar w:fldCharType="end"/>
      </w:r>
    </w:p>
    <w:p>
      <w:pPr>
        <w:pStyle w:val="TOC1"/>
      </w:pPr>
      <w:r>
        <w:fldChar w:fldCharType="end"/>
      </w:r>
    </w:p>
    <w:p>
      <w:r>
        <w:br w:type="page"/>
      </w:r>
    </w:p>
    <w:p>
      <w:pPr>
        <w:pStyle w:val="PageHeading"/>
      </w:pPr>
      <w:bookmarkStart w:id="0" w:name="_Toc256000003"/>
      <w:r>
        <w:t>EUROOPAN PARLAMENTIN PÄÄTÖSLAUSELMAESITYS</w:t>
      </w:r>
      <w:bookmarkEnd w:id="0"/>
    </w:p>
    <w:p>
      <w:pPr>
        <w:pStyle w:val="NormalBold"/>
      </w:pPr>
      <w:r>
        <w:t>EU:n ja Syyrian poliittisista suhteista</w:t>
      </w:r>
    </w:p>
    <w:p>
      <w:pPr>
        <w:pStyle w:val="NormalBold"/>
      </w:pPr>
    </w:p>
    <w:p>
      <w:pPr>
        <w:pStyle w:val="NormalBold12a"/>
      </w:pPr>
      <w:r>
        <w:t>(</w:t>
      </w:r>
      <w:r>
        <w:t>2026/2036(INI)</w:t>
      </w:r>
      <w:r>
        <w:t>)</w:t>
      </w:r>
    </w:p>
    <w:p>
      <w:pPr>
        <w:pStyle w:val="Normal12"/>
      </w:pPr>
      <w:r>
        <w:rPr>
          <w:i/>
        </w:rPr>
        <w:t>Euroopan parlamentti</w:t>
      </w:r>
      <w:r>
        <w:t>, joka</w:t>
      </w:r>
    </w:p>
    <w:p>
      <w:pPr>
        <w:pStyle w:val="NormalHanging"/>
      </w:pPr>
      <w:r>
        <w:t>–</w:t>
      </w:r>
      <w:r>
        <w:tab/>
      </w:r>
      <w:r>
        <w:t>ottaa huomioon YK:n turvallisuusneuvoston päätöslauselman 2254 (2015) Syyrian tilanteesta,</w:t>
      </w:r>
    </w:p>
    <w:p>
      <w:pPr>
        <w:pStyle w:val="NormalHanging"/>
      </w:pPr>
      <w:r>
        <w:t>–</w:t>
      </w:r>
      <w:r>
        <w:tab/>
      </w:r>
      <w:r>
        <w:t>ottaa huomioon neuvoston päätelmät Syyriasta ja Lähi-idästä,</w:t>
      </w:r>
    </w:p>
    <w:p>
      <w:pPr>
        <w:pStyle w:val="NormalHanging"/>
      </w:pPr>
      <w:r>
        <w:t>–</w:t>
      </w:r>
      <w:r>
        <w:tab/>
      </w:r>
      <w:r>
        <w:t>ottaa huomioon aiemmat päätöslauselmansa Syyriasta,</w:t>
      </w:r>
    </w:p>
    <w:p>
      <w:pPr>
        <w:pStyle w:val="NormalHanging"/>
      </w:pPr>
      <w:r>
        <w:t>–</w:t>
      </w:r>
      <w:r>
        <w:tab/>
      </w:r>
      <w:r>
        <w:t>ottaa huomioon Euroopan talousyhteisön ja Syyrian arabitasavallan yhteistyösopimuksen soveltamisen osittaisesta keskeyttämisestä annetun päätöksen 2011/523/EU kumoamisesta 11. toukokuuta 2026 annetun neuvoston päätöksen (EU) 2026/1087</w:t>
      </w:r>
      <w:r>
        <w:rPr>
          <w:rStyle w:val="FootnoteReference"/>
        </w:rPr>
        <w:footnoteReference w:customMarkFollows="1" w:id="2"/>
        <w:t xml:space="preserve">1</w:t>
      </w:r>
      <w:r>
        <w:t>,</w:t>
      </w:r>
    </w:p>
    <w:p>
      <w:pPr>
        <w:pStyle w:val="NormalHanging"/>
      </w:pPr>
      <w:r>
        <w:t>–</w:t>
      </w:r>
      <w:r>
        <w:tab/>
      </w:r>
      <w:r>
        <w:t>ottaa huomioon työjärjestyksen 55 artiklan,</w:t>
      </w:r>
    </w:p>
    <w:p>
      <w:pPr>
        <w:pStyle w:val="NormalHanging"/>
      </w:pPr>
      <w:r>
        <w:t>–</w:t>
      </w:r>
      <w:r>
        <w:tab/>
      </w:r>
      <w:r>
        <w:t>ottaa huomioon ulkoasiainvaliokunnan mietinnön (A10-0000/2026),</w:t>
      </w:r>
    </w:p>
    <w:p>
      <w:pPr>
        <w:pStyle w:val="NormalHanging"/>
      </w:pPr>
      <w:r>
        <w:t>A.</w:t>
      </w:r>
      <w:r>
        <w:tab/>
      </w:r>
      <w:r>
        <w:t>ottaa huomioon, että EU:n tavoitteena on vakaa, turvallinen, suvereeni ja rauhanomainen Syyria;</w:t>
      </w:r>
    </w:p>
    <w:p>
      <w:pPr>
        <w:pStyle w:val="NormalHanging"/>
      </w:pPr>
      <w:r>
        <w:t>B.</w:t>
      </w:r>
      <w:r>
        <w:tab/>
      </w:r>
      <w:r>
        <w:t>ottaa huomioon, että Syyriassa on edelleen toistuvaa väkivaltaa, heikko hallintokulttuuri ja jatkuvaa eripuraa ja epäluottamusta, minkä lisäksi alueen mahtivaltiot, kuten Turkki, Israel ja Iran, sekaantuvat jatkuvasti tilanteeseen;</w:t>
      </w:r>
    </w:p>
    <w:p>
      <w:pPr>
        <w:pStyle w:val="NormalHanging"/>
      </w:pPr>
      <w:r>
        <w:t>C.</w:t>
      </w:r>
      <w:r>
        <w:tab/>
      </w:r>
      <w:r>
        <w:t>ottaa huomioon, että Syyria kärsii Yhdysvaltojen ja Israelin Iranin kanssa käymän sodan seurauksista;</w:t>
      </w:r>
    </w:p>
    <w:p>
      <w:pPr>
        <w:pStyle w:val="NormalHanging"/>
      </w:pPr>
      <w:r>
        <w:t>D.</w:t>
      </w:r>
      <w:r>
        <w:tab/>
      </w:r>
      <w:r>
        <w:t>ottaa huomioon, että Venäjällä on edelleen sotilastukikohtia Khmeimimissä ja Tartusissa; ottaa huomioon, että Bashar al-Assad sai turvapaikan Venäjältä;</w:t>
      </w:r>
    </w:p>
    <w:p>
      <w:pPr>
        <w:pStyle w:val="NormalHanging"/>
      </w:pPr>
      <w:r>
        <w:t>E.</w:t>
      </w:r>
      <w:r>
        <w:tab/>
      </w:r>
      <w:r>
        <w:t>ottaa huomioon, että Turkilla on edelleen joukkoja Syyriassa, ja se toteuttaa muun muassa sotilasoperaatioita kurdienemmistöisillä alueilla;</w:t>
      </w:r>
    </w:p>
    <w:p>
      <w:pPr>
        <w:pStyle w:val="NormalHanging"/>
      </w:pPr>
      <w:r>
        <w:t>F.</w:t>
      </w:r>
      <w:r>
        <w:tab/>
      </w:r>
      <w:r>
        <w:t>ottaa huomioon, että Israel miehittää Golanin kukkuloita ja laajensi sotilasoperaatioitaan Syyriassa Assadin hallinnon kaatumisen jälkeen;</w:t>
      </w:r>
    </w:p>
    <w:p>
      <w:pPr>
        <w:pStyle w:val="NormalHanging"/>
      </w:pPr>
      <w:r>
        <w:t>G.</w:t>
      </w:r>
      <w:r>
        <w:tab/>
      </w:r>
      <w:r>
        <w:t>ottaa huomioon, että yli 3,5 miljoonaa syyrialaispakolaista on edelleen poissa maasta ja yli 7,4 miljoonaa on joutunut siirtymään maan sisällä Syyriassa;</w:t>
      </w:r>
    </w:p>
    <w:p>
      <w:pPr>
        <w:pStyle w:val="NormalHanging"/>
      </w:pPr>
      <w:r>
        <w:t>H.</w:t>
      </w:r>
      <w:r>
        <w:tab/>
      </w:r>
      <w:r>
        <w:t>ottaa huomioon, että neuvosto on hyväksynyt EU:n ja Syyrian yhteistyösopimuksen</w:t>
      </w:r>
      <w:r>
        <w:rPr>
          <w:rStyle w:val="FootnoteReference"/>
        </w:rPr>
        <w:footnoteReference w:customMarkFollows="1" w:id="3"/>
        <w:t xml:space="preserve">2</w:t>
      </w:r>
      <w:r>
        <w:t xml:space="preserve"> jatkamisen kaikilta osin;</w:t>
      </w:r>
    </w:p>
    <w:p>
      <w:pPr>
        <w:pStyle w:val="NormalHanging"/>
      </w:pPr>
      <w:r>
        <w:t>I.</w:t>
      </w:r>
      <w:r>
        <w:tab/>
      </w:r>
      <w:r>
        <w:t>ottaa huomioon, että pakolaisten turvallinen, vapaaehtoinen ja ihmisarvoinen paluu on edelleen erittäin rajallista;</w:t>
      </w:r>
    </w:p>
    <w:p>
      <w:pPr>
        <w:pStyle w:val="NormalHanging"/>
      </w:pPr>
      <w:r>
        <w:t>J.</w:t>
      </w:r>
      <w:r>
        <w:tab/>
      </w:r>
      <w:r>
        <w:t>toteaa, että 90 prosenttia Syyrian väestöstä elää köyhyysrajan alapuolella;</w:t>
      </w:r>
    </w:p>
    <w:p>
      <w:pPr>
        <w:pStyle w:val="NormalHanging"/>
      </w:pPr>
      <w:r>
        <w:t>K.</w:t>
      </w:r>
      <w:r>
        <w:tab/>
      </w:r>
      <w:r>
        <w:t>ottaa huomioon, että kurdijohtoisten Syyrian demokraattisten joukkojen (SDF) ja Syyrian siirtymäkauden viranomaisten tammikuussa 2026 tekemässä sopimuksessa hahmoteltiin etenemissuunnitelma kurdijoukkojen ja -instituutioiden asteittaiseksi integroimiseksi Syyrian valtioon;</w:t>
      </w:r>
    </w:p>
    <w:p>
      <w:pPr>
        <w:pStyle w:val="NormalHanging"/>
      </w:pPr>
      <w:r>
        <w:t>L.</w:t>
      </w:r>
      <w:r>
        <w:tab/>
      </w:r>
      <w:r>
        <w:t>ottaa huomioon, että Da’esh (Isis) on edelleen vakava uhka; ottaa huomioon, että Da’eshin vastainen maailmanlaajuinen liittoutuma tekee edelleen työtä terrorismin uhan torjumiseksi; ottaa huomioon, että Yhdysvallat on vetänyt kaikki joukkonsa Syyriasta; ottaa huomioon, että joukko Isisin taistelijoita pakeni vankiloista ja leireiltä vuoden 2026 alussa Syyrian armeijan ja SDF:n välisten yhteenottojen aikana; ottaa huomioon, että Yhdysvaltojen hallitus käynnisti Isis-vankien siirtämisen Syyriasta Irakiin;</w:t>
      </w:r>
    </w:p>
    <w:p>
      <w:pPr>
        <w:pStyle w:val="NormalHanging"/>
      </w:pPr>
      <w:r>
        <w:t>M.</w:t>
      </w:r>
      <w:r>
        <w:tab/>
      </w:r>
      <w:r>
        <w:t>ottaa huomioon, että Assadin jälkeisessä Syyriassa vähemmistöihin kohdistuva väkivalta on lisääntynyt; ottaa huomioon, että aseelliset ryhmät, mukaan lukien siirtymäkauden viranomaisia kannattavat joukot, hyökkäsivät alaviittejä vastaan maaliskuussa 2025; ottaa huomioon, että kristittyjä vastaan tehtiin verinen terrori-isku Damaskoksessa kesäkuussa 2025; ottaa huomioon, että puolisotilaalliset druusijoukot, beduiiniheimoryhmät ja Syyrian armeija ottivat väkivaltaisesti yhteen Suwaydassa heinäkuussa 2025; ottaa huomioon, että Syyrian armeija taisteli kurdijoukkoja vastaan vuoden 2026 alussa;</w:t>
      </w:r>
    </w:p>
    <w:p>
      <w:pPr>
        <w:pStyle w:val="NormalHanging"/>
      </w:pPr>
      <w:r>
        <w:t>N.</w:t>
      </w:r>
      <w:r>
        <w:tab/>
      </w:r>
      <w:r>
        <w:t>ottaa huomioon, että satoja tuhansia Assadin hallinnon ja Da’eshin uhreja on edelleen kateissa;</w:t>
      </w:r>
    </w:p>
    <w:p>
      <w:pPr>
        <w:pStyle w:val="NormalHanging"/>
      </w:pPr>
      <w:r>
        <w:t>O.</w:t>
      </w:r>
      <w:r>
        <w:tab/>
      </w:r>
      <w:r>
        <w:t>ottaa huomioon, että suurin osa Syyrian sisällissodan aikaisiin väkivaltaisuuksiin syyllistyneistä ei ole vielä joutunut vastuuseen teoistaan;</w:t>
      </w:r>
    </w:p>
    <w:p>
      <w:pPr>
        <w:pStyle w:val="Normal12a"/>
      </w:pPr>
      <w:r>
        <w:rPr>
          <w:b/>
          <w:i/>
        </w:rPr>
        <w:t>Kirjoita otsikko tähän...</w:t>
      </w:r>
    </w:p>
    <w:p>
      <w:pPr>
        <w:pStyle w:val="NormalHanging12a"/>
      </w:pPr>
      <w:r>
        <w:t>1.</w:t>
      </w:r>
      <w:r>
        <w:tab/>
      </w:r>
      <w:r>
        <w:t>pitää myönteisenä Assadin raa’an hallinnon kaatumista ja Syyrian siirtymäkauden viranomaisten yhteistyötä kansainvälisen yhteisön kanssa;</w:t>
      </w:r>
    </w:p>
    <w:p>
      <w:pPr>
        <w:pStyle w:val="NormalHanging12a"/>
      </w:pPr>
      <w:r>
        <w:t>2.</w:t>
      </w:r>
      <w:r>
        <w:tab/>
      </w:r>
      <w:r>
        <w:t>kehottaa jälleen komissiota laatimaan Syyriaa koskevan kattavan strategian;</w:t>
      </w:r>
    </w:p>
    <w:p>
      <w:pPr>
        <w:pStyle w:val="NormalHanging12a"/>
      </w:pPr>
      <w:r>
        <w:t>3.</w:t>
      </w:r>
      <w:r>
        <w:tab/>
      </w:r>
      <w:r>
        <w:t>korostaa, että EU:n tuen ja pakotteiden keskeyttämisen ehdottomana ehtona olisi edelleen oltava osallistava poliittinen siirtymä; panee merkille neuvoston päätöksen EU:n ja Syyrian yhteistyösopimuksen jatkamisesta kaikilta osin;</w:t>
      </w:r>
    </w:p>
    <w:p>
      <w:pPr>
        <w:pStyle w:val="NormalHanging12a"/>
      </w:pPr>
      <w:r>
        <w:t>4.</w:t>
      </w:r>
      <w:r>
        <w:tab/>
      </w:r>
      <w:r>
        <w:t>kehottaa Syyrian siirtymäkauden viranomaisia toimimaan määrätietoisesti poliittisen osallisuuden edistämiseksi ja sitoutumaan uudistuksiin, joilla taataan moniarvoisuus, oikeusvaltioperiaate ja ihmisten osallistuminen päätöksentekoon;</w:t>
      </w:r>
    </w:p>
    <w:p>
      <w:pPr>
        <w:pStyle w:val="NormalHanging12a"/>
      </w:pPr>
      <w:r>
        <w:t>5.</w:t>
      </w:r>
      <w:r>
        <w:tab/>
      </w:r>
      <w:r>
        <w:t>pitää myönteisenä Syyrian siirtymäkauden hallinnon ja SDF:n tammikuussa 2026 tekemää sopimusta;</w:t>
      </w:r>
    </w:p>
    <w:p>
      <w:pPr>
        <w:pStyle w:val="NormalHanging12a"/>
      </w:pPr>
      <w:r>
        <w:t>6.</w:t>
      </w:r>
      <w:r>
        <w:tab/>
      </w:r>
      <w:r>
        <w:t>kehottaa kaikkia alueellisia toimijoita kunnioittamaan Syyrian alueellista koskemattomuutta ja suvereniteettia;</w:t>
      </w:r>
    </w:p>
    <w:p>
      <w:pPr>
        <w:pStyle w:val="NormalHanging12a"/>
      </w:pPr>
      <w:r>
        <w:t>7.</w:t>
      </w:r>
      <w:r>
        <w:tab/>
      </w:r>
      <w:r>
        <w:t>toteaa, että Syyrialla on valtavia haasteita maan jälleenrakentamisessa;</w:t>
      </w:r>
    </w:p>
    <w:p>
      <w:pPr>
        <w:pStyle w:val="NormalHanging12a"/>
      </w:pPr>
      <w:r>
        <w:t>8.</w:t>
      </w:r>
      <w:r>
        <w:tab/>
      </w:r>
      <w:r>
        <w:t>ilmaisee syvän huolensa Syyrian vakavasta humanitaarisesta tilanteesta;</w:t>
      </w:r>
    </w:p>
    <w:p>
      <w:pPr>
        <w:pStyle w:val="NormalHanging12a"/>
      </w:pPr>
      <w:r>
        <w:t>9.</w:t>
      </w:r>
      <w:r>
        <w:tab/>
      </w:r>
      <w:r>
        <w:t>panee merkille EU:n ja sen jäsenvaltioiden roolin suurimpina humanitaarisen avun antajina Syyrian väestölle;</w:t>
      </w:r>
    </w:p>
    <w:p>
      <w:pPr>
        <w:pStyle w:val="NormalHanging12a"/>
      </w:pPr>
      <w:r>
        <w:t>10.</w:t>
      </w:r>
      <w:r>
        <w:tab/>
      </w:r>
      <w:r>
        <w:t>kehottaa Syyrian siirtymäkauden viranomaisia varmistamaan humanitaarisen avun täyden ja esteettömän pääsyn koko maahan;</w:t>
      </w:r>
    </w:p>
    <w:p>
      <w:pPr>
        <w:pStyle w:val="NormalHanging12a"/>
      </w:pPr>
      <w:r>
        <w:t>11.</w:t>
      </w:r>
      <w:r>
        <w:tab/>
      </w:r>
      <w:r>
        <w:t>kehottaa Syyrian siirtymäkauden viranomaisia luomaan tarvittavat edellytykset pakolaisten turvalliselle ja vapaaehtoiselle paluulle;</w:t>
      </w:r>
    </w:p>
    <w:p>
      <w:pPr>
        <w:pStyle w:val="NormalHanging12a"/>
      </w:pPr>
      <w:r>
        <w:t>12.</w:t>
      </w:r>
      <w:r>
        <w:tab/>
      </w:r>
      <w:r>
        <w:t>pitää myönteisenä lyhyitä tiedustelukäyntejä, sillä niiden avulla syyrialaiset pakolaiset voivat vierailla Syyriassa menettämättä oikeudellista asemaansa;</w:t>
      </w:r>
    </w:p>
    <w:p>
      <w:pPr>
        <w:pStyle w:val="NormalHanging12a"/>
      </w:pPr>
      <w:r>
        <w:t>13.</w:t>
      </w:r>
      <w:r>
        <w:tab/>
      </w:r>
      <w:r>
        <w:t>korostaa, että EU:n jälleenrakennustuelle on asetettava tiukat ehdot;</w:t>
      </w:r>
    </w:p>
    <w:p>
      <w:pPr>
        <w:pStyle w:val="NormalHanging12a"/>
      </w:pPr>
      <w:r>
        <w:t>14.</w:t>
      </w:r>
      <w:r>
        <w:tab/>
      </w:r>
      <w:r>
        <w:t>muistuttaa, että on tärkeää rakentaa neutraali ja tehokas hallinto, joka kunnioittaa oikeusvaltioperiaatetta;</w:t>
      </w:r>
    </w:p>
    <w:p>
      <w:pPr>
        <w:pStyle w:val="NormalHanging12a"/>
      </w:pPr>
      <w:r>
        <w:t>15.</w:t>
      </w:r>
      <w:r>
        <w:tab/>
      </w:r>
      <w:r>
        <w:t>katsoo, että Syyrian energia- ja vesi-infrastruktuurin jälleenrakentaminen on etusijalla laajemmissa jälleenrakennustoimissa sen lisäksi, että pyritään saamaan pankkijärjestelmä jälleen toimivaksi;</w:t>
      </w:r>
    </w:p>
    <w:p>
      <w:pPr>
        <w:pStyle w:val="NormalHanging12a"/>
      </w:pPr>
      <w:r>
        <w:t>16.</w:t>
      </w:r>
      <w:r>
        <w:tab/>
      </w:r>
      <w:r>
        <w:t>suhtautuu myönteisesti Syyriaa koskevien EU:n talouspakotteiden poistamiseen; vahvistaa, että pakotteiden keskeyttäminen on ehdollista ja peruutettavissa;</w:t>
      </w:r>
    </w:p>
    <w:p>
      <w:pPr>
        <w:pStyle w:val="NormalHanging12a"/>
      </w:pPr>
      <w:r>
        <w:t>17.</w:t>
      </w:r>
      <w:r>
        <w:tab/>
      </w:r>
      <w:r>
        <w:t>on huolissaan Syyriassa edelleen vaikuttavista terroristijärjestöistä; kehottaa EU:ta, sen jäsenvaltioita ja samanmielisiä maita tehostamaan toimiaan Da’eshin uuden nousun torjumiseksi; pitää erittäin valitettavana Yhdysvaltojen joukkojen vetäytymistä Syyrian alueelta;</w:t>
      </w:r>
    </w:p>
    <w:p>
      <w:pPr>
        <w:pStyle w:val="NormalHanging12a"/>
      </w:pPr>
      <w:r>
        <w:t>18.</w:t>
      </w:r>
      <w:r>
        <w:tab/>
      </w:r>
      <w:r>
        <w:t>panee merkille meneillään olevan prosessin Syyrian siirtymäkauden viranomaisten valvonnassa olevien eri aseellisten ryhmien integroimiseksi; on edelleen huolissaan Syyrian turvallisuuskoneistossa mukana olevien ulkomaisten jihadistien läsnäolosta;</w:t>
      </w:r>
    </w:p>
    <w:p>
      <w:pPr>
        <w:pStyle w:val="NormalHanging12a"/>
      </w:pPr>
      <w:r>
        <w:t>19.</w:t>
      </w:r>
      <w:r>
        <w:tab/>
      </w:r>
      <w:r>
        <w:t>korostaa, että Da’esh-vankien joukossa on edelleen EU:n kansalaisia ja että tämän ongelman ratkaisematta jättäminen heikentää sekä alueellista että Euroopan turvallisuutta;</w:t>
      </w:r>
    </w:p>
    <w:p>
      <w:pPr>
        <w:pStyle w:val="NormalHanging12a"/>
      </w:pPr>
      <w:r>
        <w:t>20.</w:t>
      </w:r>
      <w:r>
        <w:tab/>
      </w:r>
      <w:r>
        <w:t>vahvistaa arvostavansa Syyrian siirtymäkauden viranomaisten toimia huumekaupan torjumiseksi;</w:t>
      </w:r>
    </w:p>
    <w:p>
      <w:pPr>
        <w:pStyle w:val="NormalHanging12a"/>
      </w:pPr>
      <w:r>
        <w:t>21.</w:t>
      </w:r>
      <w:r>
        <w:tab/>
      </w:r>
      <w:r>
        <w:t>tuomitsee jyrkästi etnisiin ja uskonnollisiin vähemmistöihin kohdistuvat kohtalokkaat hyökkäykset, syrjinnän ja pelottelun;</w:t>
      </w:r>
    </w:p>
    <w:p>
      <w:pPr>
        <w:pStyle w:val="NormalHanging12a"/>
      </w:pPr>
      <w:r>
        <w:t>22.</w:t>
      </w:r>
      <w:r>
        <w:tab/>
      </w:r>
      <w:r>
        <w:t>kehottaa Syyrian siirtymäkauden viranomaisia toteuttamaan kaikki tarvittavat toimenpiteet, jotta voidaan varmistaa suoja ja turvallisuus kaikille yhteisöille;</w:t>
      </w:r>
    </w:p>
    <w:p>
      <w:pPr>
        <w:pStyle w:val="NormalHanging12a"/>
      </w:pPr>
      <w:r>
        <w:t>23.</w:t>
      </w:r>
      <w:r>
        <w:tab/>
      </w:r>
      <w:r>
        <w:t>kehottaa toteuttamaan konkreettisia toimenpiteitä suvaitsevaisuuden, sosiaalisen yhteenkuuluvuuden ja yhteisöjen välisen vuoropuhelun edistämiseksi;</w:t>
      </w:r>
    </w:p>
    <w:p>
      <w:pPr>
        <w:pStyle w:val="NormalHanging12a"/>
      </w:pPr>
      <w:r>
        <w:t>24.</w:t>
      </w:r>
      <w:r>
        <w:tab/>
      </w:r>
      <w:r>
        <w:t>korostaa sananvapauden, yhdistymisvapauden, rauhanomaisen kokoontumisvapauden ja tiedotusvälineiden vapauden merkitystä;</w:t>
      </w:r>
    </w:p>
    <w:p>
      <w:pPr>
        <w:pStyle w:val="NormalHanging12a"/>
      </w:pPr>
      <w:r>
        <w:t>25.</w:t>
      </w:r>
      <w:r>
        <w:tab/>
      </w:r>
      <w:r>
        <w:t>vahvistaa, että naisten osallistuminen on olennaisen tärkeää Syyrian jälleenrakentamisessa;</w:t>
      </w:r>
    </w:p>
    <w:p>
      <w:pPr>
        <w:pStyle w:val="NormalHanging12a"/>
      </w:pPr>
      <w:r>
        <w:t>26.</w:t>
      </w:r>
      <w:r>
        <w:tab/>
      </w:r>
      <w:r>
        <w:t>uskoo vakaasti siirtymäkauden oikeusjärjestelyjen sekä rankaisemattomuuden torjunnan merkitykseen;</w:t>
      </w:r>
    </w:p>
    <w:p>
      <w:pPr>
        <w:pStyle w:val="NormalHanging12a"/>
      </w:pPr>
      <w:r>
        <w:t>27.</w:t>
      </w:r>
      <w:r>
        <w:tab/>
      </w:r>
      <w:r>
        <w:t>korostaa, että kadonneita henkilöitä koskeva kysymys on yksi painopisteistä, joihin on paneuduttava;</w:t>
      </w:r>
    </w:p>
    <w:p>
      <w:pPr>
        <w:pStyle w:val="NormalHanging12a"/>
      </w:pPr>
      <w:r>
        <w:t>28.</w:t>
      </w:r>
      <w:r>
        <w:tab/>
      </w:r>
      <w:r>
        <w:t>panee merkille oikeuslaitoksen uudistamisen edistämiseksi hyväksytyt toimenpiteet; on huolissaan ilmoituksista, jotka koskevat sellaisten henkilöiden nimittämistä, joilla ei ole asianmukaista pätevyyttä;</w:t>
      </w:r>
    </w:p>
    <w:p>
      <w:pPr>
        <w:pStyle w:val="NormalHanging12a"/>
      </w:pPr>
      <w:r>
        <w:t>29.</w:t>
      </w:r>
      <w:r>
        <w:tab/>
      </w:r>
      <w:r>
        <w:t>pitää erittäin valitettavana, että tähän mennessä hyvin harvat Syyrian entiset hallitsijat ovat joutuneet oikeuden eteen;</w:t>
      </w:r>
    </w:p>
    <w:p>
      <w:pPr>
        <w:pStyle w:val="NormalHanging12a"/>
      </w:pPr>
      <w:r>
        <w:t>30.</w:t>
      </w:r>
      <w:r>
        <w:tab/>
      </w:r>
      <w:r>
        <w:t>kehottaa puhemiestä käännättämään ja julkaisemaan tämän päätöslauselman arabiaksi;</w:t>
      </w:r>
    </w:p>
    <w:p>
      <w:pPr>
        <w:pStyle w:val="NormalHanging12a"/>
      </w:pPr>
      <w:r>
        <w:t>31.</w:t>
      </w:r>
      <w:r>
        <w:tab/>
      </w:r>
      <w:r>
        <w:t>kehottaa puhemiestä välittämään tämän päätöslauselman neuvostolle, komissiolle, komission varapuheenjohtajalle / unionin ulkoasioiden ja turvallisuuspolitiikan korkealle edustajalle sekä jäsenvaltioiden hallituksille ja parlamenteille.</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
      </w:pPr>
      <w:bookmarkStart w:id="1" w:name="_Toc256000004"/>
      <w:r>
        <w:t>PERUSTELUT</w:t>
      </w:r>
      <w:bookmarkEnd w:id="1"/>
    </w:p>
    <w:p>
      <w:pPr>
        <w:pStyle w:val="Normal12"/>
      </w:pPr>
      <w:r>
        <w:t>Mietinnössä käsitellään Syyrian kannalta ratkaisevaa hetkeä Assadin hallinnon kaatumisen ja siirtymäkauden viranomaisten valtaannousun jälkeen. Joulukuusta 2025 lähtien Syyriassa on tapahtunut asioita, jotka ovat avanneet sekä mahdollisuuksia vakauttamiseen että aiheuttaneet riskin hajaannuksen jatkumisesta.</w:t>
      </w:r>
    </w:p>
    <w:p>
      <w:pPr>
        <w:pStyle w:val="Normal12"/>
      </w:pPr>
      <w:r>
        <w:t>Euroopan unionin strategisena tavoitteena on edelleen turvallinen, suvereeni ja vakaa Syyria, joka voidaan saavuttaa ainoastaan Syyrian johtaman ja osallistavan poliittisen prosessin kautta kansainvälisen oikeuden mukaisesti. Turvallisuus, jälleenrakentaminen ja pakolaisten turvallinen paluu kytkeytyvät erottamattomasti uskottavaan poliittiseen edistykseen, ihmisoikeuksien kunnioittamiseen ja vastuuseen aiemmista rikoksista.</w:t>
      </w:r>
    </w:p>
    <w:p>
      <w:pPr>
        <w:pStyle w:val="Normal12"/>
      </w:pPr>
      <w:r>
        <w:t>Vaikka poliittisen uudelleenjärjestäytymisen ja uudistetun diplomaattisen sitoutumisen suhteen on toteutettu alustavia toimia, Syyrian tilanne on edelleen erittäin hauras. Jatkuva ulkomainen sekaantuminen, ratkaisemattomat alueelliset jännitteet ja aseellisten toimijoiden välinen satunnainen väkivalta heikentävät edelleen vakautta. Humanitaarinen tilanne on vakava, koska köyhyys on levinnyt laajalle, infrastruktuuri on vahingoittunut ja monet ihmiset ovat joutuneet lähtemään kodeistaan. Vaikka jotkut ovat palanneet, turvalliselle, vapaaehtoiselle ja ihmisarvoiselle paluulle ei ole vielä riittäviä edellytyksiä. Lisäksi konfliktin jälkimainingeissa rajallinen vastuuvelvollisuus ja jatkuvat ääriliikkeiden uhat ovat edelleen todellisuutta.</w:t>
      </w:r>
    </w:p>
    <w:p>
      <w:pPr>
        <w:pStyle w:val="Normal12"/>
      </w:pPr>
      <w:r>
        <w:t>Näihin haasteisiin vastaaminen edellyttää uskottavaa edistymistä kohti osallistavaa ja demokraattista siirtymää, johon kuuluu perustuslakiuudistus, laaja yhteiskunnallinen osallistuminen ja perusoikeuksien suojelu. EU:n tavoitteena on edistää pitkän aikavälin vakautta ja elpymistä, ja se toimii sitoutuneena mutta ehdollisena kumppanina ja muokkaa tukeansa sen mukaan, miten konkreettisesti Syyriassa edistytään hallinnon, oikeuden ja oikeusvaltioperiaatteen alalla.</w:t>
      </w:r>
    </w:p>
    <w:p>
      <w:pPr>
        <w:sectPr>
          <w:footnotePr>
            <w:numRestart w:val="eachSect"/>
          </w:footnotePr>
          <w:type w:val="nextPage"/>
          <w:pgSz w:w="11909" w:h="16834"/>
          <w:pgMar w:top="1134" w:right="1417" w:bottom="1417" w:left="1417" w:header="1134" w:footer="567"/>
          <w:cols w:space="720"/>
        </w:sectPr>
      </w:pPr>
    </w:p>
    <w:p>
      <w:pPr>
        <w:pStyle w:val="PageHeading"/>
      </w:pPr>
      <w:bookmarkStart w:id="2" w:name="_Toc256000005"/>
      <w:r>
        <w:t>LIITE: ILMOITUS SAADUISTA TIEDOISTA</w:t>
      </w:r>
      <w:bookmarkEnd w:id="2"/>
    </w:p>
    <w:p>
      <w:pPr>
        <w:pStyle w:val="Normal12a"/>
      </w:pPr>
      <w:r>
        <w:rPr>
          <w:rStyle w:val="HideTWBExt"/>
        </w:rPr>
        <w:t>&lt;FootprintIntro&gt;</w:t>
      </w:r>
      <w:r>
        <w:rPr>
          <w:rStyle w:val="HideTWBExt"/>
        </w:rPr>
        <w:t>&lt;/FootprintIntro&gt;</w:t>
      </w:r>
    </w:p>
    <w:p>
      <w:pPr>
        <w:pStyle w:val="Normal12a"/>
      </w:pPr>
      <w:r>
        <w:t>Esittelijä ilmoittaa työjärjestyksen liitteessä I olevan 8 artiklan mukaisesti sisällyttäneensä mietintöönsä aiheeseen liittyvistä asioista tietoja, jotka hän on saanut laatiessaan mietintöluonnosta seuraavilta pakollisesta avoimuusrekisteristä tehdyn toimielinten välisen sopimuksen</w:t>
      </w:r>
      <w:r>
        <w:rPr>
          <w:rStyle w:val="FootnoteReference"/>
        </w:rPr>
        <w:footnoteReference w:customMarkFollows="1" w:id="4"/>
        <w:t xml:space="preserve">1</w:t>
      </w:r>
      <w:r>
        <w:t xml:space="preserve"> soveltamisalaan kuuluvilta edunvalvojilta tai seuraavilta kolmansien maiden viranomaisten edustajilta, mukaan lukien niiden diplomaattiset edustustot ja suurlähetystöt: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908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9080" w:type="dxa"/>
          </w:tcPr>
          <w:p>
            <w:pPr>
              <w:jc w:val="center"/>
            </w:pPr>
            <w:r>
              <w:rPr>
                <w:b/>
              </w:rPr>
              <w:t>1. Pakollisesta avoimuusrekisteristä tehdyn toimielinten välisen sopimuksen soveltamisalaan kuuluvat edunvalvojat</w:t>
            </w:r>
          </w:p>
        </w:tc>
      </w:tr>
      <w:tr>
        <w:tblPrEx>
          <w:tblW w:w="0" w:type="auto"/>
          <w:tblLayout w:type="fixed"/>
          <w:tblCellMar>
            <w:left w:w="140" w:type="dxa"/>
            <w:right w:w="140" w:type="dxa"/>
          </w:tblCellMar>
        </w:tblPrEx>
        <w:tc>
          <w:tcPr>
            <w:tcW w:w="9080" w:type="dxa"/>
          </w:tcPr>
          <w:p>
            <w:r>
              <w:t>Geneva Call</w:t>
            </w:r>
          </w:p>
        </w:tc>
      </w:tr>
      <w:tr>
        <w:tblPrEx>
          <w:tblW w:w="0" w:type="auto"/>
          <w:tblLayout w:type="fixed"/>
          <w:tblCellMar>
            <w:left w:w="140" w:type="dxa"/>
            <w:right w:w="140" w:type="dxa"/>
          </w:tblCellMar>
        </w:tblPrEx>
        <w:tc>
          <w:tcPr>
            <w:tcW w:w="9080" w:type="dxa"/>
          </w:tcPr>
          <w:p>
            <w:r>
              <w:t>L'Oeuvre d'Orient</w:t>
            </w:r>
          </w:p>
        </w:tc>
      </w:tr>
      <w:tr>
        <w:tblPrEx>
          <w:tblW w:w="0" w:type="auto"/>
          <w:tblLayout w:type="fixed"/>
          <w:tblCellMar>
            <w:left w:w="140" w:type="dxa"/>
            <w:right w:w="140" w:type="dxa"/>
          </w:tblCellMar>
        </w:tblPrEx>
        <w:tc>
          <w:tcPr>
            <w:tcW w:w="9080" w:type="dxa"/>
          </w:tcPr>
          <w:p>
            <w:r>
              <w:t>UNRWA</w:t>
            </w:r>
          </w:p>
        </w:tc>
      </w:tr>
      <w:tr>
        <w:tblPrEx>
          <w:tblW w:w="0" w:type="auto"/>
          <w:tblLayout w:type="fixed"/>
          <w:tblCellMar>
            <w:left w:w="140" w:type="dxa"/>
            <w:right w:w="140" w:type="dxa"/>
          </w:tblCellMar>
        </w:tblPrEx>
        <w:tc>
          <w:tcPr>
            <w:tcW w:w="9080" w:type="dxa"/>
          </w:tcPr>
          <w:p>
            <w:pPr>
              <w:jc w:val="center"/>
            </w:pPr>
            <w:r>
              <w:rPr>
                <w:b/>
              </w:rPr>
              <w:t>2. Kolmansien maiden viranomaisten edustajat, mukaan lukien niiden diplomaattiset edustustot ja suurlähetystöt</w:t>
            </w:r>
          </w:p>
        </w:tc>
      </w:tr>
      <w:tr>
        <w:tblPrEx>
          <w:tblW w:w="0" w:type="auto"/>
          <w:tblLayout w:type="fixed"/>
          <w:tblCellMar>
            <w:left w:w="140" w:type="dxa"/>
            <w:right w:w="140" w:type="dxa"/>
          </w:tblCellMar>
        </w:tblPrEx>
        <w:tc>
          <w:tcPr>
            <w:tcW w:w="9080" w:type="dxa"/>
          </w:tcPr>
          <w:p>
            <w:r>
              <w:t>Syrian mission to the European Union</w:t>
            </w:r>
          </w:p>
        </w:tc>
      </w:tr>
      <w:tr>
        <w:tblPrEx>
          <w:tblW w:w="0" w:type="auto"/>
          <w:tblLayout w:type="fixed"/>
          <w:tblCellMar>
            <w:left w:w="140" w:type="dxa"/>
            <w:right w:w="140" w:type="dxa"/>
          </w:tblCellMar>
        </w:tblPrEx>
        <w:tc>
          <w:tcPr>
            <w:tcW w:w="9080" w:type="dxa"/>
          </w:tcPr>
          <w:p>
            <w:r>
              <w:t>Ministry of Foreign Affairs of Israel</w:t>
            </w:r>
          </w:p>
        </w:tc>
      </w:tr>
    </w:tbl>
    <w:p/>
    <w:p>
      <w:pPr>
        <w:pStyle w:val="Normal12a"/>
      </w:pPr>
      <w:r>
        <w:t>Esittelijä on yksin vastuussa edellä olevan luettelon laatimisesta.</w:t>
      </w:r>
    </w:p>
    <w:p>
      <w:pPr>
        <w:pStyle w:val="Normal12a"/>
      </w:pPr>
      <w:r>
        <w:t>Kun luettelossa mainitaan luonnollisen henkilön nimi ja/tai tehtävänimike, esittelijä vakuuttaa antaneensa kyseiselle henkilölle Euroopan parlamentin tietosuojaselosteen numero 484 (</w:t>
      </w:r>
      <w:hyperlink r:id="rId9" w:tgtFrame="https://www.europarl.europa.eu/data-protect/index.do" w:history="1">
        <w:r>
          <w:rPr>
            <w:rStyle w:val="Hyperlink"/>
          </w:rPr>
          <w:t>https://www.europarl.europa.eu/data-protect/index.do</w:t>
        </w:r>
      </w:hyperlink>
      <w:r>
        <w:t>), jossa määritetään henkilötietojen käsittelyyn sovellettavat ehdot ja siihen liittyvät oikeudet.</w:t>
      </w:r>
    </w:p>
    <w:sectPr>
      <w:footnotePr>
        <w:numRestart w:val="eachSect"/>
      </w:footnote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788.801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8</w:t>
    </w:r>
    <w:r>
      <w:fldChar w:fldCharType="end"/>
    </w:r>
    <w:r>
      <w:t>/</w:t>
    </w:r>
    <w:r>
      <w:fldChar w:fldCharType="begin"/>
    </w:r>
    <w:r>
      <w:instrText xml:space="preserve"> NUMPAGES </w:instrText>
    </w:r>
    <w:r>
      <w:fldChar w:fldCharType="separate"/>
    </w:r>
    <w:r>
      <w:t>8</w:t>
    </w:r>
    <w:r>
      <w:fldChar w:fldCharType="end"/>
    </w:r>
    <w:r>
      <w:tab/>
    </w:r>
    <w:r>
      <w:rPr>
        <w:rStyle w:val="HideTWBExt"/>
      </w:rPr>
      <w:t>&lt;PathFdR&gt;</w:t>
    </w:r>
    <w:r>
      <w:t>PR\1343403FI.docx</w:t>
    </w:r>
    <w:r>
      <w:rPr>
        <w:rStyle w:val="HideTWBExt"/>
      </w:rPr>
      <w:t>&lt;/PathFdR&gt;</w:t>
    </w:r>
  </w:p>
  <w:p>
    <w:pPr>
      <w:pStyle w:val="EPFooter2"/>
    </w:pPr>
    <w:r>
      <w:t>FI</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PR\1343403FI.docx</w:t>
    </w:r>
    <w:r>
      <w:rPr>
        <w:rStyle w:val="HideTWBExt"/>
      </w:rPr>
      <w:t>&lt;/PathFdR&gt;</w:t>
    </w:r>
    <w:r>
      <w:tab/>
    </w:r>
    <w:r>
      <w:fldChar w:fldCharType="begin"/>
    </w:r>
    <w:r>
      <w:instrText xml:space="preserve"> PAGE </w:instrText>
    </w:r>
    <w:r>
      <w:fldChar w:fldCharType="separate"/>
    </w:r>
    <w:r>
      <w:t>7</w:t>
    </w:r>
    <w:r>
      <w:fldChar w:fldCharType="end"/>
    </w:r>
    <w:r>
      <w:t>/</w:t>
    </w:r>
    <w:r>
      <w:fldChar w:fldCharType="begin"/>
    </w:r>
    <w:r>
      <w:instrText xml:space="preserve"> NUMPAGES </w:instrText>
    </w:r>
    <w:r>
      <w:fldChar w:fldCharType="separate"/>
    </w:r>
    <w:r>
      <w:t>8</w:t>
    </w:r>
    <w:r>
      <w:fldChar w:fldCharType="end"/>
    </w:r>
    <w:r>
      <w:tab/>
    </w:r>
    <w:r>
      <w:t>PE</w:t>
    </w:r>
    <w:r>
      <w:rPr>
        <w:rStyle w:val="HideTWBExt"/>
      </w:rPr>
      <w:t>&lt;NoPE&gt;</w:t>
    </w:r>
    <w:r>
      <w:t>788.801</w:t>
    </w:r>
    <w:r>
      <w:rPr>
        <w:rStyle w:val="HideTWBExt"/>
      </w:rPr>
      <w:t>&lt;/NoPE&gt;</w:t>
    </w:r>
    <w:r>
      <w:rPr>
        <w:rStyle w:val="HideTWBExt"/>
      </w:rPr>
      <w:t>&lt;Version&gt;</w:t>
    </w:r>
    <w:r>
      <w:t>v01-00</w:t>
    </w:r>
    <w:r>
      <w:rPr>
        <w:rStyle w:val="HideTWBExt"/>
      </w:rPr>
      <w:t>&lt;/Version&gt;</w:t>
    </w:r>
  </w:p>
  <w:p>
    <w:pPr>
      <w:pStyle w:val="EPFooter2"/>
    </w:pPr>
    <w:r>
      <w:tab/>
    </w:r>
    <w:r>
      <w:tab/>
    </w:r>
    <w:r>
      <w:t>FI</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PR\1343403FI.docx</w:t>
    </w:r>
    <w:r>
      <w:rPr>
        <w:rStyle w:val="HideTWBExt"/>
      </w:rPr>
      <w:t>&lt;/PathFdR&gt;</w:t>
    </w:r>
    <w:r>
      <w:tab/>
    </w:r>
    <w:r>
      <w:tab/>
    </w:r>
    <w:r>
      <w:t>PE</w:t>
    </w:r>
    <w:r>
      <w:rPr>
        <w:rStyle w:val="HideTWBExt"/>
      </w:rPr>
      <w:t>&lt;NoPE&gt;</w:t>
    </w:r>
    <w:r>
      <w:t>788.801</w:t>
    </w:r>
    <w:r>
      <w:rPr>
        <w:rStyle w:val="HideTWBExt"/>
      </w:rPr>
      <w:t>&lt;/NoPE&gt;</w:t>
    </w:r>
    <w:r>
      <w:rPr>
        <w:rStyle w:val="HideTWBExt"/>
      </w:rPr>
      <w:t>&lt;Version&gt;</w:t>
    </w:r>
    <w:r>
      <w:t>v01-00</w:t>
    </w:r>
    <w:r>
      <w:rPr>
        <w:rStyle w:val="HideTWBExt"/>
      </w:rPr>
      <w:t>&lt;/Version&gt;</w:t>
    </w:r>
  </w:p>
  <w:p>
    <w:pPr>
      <w:pStyle w:val="EPFooter2"/>
    </w:pPr>
    <w:r>
      <w:t>FI</w:t>
    </w:r>
    <w:r>
      <w:tab/>
    </w:r>
    <w:r>
      <w:rPr>
        <w:rStyle w:val="EPFooter2Motto"/>
      </w:rPr>
      <w:t>Moninaisuudessaan yhtenäinen</w:t>
    </w:r>
    <w:r>
      <w:tab/>
    </w:r>
    <w:r>
      <w:t>FI</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t>1</w:t>
      </w:r>
      <w:r>
        <w:t xml:space="preserve"> </w:t>
      </w:r>
      <w:r>
        <w:t xml:space="preserve"> </w:t>
      </w:r>
      <w:r>
        <w:t xml:space="preserve">EUVL L, 2026/1087, 12.5.2026, ELI: </w:t>
      </w:r>
      <w:hyperlink r:id="rId1" w:tgtFrame="http://data.europa.eu/eli/dec/2026/1087/oj" w:history="1">
        <w:r>
          <w:rPr>
            <w:rStyle w:val="Hyperlink"/>
          </w:rPr>
          <w:t>http://data.europa.eu/eli/dec/2026/1087/oj</w:t>
        </w:r>
      </w:hyperlink>
      <w:r>
        <w:t>.</w:t>
      </w:r>
    </w:p>
  </w:footnote>
  <w:footnote w:id="3">
    <w:p>
      <w:pPr>
        <w:pStyle w:val="FootnoteText"/>
      </w:pPr>
      <w:r>
        <w:rPr>
          <w:rStyle w:val="FootnoteReference"/>
        </w:rPr>
        <w:t>2</w:t>
      </w:r>
      <w:r>
        <w:t xml:space="preserve"> </w:t>
      </w:r>
      <w:r>
        <w:t xml:space="preserve"> </w:t>
      </w:r>
      <w:r>
        <w:t xml:space="preserve">EYVL L 269, 27.9.1978, s. 2, ELI: </w:t>
      </w:r>
      <w:hyperlink r:id="rId2" w:tgtFrame="http://data.europa.eu/eli/agree_internation/1978/2216/oj" w:history="1">
        <w:r>
          <w:rPr>
            <w:rStyle w:val="Hyperlink"/>
          </w:rPr>
          <w:t>http://data.europa.eu/eli/agree_internation/1978/2216/oj</w:t>
        </w:r>
      </w:hyperlink>
      <w:r>
        <w:t>.</w:t>
      </w:r>
    </w:p>
  </w:footnote>
  <w:footnote w:id="4">
    <w:p>
      <w:pPr>
        <w:pStyle w:val="FootnoteText"/>
      </w:pPr>
      <w:r>
        <w:rPr>
          <w:rStyle w:val="FootnoteReference"/>
        </w:rPr>
        <w:t>1</w:t>
      </w:r>
      <w:r>
        <w:t xml:space="preserve"> </w:t>
      </w:r>
      <w:r>
        <w:t xml:space="preserve"> </w:t>
      </w:r>
      <w:r>
        <w:t xml:space="preserve">Euroopan parlamentin, Euroopan unionin neuvoston ja Euroopan komission toimielinten välinen sopimus, tehty 20. toukokuuta 2021, pakollisesta avoimuusrekisteristä (EUVL L 207, 11.6.2021, s. 1, ELI: </w:t>
      </w:r>
      <w:hyperlink r:id="rId3" w:tgtFrame="http://data.europa.eu/eli/agree_interinstit/2021/611/oj" w:history="1">
        <w:r>
          <w:rPr>
            <w:rStyle w:val="Hyperlink"/>
          </w:rPr>
          <w:t>http://data.europa.eu/eli/agree_interinstit/2021/611/oj</w:t>
        </w:r>
      </w:hyperlink>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CoverNormal12a">
    <w:name w:val="CoverNormal12a"/>
    <w:basedOn w:val="Normal"/>
    <w:pPr>
      <w:widowControl/>
      <w:spacing w:after="240"/>
      <w:ind w:left="1418"/>
    </w:p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12b">
    <w:name w:val="Normal12b"/>
    <w:basedOn w:val="Normal"/>
    <w:pPr>
      <w:widowControl/>
      <w:spacing w:before="240"/>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FooterChar">
    <w:name w:val="Footer Char"/>
    <w:rPr>
      <w:rFonts w:ascii="Times New Roman" w:eastAsia="Times New Roman" w:hAnsi="Times New Roman" w:cs="Times New Roman"/>
      <w:sz w:val="24"/>
    </w:rPr>
  </w:style>
  <w:style w:type="paragraph" w:customStyle="1" w:styleId="Normal12">
    <w:name w:val="Normal12"/>
    <w:basedOn w:val="Normal"/>
    <w:pPr>
      <w:widowControl w:val="0"/>
      <w:spacing w:after="240" w:line="240" w:lineRule="auto"/>
    </w:pPr>
    <w:rPr>
      <w:rFonts w:ascii="Times New Roman" w:eastAsia="Times New Roman" w:hAnsi="Times New Roman" w:cs="Times New Roman"/>
      <w:sz w:val="24"/>
    </w:rPr>
  </w:style>
  <w:style w:type="paragraph" w:customStyle="1" w:styleId="NormalHanging">
    <w:name w:val="NormalHanging"/>
    <w:basedOn w:val="Normal"/>
    <w:pPr>
      <w:widowControl w:val="0"/>
      <w:overflowPunct/>
      <w:spacing w:after="240" w:line="240" w:lineRule="auto"/>
      <w:ind w:left="566" w:hanging="566"/>
    </w:pPr>
    <w:rPr>
      <w:rFonts w:ascii="Times New Roman" w:eastAsia="Times New Roman" w:hAnsi="Times New Roman" w:cs="Times New Roman"/>
      <w:sz w:val="24"/>
    </w:rPr>
  </w:style>
  <w:style w:type="paragraph" w:customStyle="1" w:styleId="NormalHanging12a1">
    <w:name w:val="NormalHanging12a1"/>
    <w:basedOn w:val="Normal"/>
    <w:pPr>
      <w:widowControl w:val="0"/>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paragraph" w:customStyle="1" w:styleId="NormalBold12a">
    <w:name w:val="NormalBold12a"/>
    <w:basedOn w:val="Normal"/>
    <w:pPr>
      <w:widowControl/>
      <w:spacing w:after="240"/>
    </w:pPr>
    <w:rPr>
      <w:b/>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12BoldUnderline">
    <w:name w:val="Normal12BoldUnderline"/>
    <w:basedOn w:val="Normal"/>
    <w:pPr>
      <w:widowControl/>
      <w:spacing w:before="480"/>
    </w:pPr>
    <w:rPr>
      <w:b/>
      <w:u w:val="single"/>
    </w:rPr>
  </w:style>
  <w:style w:type="paragraph" w:customStyle="1" w:styleId="NormalCenter">
    <w:name w:val="NormalCenter"/>
    <w:basedOn w:val="Normal"/>
    <w:pPr>
      <w:widowControl w:val="0"/>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yperlink" Target="https://www.europarl.europa.eu/data-protect/index.do"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2026/1087/oj" TargetMode="External" /><Relationship Id="rId2" Type="http://schemas.openxmlformats.org/officeDocument/2006/relationships/hyperlink" Target="http://data.europa.eu/eli/agree_internation/1978/2216/oj" TargetMode="External" /><Relationship Id="rId3"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8</Pages>
  <Words>1241</Words>
  <Characters>10420</Characters>
  <Application>Microsoft Office Word</Application>
  <DocSecurity>0</DocSecurity>
  <Lines>1</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1343403</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508044</vt:lpwstr>
  </property>
  <property fmtid="{D5CDD505-2E9C-101B-9397-08002B2CF9AE}" pid="7" name="dmxml.render.traceId">
    <vt:lpwstr>6a16b2d03b566cdbdc5b52568d496ba9</vt:lpwstr>
  </property>
  <property fmtid="{D5CDD505-2E9C-101B-9397-08002B2CF9AE}" pid="8" name="FooterPath">
    <vt:lpwstr>PR\1343403FI.doc</vt:lpwstr>
  </property>
  <property fmtid="{D5CDD505-2E9C-101B-9397-08002B2CF9AE}" pid="9" name="PE Number">
    <vt:lpwstr>788.801</vt:lpwstr>
  </property>
  <property fmtid="{D5CDD505-2E9C-101B-9397-08002B2CF9AE}" pid="10" name="UID">
    <vt:lpwstr>eu.europa.europarl-DIN1-2026-0000126474_01.05-fi-01.00_text-xml</vt:lpwstr>
  </property>
</Properties>
</file>