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C93A60" w:rsidRPr="002B4F41" w14:paraId="24A2B633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7ED328B1" w14:textId="77777777" w:rsidR="00C93A60" w:rsidRPr="002B4F41" w:rsidRDefault="00840F26" w:rsidP="00C85D0F">
            <w:pPr>
              <w:pStyle w:val="EPName"/>
            </w:pPr>
            <w:r>
              <w:t>Parlament Ewropew</w:t>
            </w:r>
          </w:p>
          <w:p w14:paraId="05CD11BB" w14:textId="3D2FC45E" w:rsidR="00C93A60" w:rsidRPr="002B4F41" w:rsidRDefault="002B4F41" w:rsidP="00C85D0F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14:paraId="272DD720" w14:textId="77777777" w:rsidR="00C93A60" w:rsidRPr="002B4F41" w:rsidRDefault="00C93A60" w:rsidP="00C85D0F">
            <w:pPr>
              <w:pStyle w:val="EPLogo"/>
            </w:pPr>
            <w:r w:rsidRPr="002B4F41">
              <w:rPr>
                <w:lang w:val="en-GB"/>
              </w:rPr>
              <w:drawing>
                <wp:inline distT="0" distB="0" distL="0" distR="0" wp14:anchorId="6A07EA90" wp14:editId="4CBE831C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3498A0" w14:textId="77777777" w:rsidR="00E3537C" w:rsidRPr="002B4F41" w:rsidRDefault="00E3537C" w:rsidP="00E3537C">
      <w:pPr>
        <w:pStyle w:val="LineTop"/>
      </w:pPr>
    </w:p>
    <w:p w14:paraId="2AE86185" w14:textId="77777777" w:rsidR="002B4F41" w:rsidRPr="002B4F41" w:rsidRDefault="00E3537C" w:rsidP="00E3537C">
      <w:pPr>
        <w:pStyle w:val="EPBody"/>
      </w:pPr>
      <w:r>
        <w:rPr>
          <w:rStyle w:val="HideTWBExt"/>
          <w:noProof w:val="0"/>
        </w:rPr>
        <w:t>&lt;</w:t>
      </w:r>
      <w:r>
        <w:rPr>
          <w:rStyle w:val="HideTWBExt"/>
          <w:i w:val="0"/>
          <w:noProof w:val="0"/>
        </w:rPr>
        <w:t>Commission</w:t>
      </w:r>
      <w:r>
        <w:rPr>
          <w:rStyle w:val="HideTWBExt"/>
          <w:noProof w:val="0"/>
        </w:rPr>
        <w:t>&gt;</w:t>
      </w:r>
      <w:r>
        <w:rPr>
          <w:rStyle w:val="HideTWBInt"/>
        </w:rPr>
        <w:t>{CJ01}</w:t>
      </w:r>
      <w:r>
        <w:t>Kumitat għal-Libertajiet Ċivili, il-Ġustizzja u l-Intern</w:t>
      </w:r>
    </w:p>
    <w:p w14:paraId="29CFDA4A" w14:textId="2FF1F38C" w:rsidR="00E3537C" w:rsidRPr="002B4F41" w:rsidRDefault="002B4F41" w:rsidP="00E3537C">
      <w:pPr>
        <w:pStyle w:val="EPBody"/>
      </w:pPr>
      <w:r>
        <w:t>Kumitat għad-Drittijiet tan-Nisa u l-Ugwaljanza bejn is-Sessi</w:t>
      </w:r>
      <w:r>
        <w:rPr>
          <w:rStyle w:val="HideTWBExt"/>
          <w:noProof w:val="0"/>
        </w:rPr>
        <w:t>&lt;/</w:t>
      </w:r>
      <w:r>
        <w:rPr>
          <w:rStyle w:val="HideTWBExt"/>
          <w:i w:val="0"/>
          <w:noProof w:val="0"/>
        </w:rPr>
        <w:t>Commission</w:t>
      </w:r>
      <w:r>
        <w:rPr>
          <w:rStyle w:val="HideTWBExt"/>
          <w:noProof w:val="0"/>
        </w:rPr>
        <w:t>&gt;</w:t>
      </w:r>
    </w:p>
    <w:p w14:paraId="25F60A26" w14:textId="77777777" w:rsidR="00E3537C" w:rsidRPr="002B4F41" w:rsidRDefault="00E3537C" w:rsidP="00E3537C">
      <w:pPr>
        <w:pStyle w:val="LineBottom"/>
      </w:pPr>
    </w:p>
    <w:p w14:paraId="13AE214E" w14:textId="77777777" w:rsidR="002B4F41" w:rsidRPr="002B4F41" w:rsidRDefault="002B4F41" w:rsidP="002B4F41">
      <w:pPr>
        <w:pStyle w:val="CoverReference"/>
      </w:pPr>
      <w:r>
        <w:rPr>
          <w:rStyle w:val="HideTWBExt"/>
          <w:b w:val="0"/>
          <w:noProof w:val="0"/>
        </w:rPr>
        <w:t>&lt;RefProc&gt;</w:t>
      </w:r>
      <w:r>
        <w:t>2020/2035</w:t>
      </w:r>
      <w:r>
        <w:rPr>
          <w:rStyle w:val="HideTWBExt"/>
          <w:b w:val="0"/>
          <w:noProof w:val="0"/>
        </w:rPr>
        <w:t>&lt;/RefProc&gt;&lt;RefTypeProc&gt;</w:t>
      </w:r>
      <w:r>
        <w:t>(INL)</w:t>
      </w:r>
      <w:r>
        <w:rPr>
          <w:rStyle w:val="HideTWBExt"/>
          <w:b w:val="0"/>
          <w:noProof w:val="0"/>
        </w:rPr>
        <w:t>&lt;/RefTypeProc&gt;</w:t>
      </w:r>
    </w:p>
    <w:p w14:paraId="1A40562D" w14:textId="77777777" w:rsidR="002B4F41" w:rsidRPr="002B4F41" w:rsidRDefault="002B4F41" w:rsidP="002B4F41">
      <w:pPr>
        <w:pStyle w:val="CoverDate"/>
      </w:pPr>
      <w:r>
        <w:rPr>
          <w:rStyle w:val="HideTWBExt"/>
          <w:noProof w:val="0"/>
        </w:rPr>
        <w:t>&lt;Date&gt;</w:t>
      </w:r>
      <w:r>
        <w:rPr>
          <w:rStyle w:val="HideTWBInt"/>
        </w:rPr>
        <w:t>{20/05/2021}</w:t>
      </w:r>
      <w:r>
        <w:t>20.5.2021</w:t>
      </w:r>
      <w:r>
        <w:rPr>
          <w:rStyle w:val="HideTWBExt"/>
          <w:noProof w:val="0"/>
        </w:rPr>
        <w:t>&lt;/Date&gt;</w:t>
      </w:r>
    </w:p>
    <w:p w14:paraId="6FD0AEC7" w14:textId="77777777" w:rsidR="00100069" w:rsidRPr="002B4F41" w:rsidRDefault="00100069">
      <w:pPr>
        <w:pStyle w:val="CoverDocType24a"/>
      </w:pPr>
      <w:r>
        <w:rPr>
          <w:rStyle w:val="HideTWBExt"/>
          <w:b w:val="0"/>
          <w:noProof w:val="0"/>
        </w:rPr>
        <w:t>&lt;TitreType&gt;</w:t>
      </w:r>
      <w:r>
        <w:t>ABBOZZ TA' RAPPORT</w:t>
      </w:r>
      <w:r>
        <w:rPr>
          <w:rStyle w:val="HideTWBExt"/>
          <w:b w:val="0"/>
          <w:noProof w:val="0"/>
        </w:rPr>
        <w:t>&lt;/TitreType&gt;</w:t>
      </w:r>
    </w:p>
    <w:p w14:paraId="10371848" w14:textId="77777777" w:rsidR="002B4F41" w:rsidRPr="002B4F41" w:rsidRDefault="002B4F41" w:rsidP="002B4F41">
      <w:pPr>
        <w:pStyle w:val="CoverNormal"/>
      </w:pPr>
      <w:r>
        <w:rPr>
          <w:rStyle w:val="HideTWBExt"/>
          <w:noProof w:val="0"/>
        </w:rPr>
        <w:t>&lt;Titre&gt;</w:t>
      </w:r>
      <w:r>
        <w:t>b’rakkomandazzjonijiet lill-Kummissjoni dwar il-ġlieda kontra l-vjolenza abbażi tal-ġeneru: vjolenza ċibernetika</w:t>
      </w:r>
      <w:r>
        <w:rPr>
          <w:rStyle w:val="HideTWBExt"/>
          <w:noProof w:val="0"/>
        </w:rPr>
        <w:t>&lt;/Titre&gt;</w:t>
      </w:r>
    </w:p>
    <w:p w14:paraId="2CAB3D5A" w14:textId="77777777" w:rsidR="002B4F41" w:rsidRPr="002B4F41" w:rsidRDefault="002B4F41" w:rsidP="002B4F41">
      <w:pPr>
        <w:pStyle w:val="CoverNormal24a"/>
      </w:pPr>
      <w:r>
        <w:rPr>
          <w:rStyle w:val="HideTWBExt"/>
          <w:noProof w:val="0"/>
        </w:rPr>
        <w:t>&lt;DocRef&gt;</w:t>
      </w:r>
      <w:r>
        <w:t>(2020/2035(INL))</w:t>
      </w:r>
      <w:r>
        <w:rPr>
          <w:rStyle w:val="HideTWBExt"/>
          <w:noProof w:val="0"/>
        </w:rPr>
        <w:t>&lt;/DocRef&gt;</w:t>
      </w:r>
    </w:p>
    <w:p w14:paraId="23E5D9DB" w14:textId="501E625E" w:rsidR="00100069" w:rsidRPr="002B4F41" w:rsidRDefault="00100069" w:rsidP="004B5174">
      <w:pPr>
        <w:pStyle w:val="CoverNormal24a"/>
      </w:pPr>
      <w:r>
        <w:rPr>
          <w:rStyle w:val="HideTWBExt"/>
          <w:noProof w:val="0"/>
        </w:rPr>
        <w:t>&lt;Commission&gt;</w:t>
      </w:r>
      <w:r>
        <w:rPr>
          <w:rStyle w:val="HideTWBInt"/>
        </w:rPr>
        <w:t>{CJ01}</w:t>
      </w:r>
      <w:r>
        <w:t>Kumitat għal-Libertajiet Ċivili, il-Ġustizzja u l-Intern</w:t>
      </w:r>
      <w:r w:rsidR="004B5174">
        <w:br/>
      </w:r>
      <w:r w:rsidR="002B4F41">
        <w:t>Kumitat għad-Drittijiet tan-Nisa u l-Ugwaljanza bejn is-Sessi</w:t>
      </w:r>
      <w:r w:rsidR="002B4F41">
        <w:rPr>
          <w:rStyle w:val="HideTWBExt"/>
          <w:noProof w:val="0"/>
        </w:rPr>
        <w:t>&lt;/Commission&gt;</w:t>
      </w:r>
    </w:p>
    <w:p w14:paraId="14C3B480" w14:textId="77777777" w:rsidR="002B4F41" w:rsidRPr="002B4F41" w:rsidRDefault="002B4F41" w:rsidP="002B4F41">
      <w:pPr>
        <w:pStyle w:val="CoverNormal24a"/>
      </w:pPr>
      <w:r>
        <w:t xml:space="preserve">Rapporteurs: </w:t>
      </w:r>
      <w:r>
        <w:rPr>
          <w:rStyle w:val="HideTWBExt"/>
          <w:noProof w:val="0"/>
        </w:rPr>
        <w:t>&lt;Depute&gt;</w:t>
      </w:r>
      <w:r>
        <w:t>Sylwia Spurek, Elissavet Vozemberg</w:t>
      </w:r>
      <w:r>
        <w:noBreakHyphen/>
        <w:t>Vrionidi</w:t>
      </w:r>
      <w:r>
        <w:rPr>
          <w:rStyle w:val="HideTWBExt"/>
          <w:noProof w:val="0"/>
        </w:rPr>
        <w:t>&lt;/Depute&gt;</w:t>
      </w:r>
    </w:p>
    <w:p w14:paraId="32F04694" w14:textId="77777777" w:rsidR="002B4F41" w:rsidRPr="002B4F41" w:rsidRDefault="002B4F41" w:rsidP="002B4F41">
      <w:pPr>
        <w:pStyle w:val="CoverNormal12a"/>
        <w:spacing w:after="0"/>
      </w:pPr>
      <w:r>
        <w:t>(Inizjattiva – Artikolu 47 tar-Regoli ta' Proċedura)</w:t>
      </w:r>
    </w:p>
    <w:p w14:paraId="46D05875" w14:textId="77777777" w:rsidR="002B4F41" w:rsidRPr="002B4F41" w:rsidRDefault="002B4F41" w:rsidP="002B4F41">
      <w:pPr>
        <w:pStyle w:val="CoverNormal12a"/>
      </w:pPr>
      <w:r>
        <w:rPr>
          <w:snapToGrid w:val="0"/>
        </w:rPr>
        <w:t>(Proċedura b'kumitat konġunt – Regola 58 tar-Regoli ta' Proċedura)</w:t>
      </w:r>
    </w:p>
    <w:p w14:paraId="41DE5F4A" w14:textId="77777777" w:rsidR="002B4F41" w:rsidRPr="002B4F41" w:rsidRDefault="002B4F41" w:rsidP="002B4F41">
      <w:pPr>
        <w:pStyle w:val="CoverNormal24a"/>
      </w:pPr>
      <w:r>
        <w:t>(Awturi tal-proposta: Sylwia Spurek, Elissavet Vozemberg</w:t>
      </w:r>
      <w:r>
        <w:noBreakHyphen/>
        <w:t>Vrionidi)</w:t>
      </w:r>
    </w:p>
    <w:p w14:paraId="05D39EFF" w14:textId="77777777" w:rsidR="00E155CA" w:rsidRPr="002B4F41" w:rsidRDefault="00E155CA" w:rsidP="00E155CA">
      <w:pPr>
        <w:pStyle w:val="CoverNormal"/>
      </w:pPr>
    </w:p>
    <w:p w14:paraId="22875D87" w14:textId="77777777" w:rsidR="00100069" w:rsidRPr="002B4F41" w:rsidRDefault="00100069" w:rsidP="002544DF">
      <w:pPr>
        <w:widowControl/>
        <w:tabs>
          <w:tab w:val="center" w:pos="4677"/>
        </w:tabs>
      </w:pPr>
      <w:r>
        <w:br w:type="page"/>
      </w:r>
      <w:r>
        <w:lastRenderedPageBreak/>
        <w:t>PR_INI</w:t>
      </w:r>
    </w:p>
    <w:p w14:paraId="3E1BC30F" w14:textId="77777777" w:rsidR="00100069" w:rsidRPr="002B4F41" w:rsidRDefault="00840F26">
      <w:pPr>
        <w:pStyle w:val="TOCHeading"/>
      </w:pPr>
      <w:r>
        <w:t>WERREJ</w:t>
      </w:r>
    </w:p>
    <w:p w14:paraId="4A16E712" w14:textId="77777777" w:rsidR="00100069" w:rsidRPr="002B4F41" w:rsidRDefault="00840F26">
      <w:pPr>
        <w:pStyle w:val="TOCPage"/>
      </w:pPr>
      <w:r>
        <w:t>Paġna</w:t>
      </w:r>
    </w:p>
    <w:p w14:paraId="4100A0F0" w14:textId="2D5E4C72" w:rsidR="000E4544" w:rsidRDefault="002544DF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2B4F41">
        <w:rPr>
          <w:b/>
        </w:rPr>
        <w:fldChar w:fldCharType="begin"/>
      </w:r>
      <w:r w:rsidRPr="002B4F41">
        <w:rPr>
          <w:b/>
        </w:rPr>
        <w:instrText xml:space="preserve"> TOC \t "PageHeading</w:instrText>
      </w:r>
      <w:r w:rsidR="000E4544">
        <w:rPr>
          <w:b/>
        </w:rPr>
        <w:instrText>;</w:instrText>
      </w:r>
      <w:r w:rsidRPr="002B4F41">
        <w:rPr>
          <w:b/>
        </w:rPr>
        <w:instrText xml:space="preserve">1" </w:instrText>
      </w:r>
      <w:r w:rsidRPr="002B4F41">
        <w:rPr>
          <w:b/>
        </w:rPr>
        <w:fldChar w:fldCharType="separate"/>
      </w:r>
      <w:r w:rsidR="000E4544">
        <w:rPr>
          <w:noProof/>
        </w:rPr>
        <w:t>MOZZJONI GĦAL RIŻOLUZZJONI TAL-PARLAMENT EWROPEW</w:t>
      </w:r>
      <w:r w:rsidR="000E4544">
        <w:rPr>
          <w:noProof/>
        </w:rPr>
        <w:tab/>
      </w:r>
      <w:r w:rsidR="000E4544">
        <w:rPr>
          <w:noProof/>
        </w:rPr>
        <w:fldChar w:fldCharType="begin"/>
      </w:r>
      <w:r w:rsidR="000E4544">
        <w:rPr>
          <w:noProof/>
        </w:rPr>
        <w:instrText xml:space="preserve"> PAGEREF _Toc73609243 \h </w:instrText>
      </w:r>
      <w:r w:rsidR="000E4544">
        <w:rPr>
          <w:noProof/>
        </w:rPr>
      </w:r>
      <w:r w:rsidR="000E4544">
        <w:rPr>
          <w:noProof/>
        </w:rPr>
        <w:fldChar w:fldCharType="separate"/>
      </w:r>
      <w:r w:rsidR="000E4544">
        <w:rPr>
          <w:noProof/>
        </w:rPr>
        <w:t>3</w:t>
      </w:r>
      <w:r w:rsidR="000E4544">
        <w:rPr>
          <w:noProof/>
        </w:rPr>
        <w:fldChar w:fldCharType="end"/>
      </w:r>
    </w:p>
    <w:p w14:paraId="502AEC15" w14:textId="5737328D" w:rsidR="000E4544" w:rsidRDefault="000E4544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ANNESS GĦALL-MOZZJONI GĦAL RIŻOLUZZJONI: RAKKOMANDAZZJONIJIET LILL-KUMMISSJONI DWAR IL-KONTENUT TAL-PROPOSTA MITLUBA DWAR IL-ĠLIEDA KONTRA L-VJOLENZA ABBAŻI TAL-ĠENERU: VJOLENZA ĊIBERNETIKA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_Toc73609244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19AFB3C1" w14:textId="0CFA652F" w:rsidR="000E4544" w:rsidRDefault="000E4544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NOTA SPJEGATTIVA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_Toc73609245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14:paraId="2E9EF86D" w14:textId="45329811" w:rsidR="00E155CA" w:rsidRPr="002B4F41" w:rsidRDefault="002544DF" w:rsidP="0023245A">
      <w:r w:rsidRPr="002B4F41">
        <w:rPr>
          <w:b/>
        </w:rPr>
        <w:fldChar w:fldCharType="end"/>
      </w:r>
    </w:p>
    <w:p w14:paraId="23AD3442" w14:textId="77777777" w:rsidR="00100069" w:rsidRPr="002B4F41" w:rsidRDefault="00100069">
      <w:pPr>
        <w:pStyle w:val="PageHeading"/>
      </w:pPr>
      <w:r>
        <w:br w:type="page"/>
      </w:r>
      <w:bookmarkStart w:id="0" w:name="_Toc73609243"/>
      <w:r>
        <w:lastRenderedPageBreak/>
        <w:t>MOZZJONI GĦAL RIŻOLUZZJONI TAL-PARLAMENT EWROPEW</w:t>
      </w:r>
      <w:bookmarkEnd w:id="0"/>
    </w:p>
    <w:p w14:paraId="5730D250" w14:textId="77777777" w:rsidR="002B4F41" w:rsidRPr="002B4F41" w:rsidRDefault="002B4F41" w:rsidP="002B4F41">
      <w:pPr>
        <w:pStyle w:val="NormalBold"/>
      </w:pPr>
      <w:r>
        <w:t>b’rakkomandazzjonijiet lill-Kummissjoni dwar il-ġlieda kontra l-vjolenza abbażi tal-ġeneru: vjolenza ċibernetika</w:t>
      </w:r>
    </w:p>
    <w:p w14:paraId="07012613" w14:textId="77777777" w:rsidR="002B4F41" w:rsidRPr="002B4F41" w:rsidRDefault="002B4F41" w:rsidP="002B4F41">
      <w:pPr>
        <w:pStyle w:val="NormalBold"/>
      </w:pPr>
      <w:r>
        <w:t>(2020/2035(INL))</w:t>
      </w:r>
    </w:p>
    <w:p w14:paraId="3D5EECE1" w14:textId="77777777" w:rsidR="00100069" w:rsidRPr="002B4F41" w:rsidRDefault="00840F26" w:rsidP="00335F69">
      <w:pPr>
        <w:pStyle w:val="EPComma"/>
      </w:pPr>
      <w:r>
        <w:rPr>
          <w:i/>
        </w:rPr>
        <w:t>Il-Parlament Ewropew</w:t>
      </w:r>
      <w:r>
        <w:t>,</w:t>
      </w:r>
    </w:p>
    <w:p w14:paraId="0A084C3F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l-Artikoli 2 u 3(3) tat-Trattat dwar l-Unjoni Ewropea,</w:t>
      </w:r>
    </w:p>
    <w:p w14:paraId="7B61B1C0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l-Artikolu 83(1) u l-Artikolu 225 tat-Trattat dwar il-Funzjonament tal-Unjoni Ewropea,</w:t>
      </w:r>
    </w:p>
    <w:p w14:paraId="6DECFAAC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l-Karta tad-Drittijiet Fundamentali tal-Unjoni Ewropea, u b'mod partikolari l-Artikoli 7, 8, 10, 11, 12, 21, 23, 24, 25, 26 u 47 tagħha,</w:t>
      </w:r>
    </w:p>
    <w:p w14:paraId="3759964A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l-komunikazzjoni tal-Kummissjoni tal-5 ta' Marzu 2020 bit-titolu "Unjoni ta' Ugwaljanza: Strateġija dwar l-Ugwaljanza bejn il-Ġeneri 2020-2025",</w:t>
      </w:r>
    </w:p>
    <w:p w14:paraId="02E76DD4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l-komunikazzjoni tal-Kummissjoni tal-24 ta' Ġunju 2020 bit-titolu "Strateġija tal-UE dwar id-drittijiet tal-vittmi (2020-2025)",</w:t>
      </w:r>
    </w:p>
    <w:p w14:paraId="036D026F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l-Konvenzjoni tal-Kunsill tal-Ewropa dwar il-Prevenzjoni u l-Ġlieda Kontra l-Vjolenza fuq in-Nisa u l-Vjolenza Domestika,</w:t>
      </w:r>
    </w:p>
    <w:p w14:paraId="08031A72" w14:textId="182750EC" w:rsidR="002B4F41" w:rsidRPr="002B4F41" w:rsidRDefault="002B4F41" w:rsidP="002B4F41">
      <w:pPr>
        <w:pStyle w:val="NormalHanging12a"/>
      </w:pPr>
      <w:r>
        <w:t>–</w:t>
      </w:r>
      <w:r>
        <w:tab/>
        <w:t>wara li kkunsidra r-riżoluzzjoni tiegħu tal-21 ta' Jannar 2021 dwar l-Istrateġija tal-UE għall-Ugwaljanza bejn il-Ġeneri</w:t>
      </w:r>
      <w:r w:rsidR="004B5174" w:rsidRPr="002B4F41">
        <w:rPr>
          <w:rStyle w:val="FootnoteReference"/>
        </w:rPr>
        <w:footnoteReference w:id="1"/>
      </w:r>
      <w:r>
        <w:t>,</w:t>
      </w:r>
    </w:p>
    <w:p w14:paraId="7A1A41C5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d-dispożizzjonijiet tal-istrumenti legali tan-Nazzjonijiet Uniti fil-qasam tad-drittijiet tal-bniedem, b'mod partikolari dawk li jikkonċernaw id-drittijiet tan-nisa, u strumenti oħra tan-Nazzjonijiet Uniti dwar il-vjolenza kontra n-nisa,</w:t>
      </w:r>
    </w:p>
    <w:p w14:paraId="5C5A269E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r-riżoluzzjonijiet tal-Assemblea Ġenerali tan-Nazzjonijiet Uniti tas-16 ta' Diċembru 2020 bit-titolu "Intensification of efforts to prevent and eliminate all forms of violence against women and girls" (Intensifikazzjoni tal-isforzi għall-prevenzjoni u l-eliminazzjoni ta' kull forma ta' vjolenza kontra n-nisa u l-bniet) (A/RES/75/161) u "The right to privacy in the digital age" (Id-dritt għall-privatezza fl-era diġitali) (A/RES/75/176),</w:t>
      </w:r>
    </w:p>
    <w:p w14:paraId="09885EAF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r-riżoluzzjoni tal-Kunsill tad-Drittijiet tal-Bniedem tan-Nazzjonijiet Uniti tat-2 ta' Lulju 2018 bit-titolu "Accelerating efforts to eliminate violence against women and girls: preventing and responding to violence against women and girls in digital contexts" (L-aċċellerazzjoni tal-isforzi biex tiġi eliminata l-vjolenza kontra n-nisa u l-bniet: il-prevenzjoni u r-rispons għall-vjolenza kontra n-nisa u l-bniet f'kuntesti diġitali) (A/HRC/38/L.6),</w:t>
      </w:r>
    </w:p>
    <w:p w14:paraId="4FA50689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l-istudju tas-Servizz ta' Riċerka tal-Parlament Ewropew bit-titolu "Combating gender-based violence: Cyber violence" (Il-ġlieda kontra l-vjolenza abbażi tal-ġeneru: Il-vjolenza ċibernetika) [valutazzjoni tal-valur miżjud Ewropew],</w:t>
      </w:r>
    </w:p>
    <w:p w14:paraId="08F8A0FF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l-Indiċi tal-Ugwaljanza bejn il-Ġeneri tal-Istitut Ewropew għall-Ugwaljanza bejn is-Sessi,</w:t>
      </w:r>
    </w:p>
    <w:p w14:paraId="45450757" w14:textId="04C9BC03" w:rsidR="002B4F41" w:rsidRPr="002B4F41" w:rsidRDefault="002B4F41" w:rsidP="002B4F41">
      <w:pPr>
        <w:pStyle w:val="NormalHanging12a"/>
      </w:pPr>
      <w:r>
        <w:t>–</w:t>
      </w:r>
      <w:r>
        <w:tab/>
        <w:t>wara li kkunsidra d-Direttiva 2012/29/UE tal-Parlament Ewropew u tal-Kunsill tal-25 ta' Ottubru 2012 li tistabbilixxi standards minimi fir-rigward tad-drittijiet, l-appoġġ u l-protezzjoni tal-vittmi tal-kriminalità, u li tissostitwixxi d-Deċiżjoni Qafas tal-Kunsill 2001/220/ĠAI</w:t>
      </w:r>
      <w:r w:rsidR="004B5174" w:rsidRPr="002B4F41">
        <w:rPr>
          <w:rStyle w:val="FootnoteReference"/>
        </w:rPr>
        <w:footnoteReference w:id="2"/>
      </w:r>
      <w:r>
        <w:t>,</w:t>
      </w:r>
    </w:p>
    <w:p w14:paraId="043770FF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l-Artikoli 47 u 54 tar-Regoli ta' Proċedura tiegħu,</w:t>
      </w:r>
    </w:p>
    <w:p w14:paraId="5DF698B0" w14:textId="77777777" w:rsidR="002B4F41" w:rsidRPr="002B4F41" w:rsidRDefault="002B4F41" w:rsidP="002B4F41">
      <w:pPr>
        <w:pStyle w:val="NormalHanging12a"/>
      </w:pPr>
      <w:r>
        <w:t>–</w:t>
      </w:r>
      <w:r>
        <w:tab/>
      </w:r>
      <w:r>
        <w:rPr>
          <w:snapToGrid w:val="0"/>
        </w:rPr>
        <w:t>wara li kkunsidra d-deliberazzjonijiet konġunti tal-Kumitat għal-Libertajiet Ċivili, il-Ġustizzja u l-Intern kif ukoll tal-Kumitat għad-Drittijiet tan-Nisa u l-Ugwaljanza bejn is-Sessi skont l-Artikolu 58 tar-Regoli ta' Proċedura</w:t>
      </w:r>
      <w:r>
        <w:t>,</w:t>
      </w:r>
    </w:p>
    <w:p w14:paraId="584C7EAA" w14:textId="77777777" w:rsidR="002B4F41" w:rsidRPr="002B4F41" w:rsidRDefault="002B4F41" w:rsidP="002B4F41">
      <w:pPr>
        <w:pStyle w:val="NormalHanging12a"/>
      </w:pPr>
      <w:r>
        <w:t>–</w:t>
      </w:r>
      <w:r>
        <w:tab/>
        <w:t>wara li kkunsidra r-rapport tal-Kumitat għal-Libertajiet Ċivili, il-Ġustizzja u l-Intern, kif ukoll tal-Kumitat għad-Drittijiet tan-Nisa u l-Ugwaljanza bejn is-Sessi (A9</w:t>
      </w:r>
      <w:r>
        <w:noBreakHyphen/>
        <w:t>0000/2021),</w:t>
      </w:r>
    </w:p>
    <w:p w14:paraId="09A41AB9" w14:textId="77777777" w:rsidR="002B4F41" w:rsidRPr="002B4F41" w:rsidRDefault="002B4F41" w:rsidP="002B4F41">
      <w:pPr>
        <w:pStyle w:val="NormalHanging12a"/>
      </w:pPr>
      <w:r>
        <w:t>A.</w:t>
      </w:r>
      <w:r>
        <w:tab/>
        <w:t>billi l-ewwel objettiv tal-Istrateġija tal-Unjoni dwar l-Ugwaljanza bejn il-Ġeneri 2020-2025 jiffoka fuq it-tmiem tal-vjolenza abbażi tal-ġeneru u tiddeskrivih bħala "waħda mill-akbar sfidi għas-soċjetajiet tagħna";</w:t>
      </w:r>
    </w:p>
    <w:p w14:paraId="77A1F250" w14:textId="77777777" w:rsidR="002B4F41" w:rsidRPr="002B4F41" w:rsidRDefault="002B4F41" w:rsidP="002B4F41">
      <w:pPr>
        <w:pStyle w:val="NormalHanging12a"/>
      </w:pPr>
      <w:r>
        <w:t>B.</w:t>
      </w:r>
      <w:r>
        <w:tab/>
        <w:t>billi l-vjolenza kontra n-nisa u forom oħra ta' vjolenza abbażi tal-ġeneru huma mifruxa fl-Unjoni u għandhom jinftiehmu bħala forma estrema ta' diskriminazzjoni; billi l-vjolenza abbażi tal-ġeneru għandha l-għeruq tagħha fid-distribuzzjoni inugwali tal-poter bejn in-nisa u l-irġiel, fis-sessiżmu u fl-istereotipi marbuta mal-ġeneru, li wasslu għal dominazzjoni u diskriminazzjoni kontra n-nisa mill-irġiel;</w:t>
      </w:r>
    </w:p>
    <w:p w14:paraId="1AD9CF5E" w14:textId="77777777" w:rsidR="002B4F41" w:rsidRPr="002B4F41" w:rsidRDefault="002B4F41" w:rsidP="002B4F41">
      <w:pPr>
        <w:pStyle w:val="NormalHanging12a"/>
      </w:pPr>
      <w:r>
        <w:t>C.</w:t>
      </w:r>
      <w:r>
        <w:tab/>
        <w:t>billi l-vjolenza kontra n-nisa u l-vjolenza abbażi tal-ġeneru jippreżentaw forom u manifestazzjoni differenti iżda mhux reċiprokament esklużivi; billi dawk il-forom differenti ta' vjolenza spiss ikunu interkonnessi u inseparabbli mill-vjolenza offline minħabba li jistgħu jippreċeduhom, jakkumpanjawhom jew ikompluhom;</w:t>
      </w:r>
    </w:p>
    <w:p w14:paraId="30F4F6A2" w14:textId="77777777" w:rsidR="002B4F41" w:rsidRPr="002B4F41" w:rsidRDefault="002B4F41" w:rsidP="002B4F41">
      <w:pPr>
        <w:pStyle w:val="NormalHanging12a"/>
      </w:pPr>
      <w:r>
        <w:t>D.</w:t>
      </w:r>
      <w:r>
        <w:tab/>
        <w:t>billi l-fastidju online, is-cyberstalking, il-bullying ċibernetiku, it-trolling, id-diskors ta' mibegħda online, il-flaming, id-doxxing u l-abbuż sesswali bbażat fuq l-immaġnijiet huma fost l-aktar tipi komuni ta' vjolenza ċibernetika abbażi tal-ġeneru; billi xi Stati Membri adottaw leġiżlazzjoni speċifika dwar xi wħud minn dawk il-forom partikolari biss;</w:t>
      </w:r>
    </w:p>
    <w:p w14:paraId="40A66225" w14:textId="77777777" w:rsidR="002B4F41" w:rsidRPr="002B4F41" w:rsidRDefault="002B4F41" w:rsidP="002B4F41">
      <w:pPr>
        <w:pStyle w:val="NormalHanging12a"/>
      </w:pPr>
      <w:r>
        <w:t>E.</w:t>
      </w:r>
      <w:r>
        <w:tab/>
        <w:t>billi, minkejja sensibilizzazzjoni dejjem akbar dwar il-fenomenu tal-vjolenza ċibernetika abbażi tal-ġeneru, in-nuqqas ta' ġbir ta' data eżawrjenti u reċenti u s-sottorappurtar ta' każijiet ta' vjolenza ċibernetika abbażi tal-ġeneru jipprevjenu valutazzjoni preċiża tal-prevalenza tagħha; billi l-valutazzjoni tal-valur miżjud Ewropew dwar il-vjolenza ċibernetika abbażi tal-ġeneru tistma li bejn 4 u 7 % tan-nisa fl-Unjoni esperjenzaw fastidju online matul l-aħħar 12-il xahar, filwaqt li bejn 1 u 3 % esperjenzaw cyberstalking;</w:t>
      </w:r>
    </w:p>
    <w:p w14:paraId="4A0FEF3F" w14:textId="77777777" w:rsidR="002B4F41" w:rsidRPr="002B4F41" w:rsidRDefault="002B4F41" w:rsidP="002B4F41">
      <w:pPr>
        <w:pStyle w:val="NormalHanging12a"/>
      </w:pPr>
      <w:r>
        <w:t>F.</w:t>
      </w:r>
      <w:r>
        <w:tab/>
        <w:t>billi n-nisa jistgħu jkunu fil-mira ta' vjolenza ċibernetika jew fuq bażi individwali jew bħala membri ta' komunità speċifika; billi l-forom intersezzjonali ta' diskriminazzjoni jistgħu jaggravaw il-konsegwenzi ta' vjolenza ċibernetika abbażi tal-ġeneru;</w:t>
      </w:r>
    </w:p>
    <w:p w14:paraId="605A1A81" w14:textId="77777777" w:rsidR="002B4F41" w:rsidRPr="002B4F41" w:rsidRDefault="002B4F41" w:rsidP="002B4F41">
      <w:pPr>
        <w:pStyle w:val="NormalHanging12a"/>
      </w:pPr>
      <w:r>
        <w:t>G.</w:t>
      </w:r>
      <w:r>
        <w:tab/>
        <w:t>billi xi nisa, bħall-politiċi, in-nisa f'karigi pubbliċi, il-ġurnalisti, il-bloggers u d-difensuri tad-drittijiet tal-bniedem, huma partikolarment affettwati mill-vjolenza ċibernetika abbażi tal-ġeneru, u billi dan qed jikkawżalhom mhux biss dannu psikoloġiku u tbatija iżda wkoll deterrent għalihom milli jipparteċipaw b'mod diġitali fil-ħajja politika, soċjali u kulturali;</w:t>
      </w:r>
    </w:p>
    <w:p w14:paraId="7BB79FCD" w14:textId="77777777" w:rsidR="002B4F41" w:rsidRPr="002B4F41" w:rsidRDefault="002B4F41" w:rsidP="002B4F41">
      <w:pPr>
        <w:pStyle w:val="NormalHanging12a"/>
      </w:pPr>
      <w:r>
        <w:t>H.</w:t>
      </w:r>
      <w:r>
        <w:tab/>
        <w:t>billi l-vjolenza ċibernetika abbażi tal-ġeneru għandha impatt fuq is-saħħa mentali, fuq l-eżerċizzju sħiħ tad-drittijiet fundamentali u anke fuq id-demokrazija, u għandha konsegwenzi fuq is-soċjetà, inkluż impatt ekonomiku;</w:t>
      </w:r>
    </w:p>
    <w:p w14:paraId="4E7A6C9D" w14:textId="77777777" w:rsidR="002B4F41" w:rsidRPr="002B4F41" w:rsidRDefault="002B4F41" w:rsidP="002B4F41">
      <w:pPr>
        <w:pStyle w:val="NormalHanging12a"/>
      </w:pPr>
      <w:r>
        <w:t>1.</w:t>
      </w:r>
      <w:r>
        <w:tab/>
        <w:t>Jissottolinja li l-vjolenza ċibernetika abbażi tal-ġeneru hija kontinwazzjoni ta' vjolenza abbażi tal-ġeneru offline u li l-ebda alternattiva ta' politika ma tkun effettiva sakemm ma tqisx din ir-realtà;</w:t>
      </w:r>
    </w:p>
    <w:p w14:paraId="49A5A7AA" w14:textId="77777777" w:rsidR="002B4F41" w:rsidRPr="002B4F41" w:rsidRDefault="002B4F41" w:rsidP="002B4F41">
      <w:pPr>
        <w:pStyle w:val="NormalHanging12a"/>
      </w:pPr>
      <w:r>
        <w:t>2.</w:t>
      </w:r>
      <w:r>
        <w:tab/>
        <w:t>Jilqa' l-Istrateġija tal-Unjoni dwar l-Ugwaljanza bejn il-Ġeneri 2020-2025 imressqa mill-Kummissjoni bħala għodda biex tiġi miġġielda l-vjolenza kontra n-nisa u l-vjolenza abbażi tal-ġeneru u jiġu indirizzati l-kawżi ewlenin tagħha;</w:t>
      </w:r>
    </w:p>
    <w:p w14:paraId="731DFC6C" w14:textId="77777777" w:rsidR="002B4F41" w:rsidRPr="002B4F41" w:rsidRDefault="002B4F41" w:rsidP="002B4F41">
      <w:pPr>
        <w:pStyle w:val="NormalHanging12a"/>
      </w:pPr>
      <w:r>
        <w:t>3.</w:t>
      </w:r>
      <w:r>
        <w:tab/>
        <w:t>Jisħaq li l-pandemija tal-COVID-19 żiedet ir-riskju ta' vjolenza u abbuż domestiku minħabba li l-vittmi huma mġiegħla jqattgħu aktar ħin mal-awturi u għandhom it-tendenza li jkunu aktar iżolati min-networks ta' appoġġ; jistieden lill-Istati Membri jżidu l-assistenza li joffru permezz ta' postijiet ta' kenn, linji għall-għajnuna u servizzi ta' appoġġ għall-protezzjoni tal-vittmi u jiffaċilitaw ir-rapportar ta' vjolenza abbażi tal-ġeneru;</w:t>
      </w:r>
    </w:p>
    <w:p w14:paraId="6069A901" w14:textId="77777777" w:rsidR="002B4F41" w:rsidRPr="002B4F41" w:rsidRDefault="002B4F41" w:rsidP="002B4F41">
      <w:pPr>
        <w:pStyle w:val="NormalHanging12a"/>
      </w:pPr>
      <w:r>
        <w:t>4.</w:t>
      </w:r>
      <w:r>
        <w:tab/>
        <w:t>Jissottolinja n-natura transnazzjonali tal-vjolenza ċibernetika abbażi tal-ġeneru, filwaqt li titqies id-dimensjoni transfruntiera tal-użu tal-ICT;</w:t>
      </w:r>
    </w:p>
    <w:p w14:paraId="5085693F" w14:textId="77777777" w:rsidR="002B4F41" w:rsidRPr="002B4F41" w:rsidRDefault="002B4F41" w:rsidP="002B4F41">
      <w:pPr>
        <w:pStyle w:val="NormalHanging12a"/>
      </w:pPr>
      <w:r>
        <w:t>5.</w:t>
      </w:r>
      <w:r>
        <w:tab/>
        <w:t>Jistieden lill-Istati Membri jippromwovu s-sensibilizzazzjoni, jimplimentaw liġijiet nazzjonali dwar il-ġustizzja kriminali u politiki u programmi speċifiċi biex jipprevjenu l-vjolenza ċibernetika abbażi tal-ġeneru u jiġġieldu l-impunità għal dawk li jwettqu tali atti;</w:t>
      </w:r>
    </w:p>
    <w:p w14:paraId="29238695" w14:textId="77777777" w:rsidR="002B4F41" w:rsidRPr="002B4F41" w:rsidRDefault="002B4F41" w:rsidP="002B4F41">
      <w:pPr>
        <w:pStyle w:val="NormalHanging12a"/>
      </w:pPr>
      <w:r>
        <w:t>6.</w:t>
      </w:r>
      <w:r>
        <w:tab/>
        <w:t>Iħeġġeġ lill-Kummissjoni u lill-Istati Membri jistabbilixxu sistema affidabbli għall-ġbir regolari ta' data statistika diżaggregata u komparabbli dwar il-vjolenza abbażi tal-ġeneru, inkluża l-vjolenza ċibernetika;</w:t>
      </w:r>
    </w:p>
    <w:p w14:paraId="52EEBCCC" w14:textId="77777777" w:rsidR="002B4F41" w:rsidRPr="002B4F41" w:rsidRDefault="002B4F41" w:rsidP="002B4F41">
      <w:pPr>
        <w:pStyle w:val="NormalHanging12a"/>
      </w:pPr>
      <w:r>
        <w:t>7.</w:t>
      </w:r>
      <w:r>
        <w:tab/>
        <w:t>Jinnota li, fost l-oħrajn, l-istress, il-problemi ta' konċentrazzjoni, l-ansjetà, l-attakki ta' paniku, l-istima baxxa li persuna jkollha fiha nnifisha, id-depressjoni, id-disturb minn stress postrawmatiku, in-nuqqas ta' fiduċja u n-nuqqas ta' sens ta' kontroll, ikkawżati mill-vjolenza ċibernetika, jista' jkollhom impatt fuq is-saħħa mentali;</w:t>
      </w:r>
    </w:p>
    <w:p w14:paraId="2BCDC091" w14:textId="77777777" w:rsidR="002B4F41" w:rsidRPr="002B4F41" w:rsidRDefault="002B4F41" w:rsidP="002B4F41">
      <w:pPr>
        <w:pStyle w:val="NormalHanging12a"/>
      </w:pPr>
      <w:r>
        <w:t>8.</w:t>
      </w:r>
      <w:r>
        <w:tab/>
        <w:t>Jissottolinja li l-vjolenza ċibernetika abbażi tal-ġeneru tiġġenera konsegwenzi psikoloġiċi, soċjali u ekonomiċi;</w:t>
      </w:r>
    </w:p>
    <w:p w14:paraId="0F614814" w14:textId="77777777" w:rsidR="002B4F41" w:rsidRPr="002B4F41" w:rsidRDefault="002B4F41" w:rsidP="002B4F41">
      <w:pPr>
        <w:pStyle w:val="NormalHanging12a"/>
      </w:pPr>
      <w:r>
        <w:t>9.</w:t>
      </w:r>
      <w:r>
        <w:tab/>
        <w:t>Jistieden lill-Istati Membri jagħtu attenzjoni partikolari lin-nisa li jappartjenu għal gruppi li jitqiegħdu f'sitwazzjoni vulnerabbli fir-rigward tal-vjolenza ċibernetika abbażi tal-ġeneru u jiżviluppaw servizzi ta' appoġġ u programmi edukattivi speċifiċi ddedikati għal dawk il-gruppi speċifiċi;</w:t>
      </w:r>
    </w:p>
    <w:p w14:paraId="2216F318" w14:textId="77777777" w:rsidR="002B4F41" w:rsidRPr="002B4F41" w:rsidRDefault="002B4F41" w:rsidP="002B4F41">
      <w:pPr>
        <w:pStyle w:val="NormalHanging12a"/>
      </w:pPr>
      <w:r>
        <w:t>10.</w:t>
      </w:r>
      <w:r>
        <w:tab/>
        <w:t>Jikkundanna l-fatt li l-vjolenza ċibernetika abbażi tal-ġeneru tnaqqas il-parteċipazzjoni tan-nisa fid-dibattitu pubbliku li, b'konsegwenza ta' dan, tnaqqar il-prinċipji demokratiċi tal-Unjoni; jesprimi dispjaċir għall-fatt li l-attivisti, il-ġurnalisti u l-politiċi nisa kienu partikolarment fil-mira li jiġu msikkta bl-intenzjoni li tiġi skoraġġuta l-preżenza tagħhom fl-isferi tal-ħajja politika u tat-teħid ta' deċiżjonijiet;</w:t>
      </w:r>
    </w:p>
    <w:p w14:paraId="6578B2AA" w14:textId="77777777" w:rsidR="002B4F41" w:rsidRPr="002B4F41" w:rsidRDefault="002B4F41" w:rsidP="002B4F41">
      <w:pPr>
        <w:pStyle w:val="NormalHanging12a"/>
      </w:pPr>
      <w:r>
        <w:t>11.</w:t>
      </w:r>
      <w:r>
        <w:tab/>
        <w:t>Ifakkar li l-istereotipi marbuta mal-ġeneru huma fil-qalba tad-diskriminazzjoni sesswali u huma wieħed mill-ostakli ewlenin għad-dħul tan-nisa u tal-bniet fl-ICT u fl-oqsma diġitali; jisħaq fuq il-ħtieġa li tiġi indirizzata d-differenza bejn il-ġeneri fis-settur tal-ICT permezz tal-edukazzjoni, tal-kampanji ta' sensibilizzazzjoni u tal-promozzjoni tar-rappreżentanza tan-nisa fis-settur;</w:t>
      </w:r>
    </w:p>
    <w:p w14:paraId="626B0084" w14:textId="77777777" w:rsidR="002B4F41" w:rsidRPr="002B4F41" w:rsidRDefault="002B4F41" w:rsidP="002B4F41">
      <w:pPr>
        <w:pStyle w:val="NormalHanging12a"/>
      </w:pPr>
      <w:r>
        <w:t>12.</w:t>
      </w:r>
      <w:r>
        <w:tab/>
        <w:t>Jissottolinja l-ħtieġa li jiġu protetti u appoġġjati l-vittmi ta' vjolenza ċibernetika abbażi tal-ġeneru, u li tiġi żgurata r-reparazzjoni tagħhom;</w:t>
      </w:r>
    </w:p>
    <w:p w14:paraId="3DFFC336" w14:textId="77777777" w:rsidR="002B4F41" w:rsidRPr="002B4F41" w:rsidRDefault="002B4F41" w:rsidP="002B4F41">
      <w:pPr>
        <w:pStyle w:val="NormalHanging12a"/>
      </w:pPr>
      <w:r>
        <w:t>13.</w:t>
      </w:r>
      <w:r>
        <w:tab/>
        <w:t>Ifakkar li l-Kunsill għandu jikkonkludi b'mod urġenti r-ratifika mill-Unjoni tal-Konvenzjoni tal-Kunsill tal-Ewropa dwar il-prevenzjoni u l-ġlieda kontra l-vjolenza fuq in-nisa u l-vjolenza domestika (il-"Konvenzjoni ta' Istanbul") abbażi ta' adeżjoni wiesgħa mingħajr ebda limitazzjoni, u jippromwovi r-ratifika, l-implimentazzjoni malajr u xierqa tagħha, u l-infurzar mill-Istati Membri kollha; jissottolinja li l-Konvenzjoni ta' Istanbul hija l-aktar trattat internazzjonali komprensiv li jindirizza l-kawżi ewlenin tal-vjolenza abbażi tal-ġeneru f'kull forma tagħha; jenfasizza li din is-sejħa ma tneħħi xejn mis-sejħa għall-adozzjoni ta' att legali tal-Unjoni dwar il-ġlieda kontra l-vjolenza abbażi tal-ġeneru iżda, pjuttost, tikkomplementaha;</w:t>
      </w:r>
    </w:p>
    <w:p w14:paraId="17F0C0BE" w14:textId="77777777" w:rsidR="002B4F41" w:rsidRPr="002B4F41" w:rsidRDefault="002B4F41" w:rsidP="002B4F41">
      <w:pPr>
        <w:pStyle w:val="NormalHanging12a"/>
      </w:pPr>
      <w:r>
        <w:t>14.</w:t>
      </w:r>
      <w:r>
        <w:tab/>
        <w:t>Jafferma bil-qawwa l-impenn tiegħu, kif diġà esprima qabel, li jindirizza l-vjolenza abbażi tal-ġeneru u għall-ħtieġa li jkun hemm direttiva komprensiva li tkopri kull forma tagħha bħala l-aħjar mod biex tintemm il-vjolenza abbażi tal-ġeneru;</w:t>
      </w:r>
    </w:p>
    <w:p w14:paraId="0A1EEF80" w14:textId="77777777" w:rsidR="002B4F41" w:rsidRPr="002B4F41" w:rsidRDefault="002B4F41" w:rsidP="002B4F41">
      <w:pPr>
        <w:pStyle w:val="NormalHanging12a"/>
      </w:pPr>
      <w:r>
        <w:t>15.</w:t>
      </w:r>
      <w:r>
        <w:tab/>
        <w:t>Jitlob lill-Kunsill jattiva l-klawżola "passerelle</w:t>
      </w:r>
      <w:r>
        <w:rPr>
          <w:i/>
        </w:rPr>
        <w:t xml:space="preserve">" </w:t>
      </w:r>
      <w:r>
        <w:t>billi jadotta deċiżjoni li tidentifika l-vjolenza abbażi tal-ġeneru bħala qasam ta' kriminalità partikolarment serja b'dimensjoni transfruntiera skont it-tielet subparagrafu tal-Artikolu 83(1) tat-Trattat dwar il-Funzjonament tal-Unjoni Ewropea (TFUE);</w:t>
      </w:r>
    </w:p>
    <w:p w14:paraId="5FD6B6FF" w14:textId="77777777" w:rsidR="002B4F41" w:rsidRPr="002B4F41" w:rsidRDefault="002B4F41" w:rsidP="002B4F41">
      <w:pPr>
        <w:pStyle w:val="NormalHanging12a"/>
      </w:pPr>
      <w:r>
        <w:t>16.</w:t>
      </w:r>
      <w:r>
        <w:tab/>
        <w:t>Jitlob li l-Kummissjoni tippreżenta, mingħajr dewmien żejjed, abbażi tal-ewwel subparagrafu tal-Artikolu 83(1) tat-TFUE, proposta għal att li jistabbilixxi miżuri għall-ġlieda kontra l-vjolenza ċibernetika abbażi tal-ġeneru wara r-rakkomandazzjonijiet stabbiliti fl-Anness ta' dan l-abbozz ta' rapport; jindika li dik il-proposta ma għandhiex iddgħajjef l-isforzi biex tiġi identifikata l-vjolenza abbażi tal-ġeneru bħala qasam ġdid ta' kriminalità partikolarment serja b'dimensjoni transfruntiera skont it-tielet subparagrafu tal-Artikolu 83(1) tat-TFUE, jew kwalunkwe att legali derivat dwar il-vjolenza abbażi tal-ġeneru kif mitlub mill-Parlament fis-sejħiet preċedenti tiegħu;</w:t>
      </w:r>
    </w:p>
    <w:p w14:paraId="4B374900" w14:textId="77777777" w:rsidR="002B4F41" w:rsidRPr="002B4F41" w:rsidRDefault="002B4F41" w:rsidP="002B4F41">
      <w:pPr>
        <w:pStyle w:val="NormalHanging12a"/>
      </w:pPr>
      <w:r>
        <w:t>17.</w:t>
      </w:r>
      <w:r>
        <w:tab/>
        <w:t>Jagħti istruzzjonijiet lill-President tiegħu biex jgħaddi din ir-riżoluzzjoni kif ukoll ir-rakkomandazzjonijiet fl-anness lill-Kummissjoni u lill-Kunsill.</w:t>
      </w:r>
    </w:p>
    <w:p w14:paraId="2DDC89F6" w14:textId="0CE50476" w:rsidR="002B4F41" w:rsidRPr="002B4F41" w:rsidRDefault="002B4F41" w:rsidP="002B4F41">
      <w:pPr>
        <w:sectPr w:rsidR="002B4F41" w:rsidRPr="002B4F41" w:rsidSect="002B4F4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  <w:bookmarkStart w:id="1" w:name="_GoBack"/>
      <w:bookmarkEnd w:id="1"/>
    </w:p>
    <w:p w14:paraId="00A55BC4" w14:textId="77777777" w:rsidR="002B4F41" w:rsidRPr="002B4F41" w:rsidRDefault="002B4F41" w:rsidP="002B4F41">
      <w:pPr>
        <w:pStyle w:val="PageHeading"/>
      </w:pPr>
      <w:bookmarkStart w:id="2" w:name="_Toc72411408"/>
      <w:bookmarkStart w:id="3" w:name="_Toc72493208"/>
      <w:bookmarkStart w:id="4" w:name="_Toc73609244"/>
      <w:r>
        <w:t>ANNESS GĦALL-MOZZJONI GĦAL RIŻOLUZZJONI:</w:t>
      </w:r>
      <w:r>
        <w:br/>
        <w:t>RAKKOMANDAZZJONIJIET LILL-KUMMISSJONI DWAR IL-KONTENUT TAL-PROPOSTA MITLUBA DWAR IL-ĠLIEDA KONTRA L-VJOLENZA ABBAŻI TAL-ĠENERU: VJOLENZA ĊIBERNETIKA</w:t>
      </w:r>
      <w:bookmarkEnd w:id="2"/>
      <w:bookmarkEnd w:id="3"/>
      <w:bookmarkEnd w:id="4"/>
    </w:p>
    <w:p w14:paraId="62BE26EC" w14:textId="77777777" w:rsidR="002B4F41" w:rsidRPr="002B4F41" w:rsidRDefault="002B4F41" w:rsidP="002B4F41">
      <w:pPr>
        <w:pStyle w:val="Tre"/>
        <w:jc w:val="left"/>
        <w:rPr>
          <w:b/>
          <w:bCs/>
          <w:i/>
        </w:rPr>
      </w:pPr>
      <w:r>
        <w:rPr>
          <w:b/>
          <w:i/>
        </w:rPr>
        <w:t>Rakkomandazzjoni 1 dwar l-objettiv tad-direttiva li għandha tiġi adottata</w:t>
      </w:r>
    </w:p>
    <w:p w14:paraId="33E818D5" w14:textId="77777777" w:rsidR="002B4F41" w:rsidRPr="002B4F41" w:rsidRDefault="002B4F41" w:rsidP="002B4F41">
      <w:pPr>
        <w:pStyle w:val="Tre"/>
        <w:jc w:val="left"/>
        <w:rPr>
          <w:b/>
          <w:bCs/>
        </w:rPr>
      </w:pPr>
    </w:p>
    <w:p w14:paraId="6A0D744D" w14:textId="77777777" w:rsidR="002B4F41" w:rsidRPr="002B4F41" w:rsidRDefault="002B4F41" w:rsidP="002B4F41">
      <w:pPr>
        <w:pStyle w:val="Tre"/>
        <w:jc w:val="left"/>
      </w:pPr>
      <w:r>
        <w:t>L-objettiv tad-direttiva għandu jkun li tistabbilixxi regoli minimi dwar id-definizzjoni tar-reat ta' vjolenza ċibernetika abbażi tal-ġeneru u sanzjonijiet relatati, li tistabbilixxi miżuri biex tippromwovi u tappoġġja l-azzjoni tal-Istati Membri fil-qasam tal-prevenzjoni ta' dak ir-reat u miżuri biex tipproteġi, tappoġġja u tiżgura r-reparazzjoni għall-vittmi.</w:t>
      </w:r>
    </w:p>
    <w:p w14:paraId="21338E68" w14:textId="77777777" w:rsidR="002B4F41" w:rsidRPr="002B4F41" w:rsidRDefault="002B4F41" w:rsidP="002B4F41">
      <w:pPr>
        <w:pStyle w:val="Tre"/>
        <w:jc w:val="left"/>
      </w:pPr>
    </w:p>
    <w:p w14:paraId="51EAFCDA" w14:textId="77777777" w:rsidR="002B4F41" w:rsidRPr="002B4F41" w:rsidRDefault="002B4F41" w:rsidP="002B4F41">
      <w:pPr>
        <w:pStyle w:val="Tre"/>
        <w:jc w:val="left"/>
        <w:rPr>
          <w:b/>
          <w:bCs/>
          <w:i/>
        </w:rPr>
      </w:pPr>
      <w:r>
        <w:rPr>
          <w:b/>
          <w:i/>
        </w:rPr>
        <w:t>Rakkomandazzjoni 2 dwar il-kamp ta' applikazzjoni u d-definizzjonijiet</w:t>
      </w:r>
    </w:p>
    <w:p w14:paraId="3EF32591" w14:textId="77777777" w:rsidR="002B4F41" w:rsidRPr="002B4F41" w:rsidRDefault="002B4F41" w:rsidP="002B4F41">
      <w:pPr>
        <w:pStyle w:val="Tre"/>
        <w:jc w:val="left"/>
      </w:pPr>
    </w:p>
    <w:p w14:paraId="10F4F482" w14:textId="77777777" w:rsidR="002B4F41" w:rsidRPr="002B4F41" w:rsidRDefault="002B4F41" w:rsidP="002B4F41">
      <w:pPr>
        <w:pStyle w:val="Tre"/>
        <w:jc w:val="left"/>
        <w:rPr>
          <w:b/>
          <w:bCs/>
        </w:rPr>
      </w:pPr>
      <w:r>
        <w:rPr>
          <w:b/>
        </w:rPr>
        <w:t xml:space="preserve">- liema reati? </w:t>
      </w:r>
    </w:p>
    <w:p w14:paraId="2054E7FC" w14:textId="77777777" w:rsidR="002B4F41" w:rsidRPr="002B4F41" w:rsidRDefault="002B4F41" w:rsidP="002B4F41">
      <w:pPr>
        <w:pStyle w:val="Tre"/>
        <w:jc w:val="left"/>
        <w:rPr>
          <w:b/>
          <w:bCs/>
        </w:rPr>
      </w:pPr>
    </w:p>
    <w:p w14:paraId="74547055" w14:textId="77777777" w:rsidR="002B4F41" w:rsidRPr="002B4F41" w:rsidRDefault="002B4F41" w:rsidP="002B4F41">
      <w:pPr>
        <w:pStyle w:val="Tre"/>
        <w:jc w:val="left"/>
      </w:pPr>
      <w:r>
        <w:t>L-inklużjoni tat-terminu "kriminalità tal-informatika" fl-Artikolu 83(1) tat-TFUE tista' tkopri wkoll reati mwettqa kontra networks ta' komunikazzjoni elettronika jew sistemi ta' informazzjoni jew bl-użu tagħhom, u forom serji ta' vjolenza online abbażi tal-ġeneru b'dimensjoni transfruntiera jistgħu jaqgħu taħt il-kamp ta' applikazzjoni ta' "kriminalità tal-informatika" skont it-tifsira tal-Artikolu 83(1) tat-TFUE.</w:t>
      </w:r>
    </w:p>
    <w:p w14:paraId="66665926" w14:textId="77777777" w:rsidR="002B4F41" w:rsidRPr="002B4F41" w:rsidRDefault="002B4F41" w:rsidP="002B4F41">
      <w:pPr>
        <w:pStyle w:val="Tre"/>
        <w:jc w:val="left"/>
      </w:pPr>
    </w:p>
    <w:p w14:paraId="7F76F2C6" w14:textId="77777777" w:rsidR="002B4F41" w:rsidRPr="002B4F41" w:rsidRDefault="002B4F41" w:rsidP="002B4F41">
      <w:pPr>
        <w:pStyle w:val="Tre"/>
        <w:jc w:val="left"/>
      </w:pPr>
      <w:r>
        <w:t xml:space="preserve">Minbarra dan, jistgħu jiġu stabbiliti miżuri li għandhom l-għan li jipprevjenu l-vjolenza ċibernetika abbażi tal-ġeneru u li jgħinu lill-vittmi abbażi tal-Artikolu 83(1) tat-TFUE minħabba li huma aċċessorji għall-objettiv ewlieni tad-direttiva.  </w:t>
      </w:r>
    </w:p>
    <w:p w14:paraId="114C8C52" w14:textId="77777777" w:rsidR="002B4F41" w:rsidRPr="002B4F41" w:rsidRDefault="002B4F41" w:rsidP="002B4F41">
      <w:pPr>
        <w:pStyle w:val="Tre"/>
        <w:jc w:val="left"/>
      </w:pPr>
    </w:p>
    <w:p w14:paraId="40AFD8F7" w14:textId="77777777" w:rsidR="002B4F41" w:rsidRPr="002B4F41" w:rsidRDefault="002B4F41" w:rsidP="002B4F41">
      <w:pPr>
        <w:pStyle w:val="Tre"/>
        <w:jc w:val="left"/>
      </w:pPr>
      <w:r>
        <w:t xml:space="preserve">Il-kamp ta' applikazzjoni għandu jkopri kwalunkwe forma ta' vjolenza abbażi tal-ġeneru mwettqa, assistita jew aggravata parzjalment jew kompletament bl-użu tal-ICT, bħal mobiles u smartphones, l-internet, il-pjattaformi tal-midja soċjali jew l-email, kontra mara minħabba li hija mara, jew taffettwa lin-nisa b'mod sproporzjonat. </w:t>
      </w:r>
    </w:p>
    <w:p w14:paraId="352357E5" w14:textId="77777777" w:rsidR="002B4F41" w:rsidRPr="002B4F41" w:rsidRDefault="002B4F41" w:rsidP="002B4F41">
      <w:pPr>
        <w:pStyle w:val="Tre"/>
        <w:jc w:val="left"/>
      </w:pPr>
    </w:p>
    <w:p w14:paraId="27EFAFB4" w14:textId="77777777" w:rsidR="002B4F41" w:rsidRPr="002B4F41" w:rsidRDefault="002B4F41" w:rsidP="002B4F41">
      <w:pPr>
        <w:pStyle w:val="Tre"/>
        <w:jc w:val="left"/>
      </w:pPr>
      <w:r>
        <w:t xml:space="preserve">Għalkemm mhuwiex possibbli li tiġi ppreżentata tipoloġija eżawrjenti tal-forom differenti ta' vjolenza ċibernetika abbażi tal-ġeneru minħabba li qed tevolvi b'mod kostanti u qed jitfaċċaw forom ġodda, għandhom jissemmew u jiġu definiti t-tipi li ġejjin: </w:t>
      </w:r>
    </w:p>
    <w:p w14:paraId="3134591E" w14:textId="77777777" w:rsidR="002B4F41" w:rsidRPr="002B4F41" w:rsidRDefault="002B4F41" w:rsidP="002B4F41">
      <w:pPr>
        <w:pStyle w:val="Tre"/>
        <w:jc w:val="left"/>
      </w:pPr>
    </w:p>
    <w:p w14:paraId="404BADBD" w14:textId="77777777" w:rsidR="002B4F41" w:rsidRPr="002B4F41" w:rsidRDefault="002B4F41" w:rsidP="002B4F41">
      <w:pPr>
        <w:ind w:left="36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 xml:space="preserve">fastidju online </w:t>
      </w:r>
      <w:r>
        <w:t>(inkluż: bullying ċibernetiku, riċeviment mhux mitlub ta' materjal sesswalment espliċitu, fastidju morali);</w:t>
      </w:r>
    </w:p>
    <w:p w14:paraId="3254FD55" w14:textId="77777777" w:rsidR="002B4F41" w:rsidRPr="002B4F41" w:rsidRDefault="002B4F41" w:rsidP="002B4F41">
      <w:pPr>
        <w:ind w:left="36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cyberstalking</w:t>
      </w:r>
      <w:r>
        <w:t>;</w:t>
      </w:r>
    </w:p>
    <w:p w14:paraId="01877F46" w14:textId="77777777" w:rsidR="002B4F41" w:rsidRPr="002B4F41" w:rsidRDefault="002B4F41" w:rsidP="002B4F41">
      <w:pPr>
        <w:ind w:left="36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Ksur tal-privatezza relatat mal-ICT</w:t>
      </w:r>
      <w:r>
        <w:t xml:space="preserve"> (inkluż l-aċċess, il-kondiviżjoni u l-manipulazzjoni ta' data jew immaġnijiet privati, inkluża data intima mingħajr kunsens, abbuż sesswali bbażat fuq l-immaġnijiet u divulgazzjoni mhux kunsenswali ta' immaġnijiet sesswali, doxxing, serq ta' identità);</w:t>
      </w:r>
    </w:p>
    <w:p w14:paraId="462A484B" w14:textId="77777777" w:rsidR="002B4F41" w:rsidRPr="002B4F41" w:rsidRDefault="002B4F41" w:rsidP="002B4F41">
      <w:pPr>
        <w:ind w:left="36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il-kontroll jew is-sorveljanza mill-bogħod</w:t>
      </w:r>
      <w:r>
        <w:t xml:space="preserve"> (inkluż permezz ta' apps ta' spjunaġġ fuq apparati mobbli);</w:t>
      </w:r>
    </w:p>
    <w:p w14:paraId="5F243100" w14:textId="77777777" w:rsidR="002B4F41" w:rsidRPr="002B4F41" w:rsidRDefault="002B4F41" w:rsidP="002B4F41">
      <w:pPr>
        <w:ind w:left="36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 xml:space="preserve">theddid </w:t>
      </w:r>
      <w:r>
        <w:t>(inkluż theddid dirett u theddid ta' vjolenza, estorsjoni, estorsjoni sesswali, rikatt);</w:t>
      </w:r>
    </w:p>
    <w:p w14:paraId="0A78A472" w14:textId="77777777" w:rsidR="002B4F41" w:rsidRPr="002B4F41" w:rsidRDefault="002B4F41" w:rsidP="002B4F41">
      <w:pPr>
        <w:ind w:left="36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 xml:space="preserve">diskors ta' mibegħda sessista </w:t>
      </w:r>
      <w:r>
        <w:t>(inkluż: il-pubblikazzjoni u l-kondiviżjoni ta' kontenut vjolenti, l-użu ta' kummenti u insulti sessisti jew abbażi tal-ġeneru, l-abbuż tan-nisa talli esprimew il-fehmiet tagħhom stess u talli rrifjutaw avvanzi sesswali);</w:t>
      </w:r>
    </w:p>
    <w:p w14:paraId="51495BEA" w14:textId="77777777" w:rsidR="002B4F41" w:rsidRPr="002B4F41" w:rsidRDefault="002B4F41" w:rsidP="002B4F41">
      <w:pPr>
        <w:ind w:left="36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promozzjoni ta' suwiċidju jew anoressija u komportamenti li jikkawżaw ħsara psikika</w:t>
      </w:r>
      <w:r>
        <w:t>;</w:t>
      </w:r>
    </w:p>
    <w:p w14:paraId="06580A2F" w14:textId="77777777" w:rsidR="002B4F41" w:rsidRPr="002B4F41" w:rsidRDefault="002B4F41" w:rsidP="002B4F41">
      <w:pPr>
        <w:ind w:left="36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ħsara fil-kompjuters</w:t>
      </w:r>
      <w:r>
        <w:t xml:space="preserve"> lil fajls, programmi, apparati, attakki fuq siti web u fuq mezzi oħra ta' komunikazzjoni diġitali;</w:t>
      </w:r>
    </w:p>
    <w:p w14:paraId="7A8B6F4F" w14:textId="77777777" w:rsidR="002B4F41" w:rsidRPr="002B4F41" w:rsidRDefault="002B4F41" w:rsidP="002B4F41">
      <w:pPr>
        <w:ind w:left="36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aċċess illegali</w:t>
      </w:r>
      <w:r>
        <w:t xml:space="preserve"> għal messaġġi bil-mobile, bil-posta elettronika, b'messaġġerija istantanja jew għal kontijiet tal-midja soċjali;</w:t>
      </w:r>
    </w:p>
    <w:p w14:paraId="523A196B" w14:textId="77777777" w:rsidR="002B4F41" w:rsidRPr="002B4F41" w:rsidRDefault="002B4F41" w:rsidP="002B4F41">
      <w:pPr>
        <w:ind w:left="36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ksur tal-projbizzjonijiet ta' komunikazzjoni</w:t>
      </w:r>
      <w:r>
        <w:t xml:space="preserve"> imposti permezz ta' ordnijiet ġudizzjarji,</w:t>
      </w:r>
    </w:p>
    <w:p w14:paraId="19EDF11E" w14:textId="77777777" w:rsidR="002B4F41" w:rsidRPr="002B4F41" w:rsidRDefault="002B4F41" w:rsidP="002B4F41">
      <w:pPr>
        <w:ind w:left="360" w:hanging="360"/>
        <w:rPr>
          <w:b/>
          <w:bCs/>
        </w:rPr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vjolenza diretta.</w:t>
      </w:r>
    </w:p>
    <w:p w14:paraId="5847DE2B" w14:textId="77777777" w:rsidR="002B4F41" w:rsidRPr="002B4F41" w:rsidRDefault="002B4F41" w:rsidP="002B4F41">
      <w:pPr>
        <w:pStyle w:val="Tre"/>
        <w:jc w:val="left"/>
      </w:pPr>
    </w:p>
    <w:p w14:paraId="58230265" w14:textId="77777777" w:rsidR="002B4F41" w:rsidRPr="002B4F41" w:rsidRDefault="002B4F41" w:rsidP="002B4F41">
      <w:pPr>
        <w:pStyle w:val="Tre"/>
        <w:jc w:val="left"/>
        <w:rPr>
          <w:b/>
          <w:bCs/>
        </w:rPr>
      </w:pPr>
      <w:r>
        <w:rPr>
          <w:b/>
        </w:rPr>
        <w:t xml:space="preserve">- liema vittmi?  </w:t>
      </w:r>
    </w:p>
    <w:p w14:paraId="521FB050" w14:textId="77777777" w:rsidR="002B4F41" w:rsidRPr="002B4F41" w:rsidRDefault="002B4F41" w:rsidP="002B4F41">
      <w:pPr>
        <w:pStyle w:val="Tre"/>
        <w:jc w:val="left"/>
        <w:rPr>
          <w:b/>
          <w:bCs/>
        </w:rPr>
      </w:pPr>
    </w:p>
    <w:p w14:paraId="24BBBBD0" w14:textId="77777777" w:rsidR="002B4F41" w:rsidRPr="002B4F41" w:rsidRDefault="002B4F41" w:rsidP="002B4F41">
      <w:pPr>
        <w:pStyle w:val="ListParagraph"/>
        <w:jc w:val="left"/>
      </w:pPr>
      <w:r>
        <w:t>Il-kamp ta' applikazzjoni personali tal-proposta għandu jkopri l-vittmi kollha ta' vjolenza ċibernetika abbażi tal-ġeneru b'rikonoxximent speċifiku ta' forom intersezzjonali ta' diskriminazzjoni u vittmi li jipparteċipaw fil-ħajja pubblika.</w:t>
      </w:r>
    </w:p>
    <w:p w14:paraId="5120F0BB" w14:textId="77777777" w:rsidR="002B4F41" w:rsidRPr="002B4F41" w:rsidRDefault="002B4F41" w:rsidP="002B4F41">
      <w:pPr>
        <w:pStyle w:val="Tre"/>
        <w:jc w:val="left"/>
        <w:rPr>
          <w:b/>
          <w:bCs/>
        </w:rPr>
      </w:pPr>
    </w:p>
    <w:p w14:paraId="77C00B6C" w14:textId="77777777" w:rsidR="002B4F41" w:rsidRPr="002B4F41" w:rsidRDefault="002B4F41" w:rsidP="002B4F41">
      <w:pPr>
        <w:pStyle w:val="Tre"/>
        <w:jc w:val="left"/>
        <w:rPr>
          <w:b/>
          <w:bCs/>
          <w:i/>
        </w:rPr>
      </w:pPr>
      <w:r>
        <w:rPr>
          <w:b/>
          <w:i/>
        </w:rPr>
        <w:t>Rakkomandazzjoni 3 dwar miżuri ta' prevenzjoni</w:t>
      </w:r>
    </w:p>
    <w:p w14:paraId="1D83381B" w14:textId="77777777" w:rsidR="002B4F41" w:rsidRPr="002B4F41" w:rsidRDefault="002B4F41" w:rsidP="002B4F41">
      <w:pPr>
        <w:pStyle w:val="Tre"/>
        <w:jc w:val="left"/>
        <w:rPr>
          <w:b/>
          <w:bCs/>
        </w:rPr>
      </w:pPr>
    </w:p>
    <w:p w14:paraId="4E0C1FAD" w14:textId="77777777" w:rsidR="002B4F41" w:rsidRPr="002B4F41" w:rsidRDefault="002B4F41" w:rsidP="002B4F41">
      <w:pPr>
        <w:pStyle w:val="Tre"/>
        <w:jc w:val="left"/>
      </w:pPr>
      <w:r>
        <w:t xml:space="preserve">L-Istati Membri għandhom jiżviluppaw serje ta' miżuri sabiex tiġi evitata l-vjolenza ċibernetika abbażi tal-ġeneru: </w:t>
      </w:r>
    </w:p>
    <w:p w14:paraId="42280EB5" w14:textId="77777777" w:rsidR="002B4F41" w:rsidRPr="002B4F41" w:rsidRDefault="002B4F41" w:rsidP="002B4F41">
      <w:pPr>
        <w:pStyle w:val="Tre"/>
        <w:jc w:val="left"/>
      </w:pPr>
    </w:p>
    <w:p w14:paraId="15C90DF3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programmi edukattivi u ta' sensibilizzazzjoni li jinvolvu lill-atturi u lill-partijiet ikkonċernati rilevanti kollha biex jindirizzaw il-kawżi ewlenin tal-vjolenza ċibernetika abbażi tal-ġeneru, fil-kuntest ġenerali tal-vjolenza abbażi tal-ġeneru sabiex isiru bidliet fl-attitudnijiet soċjali u kulturali u jitneħħew l-istereotipi marbuta mal-ġeneru, filwaqt li tiġi promossa mġiba responsabbli fuq il-midja soċjali u jiżdied il-litteriżmu dwar l-użu sikur tal-internet;</w:t>
      </w:r>
    </w:p>
    <w:p w14:paraId="5D28CEBC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riċerka dwar vjolenza ċibernetika abbażi tal-ġeneru (kawżi, prevalenza, impatt);</w:t>
      </w:r>
    </w:p>
    <w:p w14:paraId="018FE9A1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l-edukazzjoni, il-litteriżmu u l-ħiliet diġitali, inkluż fil-kurrikuli tal-iskejjel, sabiex</w:t>
      </w:r>
      <w:r>
        <w:rPr>
          <w:rFonts w:ascii="Arial" w:hAnsi="Arial"/>
          <w:color w:val="666666"/>
          <w:sz w:val="18"/>
          <w:shd w:val="clear" w:color="auto" w:fill="FFFFFF"/>
        </w:rPr>
        <w:t xml:space="preserve"> </w:t>
      </w:r>
      <w:r>
        <w:t xml:space="preserve"> jiġi promoss fehim imtejjeb tat-teknoloġiji diġitali u t-tisħiħ tal-pożizzjoni tal-utenti, tittejjeb l-inklużjoni diġitali, jiġi żgurat ir-rispett għad-drittijiet fundamentali, tiġi eliminata kwalunkwe inugwaljanza bejn il-ġeneri fl-aċċess għat-teknoloġiji u tiġi żgurata d-diversità bejn il-ġeneri fis-settur tat-teknoloġija, b'mod partikolari fl-iżvilupp ta' teknoloġiji ġodda;</w:t>
      </w:r>
    </w:p>
    <w:p w14:paraId="0902651D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l-iżvilupp ta' kooperazzjoni bejn l-Istati Membri għall-finijiet tal-iskambju ta' informazzjoni, ta' għarfien espert u tal-aħjar prattiki, b'mod partikolari permezz tan-Network Ewropew għall-Prevenzjoni tal-Kriminalità (EUPCN);</w:t>
      </w:r>
    </w:p>
    <w:p w14:paraId="3BEDAFAD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l-appoġġ lill-organizzazzjonijiet tas-soċjetà ċivili li jaħdmu fil-qasam tal-prevenzjoni tal-vjolenza abbażi tal-ġeneru,</w:t>
      </w:r>
    </w:p>
    <w:p w14:paraId="28795049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il-promozzjoni ta' taħriġ iffukat għall-prattikanti u għal professjonisti oħra, inkluż fis-servizzi soċjali u fl-aġenziji tal-infurzar tal-liġi;</w:t>
      </w:r>
    </w:p>
    <w:p w14:paraId="5109C6CD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kooperazzjoni multidixxiplinari u bejn il-partijiet ikkonċernati, inkluż ma' kumpaniji tat-teknoloġija, fornituri ta' servizzi ta' hosting u awtoritajiet kompetenti, dwar l-aħjar prattiki biex tiġi indirizzata l-vjolenza abbażi tal-ġeneru f'konformità mad-drittijiet fundamentali.</w:t>
      </w:r>
    </w:p>
    <w:p w14:paraId="7F1C8ED8" w14:textId="77777777" w:rsidR="002B4F41" w:rsidRPr="002B4F41" w:rsidRDefault="002B4F41" w:rsidP="002B4F41">
      <w:pPr>
        <w:pStyle w:val="Tre"/>
        <w:jc w:val="left"/>
      </w:pPr>
    </w:p>
    <w:p w14:paraId="05A0F5A6" w14:textId="77777777" w:rsidR="002B4F41" w:rsidRPr="002B4F41" w:rsidRDefault="002B4F41" w:rsidP="002B4F41">
      <w:pPr>
        <w:pStyle w:val="Tre"/>
        <w:jc w:val="left"/>
        <w:rPr>
          <w:b/>
          <w:bCs/>
          <w:i/>
        </w:rPr>
      </w:pPr>
      <w:r>
        <w:rPr>
          <w:b/>
          <w:i/>
        </w:rPr>
        <w:t>Rakkomandazzjoni 4 dwar il-protezzjoni tal-vittmi, l-appoġġ għalihom u l-kumpens tagħhom</w:t>
      </w:r>
    </w:p>
    <w:p w14:paraId="0AFC9A7B" w14:textId="77777777" w:rsidR="002B4F41" w:rsidRPr="002B4F41" w:rsidRDefault="002B4F41" w:rsidP="002B4F41">
      <w:pPr>
        <w:pStyle w:val="Tre"/>
        <w:jc w:val="left"/>
        <w:rPr>
          <w:b/>
          <w:bCs/>
        </w:rPr>
      </w:pPr>
    </w:p>
    <w:p w14:paraId="17BF0481" w14:textId="77777777" w:rsidR="002B4F41" w:rsidRPr="002B4F41" w:rsidRDefault="002B4F41" w:rsidP="002B4F41">
      <w:pPr>
        <w:pStyle w:val="Tre"/>
        <w:jc w:val="left"/>
      </w:pPr>
      <w:r>
        <w:t>Il-Kummissjoni u l-Istati Membri għandhom jieħdu l-azzjonijiet li ġejjin, li kollha għandhom ikunu ċċentrati fuq il-vittmi u jkollhom approċċ intersezzjonali:</w:t>
      </w:r>
    </w:p>
    <w:p w14:paraId="161C7599" w14:textId="77777777" w:rsidR="002B4F41" w:rsidRPr="002B4F41" w:rsidRDefault="002B4F41" w:rsidP="002B4F41">
      <w:pPr>
        <w:pStyle w:val="Tre"/>
        <w:jc w:val="left"/>
      </w:pPr>
    </w:p>
    <w:p w14:paraId="5CD832EA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jippromwovu taħriġ speċifiku għall-prattikanti u għall-professjonisti li jittrattaw vittmi ta' vjolenza ċibernetika abbażi tal-ġeneru, inklużi l-awtoritajiet tal-infurzar tal-liġi, il-persunal soċjali, tat-tfal u tal-kura tas-saħħa, u l-membri tal-ġudikatura; Programmi ta' taħriġ madwar l-Unjoni jistgħu jiġu implimentati fil-qafas tal-programmi tal-Ġustizzja u taċ-Ċittadini, l-Ugwaljanza, id-Drittijiet u l-Valuri; b'mod partikolari, għandha ssir enfasi fuq il-vittimizzazzjoni sekondarja u kif din għandha tiġi evitata, fuq id-dimensjoni doppja tal-vjolenza abbażi tal-ġeneru (online/offline) u fuq id-diskriminazzjoni intersezzjonali;</w:t>
      </w:r>
    </w:p>
    <w:p w14:paraId="6D262E05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l-iffaċilitar tal-aċċess għall-informazzjoni u l-iżvilupp ta' servizzi speċifiċi għall-vittmi ta' vjolenza ċibernetika (linji għall-għajnuna, postijiet ta' kenn);</w:t>
      </w:r>
    </w:p>
    <w:p w14:paraId="6CC06F0C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l-iffaċilitar ta' rapporti mill-vittmi, li jippermettulhom jiksbu ordnijiet ta' protezzjoni, u l-iżvilupp ta' mekkaniżmi ta' rimedju b'miżuri ta' kumpens adegwati;</w:t>
      </w:r>
    </w:p>
    <w:p w14:paraId="2D711BAB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l-iżvilupp ta' mekkaniżmi ta' kooperazzjoni bejn l-atturi rilevanti, bħall-ġudikatura, il-prosekuturi pubbliċi, l-aġenziji tal-infurzar tal-liġi, l-awtoritajiet lokali u reġjonali u l-OSĊ.</w:t>
      </w:r>
    </w:p>
    <w:p w14:paraId="673F2FC8" w14:textId="77777777" w:rsidR="002B4F41" w:rsidRPr="002B4F41" w:rsidRDefault="002B4F41" w:rsidP="002B4F41">
      <w:pPr>
        <w:pStyle w:val="Tre"/>
        <w:jc w:val="left"/>
      </w:pPr>
    </w:p>
    <w:p w14:paraId="7E19027D" w14:textId="77777777" w:rsidR="002B4F41" w:rsidRPr="002B4F41" w:rsidRDefault="002B4F41" w:rsidP="002B4F41">
      <w:pPr>
        <w:pStyle w:val="Tre"/>
        <w:jc w:val="left"/>
        <w:rPr>
          <w:b/>
          <w:bCs/>
          <w:i/>
        </w:rPr>
      </w:pPr>
      <w:r>
        <w:rPr>
          <w:b/>
          <w:i/>
        </w:rPr>
        <w:t>Rakkomandazzjoni 5 dwar il-prosekuzzjoni u l-kriminalizzazzjoni tal-vjolenza ċibernetika abbażi tal-ġeneru</w:t>
      </w:r>
    </w:p>
    <w:p w14:paraId="208178C3" w14:textId="77777777" w:rsidR="002B4F41" w:rsidRPr="002B4F41" w:rsidRDefault="002B4F41" w:rsidP="002B4F41">
      <w:pPr>
        <w:pStyle w:val="Tre"/>
        <w:jc w:val="left"/>
      </w:pPr>
    </w:p>
    <w:p w14:paraId="2202945A" w14:textId="77777777" w:rsidR="002B4F41" w:rsidRPr="002B4F41" w:rsidRDefault="002B4F41" w:rsidP="002B4F41">
      <w:pPr>
        <w:pStyle w:val="Tre"/>
        <w:jc w:val="left"/>
      </w:pPr>
      <w:r>
        <w:t xml:space="preserve">Abbażi tad-definizzjoni msemmija fir-Rakkomandazzjoni 1, il-kriminalizzazzjoni tal-vjolenza ċibernetika abbażi tal-ġeneru għandha tqis il-kriterji li ġejjin: </w:t>
      </w:r>
    </w:p>
    <w:p w14:paraId="58020D6C" w14:textId="77777777" w:rsidR="002B4F41" w:rsidRPr="002B4F41" w:rsidRDefault="002B4F41" w:rsidP="002B4F41">
      <w:pPr>
        <w:pStyle w:val="Tre"/>
        <w:jc w:val="left"/>
      </w:pPr>
    </w:p>
    <w:p w14:paraId="61C9C212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il-forom ta' vjolenza ċibernetika abbażi tal-ġeneru li għandhom jiġu kriminalizzati mill-Istati Membri (biex jiġu koperti wkoll fażijiet preċedenti taċ-ċiberkriminalità - inċitament, għajnuna, tħajjir u tentattiv);</w:t>
      </w:r>
    </w:p>
    <w:p w14:paraId="14272494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penali minimi u massimi (ħabs u multi);</w:t>
      </w:r>
    </w:p>
    <w:p w14:paraId="3CB2F4CB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l-investigazzjoni u l-prosekuzzjoni transfruntiera;</w:t>
      </w:r>
    </w:p>
    <w:p w14:paraId="3865DDF9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 xml:space="preserve">ċirkostanzi aggravanti, skont il-profil tal-vittmi nisa u bniet (l-isfruttament ta' karatteristiċi speċifiċi, vulnerabbiltajiet tan-nisa u tal-bniet online); </w:t>
      </w:r>
    </w:p>
    <w:p w14:paraId="37016536" w14:textId="77777777" w:rsidR="002B4F41" w:rsidRPr="002B4F41" w:rsidRDefault="002B4F41" w:rsidP="002B4F41">
      <w:pPr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approċċ iċċentrat fuq il-vittmi u intersezzjonali.</w:t>
      </w:r>
    </w:p>
    <w:p w14:paraId="4B949498" w14:textId="77777777" w:rsidR="002B4F41" w:rsidRPr="002B4F41" w:rsidRDefault="002B4F41" w:rsidP="002B4F41">
      <w:pPr>
        <w:pStyle w:val="Tre"/>
        <w:jc w:val="left"/>
      </w:pPr>
    </w:p>
    <w:p w14:paraId="1E156C1A" w14:textId="77777777" w:rsidR="002B4F41" w:rsidRPr="002B4F41" w:rsidRDefault="002B4F41" w:rsidP="002B4F41">
      <w:pPr>
        <w:pStyle w:val="Tre"/>
        <w:jc w:val="left"/>
        <w:rPr>
          <w:b/>
          <w:bCs/>
          <w:i/>
        </w:rPr>
      </w:pPr>
      <w:r>
        <w:rPr>
          <w:b/>
          <w:i/>
        </w:rPr>
        <w:t>Rakkomandazzjoni 6 dwar il-ġbir u r-rapportar tad-data</w:t>
      </w:r>
    </w:p>
    <w:p w14:paraId="36E0F5F7" w14:textId="77777777" w:rsidR="002B4F41" w:rsidRPr="002B4F41" w:rsidRDefault="002B4F41" w:rsidP="002B4F41">
      <w:pPr>
        <w:pStyle w:val="Tre"/>
        <w:jc w:val="left"/>
      </w:pPr>
    </w:p>
    <w:p w14:paraId="6F48DA5F" w14:textId="77777777" w:rsidR="002B4F41" w:rsidRPr="002B4F41" w:rsidRDefault="002B4F41" w:rsidP="002B4F41">
      <w:pPr>
        <w:pStyle w:val="Tre"/>
        <w:jc w:val="left"/>
      </w:pPr>
      <w:r>
        <w:t xml:space="preserve">Il-Kummissjoni u l-Istati Membri għandhom jiġbru u jippubblikaw data diżaggregata u komparabbli dwar il-vjolenza ċibernetika abbażi tal-ġeneru, b'mod partikolari dwar il-forom differenti ta' vjolenza ċibernetika abbażi tal-ġeneru, mhux biss abbażi ta' rapporti dwar l-infurzar tal-liġi iżda wkoll fuq l-esperjenzi tan-nisa. </w:t>
      </w:r>
    </w:p>
    <w:p w14:paraId="58EE5FF4" w14:textId="77777777" w:rsidR="002B4F41" w:rsidRPr="002B4F41" w:rsidRDefault="002B4F41" w:rsidP="002B4F41">
      <w:pPr>
        <w:pStyle w:val="Tre"/>
        <w:jc w:val="left"/>
      </w:pPr>
    </w:p>
    <w:p w14:paraId="4BE3EDC7" w14:textId="77777777" w:rsidR="002B4F41" w:rsidRPr="002B4F41" w:rsidRDefault="002B4F41" w:rsidP="002B4F41">
      <w:pPr>
        <w:pStyle w:val="Tre"/>
        <w:jc w:val="left"/>
      </w:pPr>
      <w:r>
        <w:t>Il-Kummissjoni għandha tippreżenta rapport fuq bażi regolari lill-Parlament Ewropew u lill-Kunsill li jivvaluta sa liema punt l-Istati Membri ħadu miżuri skont id-direttiva proposta.</w:t>
      </w:r>
    </w:p>
    <w:p w14:paraId="0225D8D8" w14:textId="77777777" w:rsidR="002B4F41" w:rsidRPr="002B4F41" w:rsidRDefault="002B4F41" w:rsidP="002B4F41">
      <w:pPr>
        <w:pStyle w:val="NormalHanging12a"/>
      </w:pPr>
    </w:p>
    <w:p w14:paraId="00FC7904" w14:textId="77777777" w:rsidR="002B4F41" w:rsidRPr="002B4F41" w:rsidRDefault="002B4F41" w:rsidP="002B4F41">
      <w:pPr>
        <w:widowControl/>
        <w:sectPr w:rsidR="002B4F41" w:rsidRPr="002B4F41" w:rsidSect="00243749">
          <w:footnotePr>
            <w:numRestart w:val="eachSect"/>
          </w:footnotePr>
          <w:endnotePr>
            <w:numFmt w:val="decimal"/>
          </w:endnotePr>
          <w:pgSz w:w="11906" w:h="16838"/>
          <w:pgMar w:top="1134" w:right="1418" w:bottom="1418" w:left="1418" w:header="567" w:footer="567" w:gutter="0"/>
          <w:cols w:space="720"/>
          <w:noEndnote/>
          <w:docGrid w:linePitch="326"/>
        </w:sectPr>
      </w:pPr>
    </w:p>
    <w:p w14:paraId="70BB37D0" w14:textId="77777777" w:rsidR="002B4F41" w:rsidRPr="002B4F41" w:rsidRDefault="002B4F41" w:rsidP="002B4F41">
      <w:pPr>
        <w:pStyle w:val="PageHeading"/>
      </w:pPr>
      <w:bookmarkStart w:id="5" w:name="_Toc72411409"/>
      <w:bookmarkStart w:id="6" w:name="_Toc72493209"/>
      <w:bookmarkStart w:id="7" w:name="_Toc73609245"/>
      <w:r>
        <w:t>NOTA SPJEGATTIVA</w:t>
      </w:r>
      <w:bookmarkEnd w:id="5"/>
      <w:bookmarkEnd w:id="6"/>
      <w:bookmarkEnd w:id="7"/>
    </w:p>
    <w:p w14:paraId="59592196" w14:textId="77777777" w:rsidR="002B4F41" w:rsidRPr="002B4F41" w:rsidRDefault="002B4F41" w:rsidP="002B4F41">
      <w:pPr>
        <w:pStyle w:val="Tre"/>
        <w:rPr>
          <w:b/>
          <w:bCs/>
        </w:rPr>
      </w:pPr>
      <w:r>
        <w:rPr>
          <w:b/>
        </w:rPr>
        <w:t>Sfond u ġustifikazzjoni tal-proposta</w:t>
      </w:r>
    </w:p>
    <w:p w14:paraId="4B6A6E67" w14:textId="77777777" w:rsidR="002B4F41" w:rsidRPr="002B4F41" w:rsidRDefault="002B4F41" w:rsidP="002B4F41">
      <w:pPr>
        <w:pStyle w:val="Tre"/>
      </w:pPr>
    </w:p>
    <w:p w14:paraId="4D1A495F" w14:textId="77777777" w:rsidR="002B4F41" w:rsidRPr="002B4F41" w:rsidRDefault="002B4F41" w:rsidP="002B4F41">
      <w:r>
        <w:t xml:space="preserve">Il-vjolenza abbażi tal-ġeneru, kemm offline kif ukoll online, għandha għeruq fondi fl-inugwaljanzi strutturali li nsibu fis-soċjetà tagħna. Għadha mistura fis-silenzju u tibqa' wieħed mill-aktar każijiet ta' ksur serju tad-drittijiet tal-bniedem. Il-vjolenza abbażi tal-ġeneru għadha mifruxa u għandha impatt kbir fuq il-vittmi, il-familji tagħhom, u l-komunitajiet. Is-sitwazzjoni hija aggravata aktar minn preġudizzji u stereotipi marbuta mal-ġeneru u l-manifestazzjoni kontinwa ta' relazzjonijiet ta' poter storikament mhux ugwali. Il-Konvenzjoni tal-Kunsill tal-Ewropa dwar il-prevenzjoni u l-ġlieda kontra l-vjolenza fuq in-nisa u l-vjolenza domestika (il-Konvenzjoni ta' Istanbul) tirrikonoxxi din in-natura strutturali tal-vjolenza abbażi tal-ġeneru. Għalhekk, mhuwiex fattur wieħed, iżda bosta – jiġifieri kulturali, legali, ekonomiċi u politiċi – li jikkontribwixxu biex jaggravaw il-vjolenza abbażi tal-ġeneru fis-soċjetà tagħna. </w:t>
      </w:r>
    </w:p>
    <w:p w14:paraId="047DA732" w14:textId="77777777" w:rsidR="002B4F41" w:rsidRPr="002B4F41" w:rsidRDefault="002B4F41" w:rsidP="002B4F41"/>
    <w:p w14:paraId="6383C8EF" w14:textId="77777777" w:rsidR="002B4F41" w:rsidRPr="002B4F41" w:rsidRDefault="002B4F41" w:rsidP="002B4F41">
      <w:r>
        <w:t>Fl-era diġitali tal-lum, l-Internet u l-ICT qed joħolqu spazji diġitali soċjali ġodda b'mod mgħaġġel u qed jittrasformaw kif l-individwi jiltaqgħu, jikkomunikaw u jinteraġixxu. Il-forom online u ffaċilitati mill-ICT ta' vjolenza abbażi tal-ġeneru saru dejjem aktar komuni, b'mod partikolari bl-użu, kuljum u kullimkien, ta' pjattaformi tal-midja soċjali u applikazzjonijiet tekniċi oħra. Il-vjolenza ċibernetika kontra n-nisa hija forma ta' vjolenza abbażi tal-ġeneru. Il-vjolenza ċibernetika tinkludi l-fastidju online, is-cyberstalking, l-abbuż bl-immaġnijiet mhux kunsenswali, id-diskors ta' mibegħda sessista u forom oħra.</w:t>
      </w:r>
    </w:p>
    <w:p w14:paraId="51C05343" w14:textId="77777777" w:rsidR="002B4F41" w:rsidRPr="002B4F41" w:rsidRDefault="002B4F41" w:rsidP="002B4F41"/>
    <w:p w14:paraId="5A471465" w14:textId="77777777" w:rsidR="002B4F41" w:rsidRPr="002B4F41" w:rsidRDefault="002B4F41" w:rsidP="002B4F41">
      <w:r>
        <w:t xml:space="preserve">Madankollu, il-vjolenza ċibernetika abbażi tal-ġeneru mhijiex forma ġdida ta' vjolenza, iżda hija kontinwazzjoni ta' vjolenza abbażi tal-ġeneru offline. Din għandha impatt qawwi fuq id-drittijiet u l-libertajiet fundamentali tal-individwi, fuq id-dinjità tagħhom u fuq ħajjithom fil-livelli kollha, inklużi s-saħħa fiżika, emozzjonali u mentali tagħhom, il-benesseri kif ukoll l-iżvilupp soċjali, ekonomiku u professjonali tagħhom. Il-vittmi jesperjenzaw livelli ogħla ta' ansjetà, stress, depressjoni, trawma, attakki ta' paniku, telf ta' stima fihom infushom u sens ta' nuqqas ta' setgħa fil-kapaċità tagħhom li jirrispondu għall-abbuż. Xi gruppi ta' nisa, inklużi attivisti u difensuri tad-drittijiet tal-bniedem, nisa fil-politika, ġurnalisti, bloggers, nisa li jagħmlu parti minn minoranzi etniċi, nisa leżbjani, bisesswali u transġeneru, u nisa b'diżabilità huma partikolarment fil-mira ta' vjolenza ffaċilitata mill-ICT. Approċċ intersezzjonali huwa kruċjali biex wieħed jifhem il-forom speċifiċi ta' diskriminazzjoni li jaffettwaw lill-vittmi ta' vjolenza ċibernetika abbażi tal-ġeneru. Ir-realtà turi wkoll li l-ilħna u l-parteċipazzjoni tan-nisa bħala ċittadini diġitali attivi spiss jiġu ċċensurati minn vjolenza ċibernetika abbażi tal-ġeneru, u dan l-effett dissważiv spiss isir realtà. </w:t>
      </w:r>
    </w:p>
    <w:p w14:paraId="73E64579" w14:textId="77777777" w:rsidR="002B4F41" w:rsidRPr="002B4F41" w:rsidRDefault="002B4F41" w:rsidP="002B4F41">
      <w:pPr>
        <w:pStyle w:val="Tre"/>
      </w:pPr>
    </w:p>
    <w:p w14:paraId="64042A8A" w14:textId="77777777" w:rsidR="002B4F41" w:rsidRPr="002B4F41" w:rsidRDefault="002B4F41" w:rsidP="002B4F41">
      <w:pPr>
        <w:pStyle w:val="Tre"/>
        <w:jc w:val="left"/>
      </w:pPr>
      <w:r>
        <w:t xml:space="preserve">Il-Parlament irrikonoxxa l-importanza li jintemmu l-vjolenza u l-vjolenza abbażi tal-ġeneru kontra n-nisa permezz ta' diversi riżoluzzjonijiet u talab azzjonijiet legali u ta' politika biex jiġi miġġieled il-fenomenu. L-inizjattivi tal-Parlament li ġejjin jirriflettu dan it-tħassib: </w:t>
      </w:r>
    </w:p>
    <w:p w14:paraId="0EE0EC71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Fir-riżoluzzjoni tiegħu tat-12 ta' Settembru 2017 dwar il-proposta għal deċiżjoni tal-Kunsill dwar il-konklużjoni, mill-Unjoni Ewropea, tal-Konvenzjoni tal-Kunsill tal-Ewropa dwar il-prevenzjoni u l-ġlieda kontra l-vjolenza kontra n-nisa u l-vjolenza domestika, il-Parlament saħaq li għandhom jittieħdu miżuri biex jiġi indirizzat il-fenomenu emerġenti tal-vjolenza abbażi tal-ġeneru online, inklużi l-bullying, il-fastidju u l-intimidazzjoni, b'mod partikolari mmirati lejn in-nisa żgħażagħ u l-bniet u l-persuni LGBTI,</w:t>
      </w:r>
    </w:p>
    <w:p w14:paraId="65DB6BA3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Fir-riżoluzzjoni tiegħu tat-3 ta' Ottubru 2017 dwar il-ġlieda kontra ċ-ċiberkriminalità, il-Parlament enfasizza l-ħtieġa ta' definizzjonijiet legali armonizzati komuni taċ-ċiberkriminalità, inkluż l-abbuż sesswali u l-isfruttament tat-tfal online, il-fastidju ċibernetiku u l-attakki ċibernetiċi,</w:t>
      </w:r>
    </w:p>
    <w:p w14:paraId="2DBD3C16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Fir-riżoluzzjoni tiegħu tas-26 ta' Ottubru 2017 dwar il-ġlieda kontra l-fastidju u l-abbuż sesswali fl-UE, il-PE fakkar li hemm bżonn ta' azzjoni ewlenija kontra forom emerġenti ta' vjolenza, eż. fiċ-ċiberspazju, u enfasizza li l-fastidju online tan-nisa speċjalment fuq il-midja soċjali jwassal għal forom oħra ta' vjolenza kontra n-nisa u l-bniet,</w:t>
      </w:r>
    </w:p>
    <w:p w14:paraId="4FB6D2BC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Fir-riżoluzzjoni tiegħu tas-17 ta' April 2018 dwar l-għoti tas-setgħa lin-nisa u l-bniet permezz tas-settur diġitali, il-Parlament fakkar li l-modi diġitali ta' komunikazzjoni jikkontribwixxu għaż-żieda fid-diskors ta' mibegħda u fit-theddid kontra n-nisa u li l-forom varji ta' vjolenza ċibernetika kontra n-nisa għadhom mhumiex legalment rikonoxxuti. Għalhekk, il-Parlament appella għal aktar koordinazzjoni fost l-UE u l-Istati Membri sabiex jiġu miġġielda r-reati transfruntiera ffaċilitati mit-teknoloġija, eż. it-traffikar tal-bnedmin, il-fastidju online u s-cyberstalking, u appella lill-Istati Membri biex jinkludu forom ġodda ta' vjolenza ċibernetika fil-kodiċijiet kriminali tagħhom,</w:t>
      </w:r>
    </w:p>
    <w:p w14:paraId="33BF5FB9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Fis-26 ta' April 2018, il-kumitat FEMM adotta abbozz ta' rapport li jipproponi miżuri għall-ġlieda kontra l-fastidju morali u l-fastidju sesswali, inkluż online,</w:t>
      </w:r>
    </w:p>
    <w:p w14:paraId="4FC8057C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Fir-riżoluzzjoni tiegħu tat-28 ta' Novembru 2019 dwar l-adeżjoni tal-UE għall-Konvenzjoni ta' Istanbul u l-miżuri l-oħra biex tiġi miġġielda l-vjolenza abbażi tal-ġeneru,</w:t>
      </w:r>
    </w:p>
    <w:p w14:paraId="4787589D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Fir-riżoluzzjoni tiegħu tal-21 ta' Jannar 2021 dwar l-Istrateġija tal-UE għall-Ugwaljanza bejn il-Ġeneri, il-Parlament laqa' l-miżuri proposti mill-Kummissjoni biex tiġi indirizzata l-vjolenza ċibernetika li taffettwa b'mod sproporzjonat lin-nisa u l-bniet (inkluż il-fastidju online, il-bullying ċibernetiku u d-diskors ta' mibegħda sessista), b'mod partikolari attivisti, politiċi nisa u figuri pubbliċi oħra li jieħdu sehem fid-diskors pubbliku. Huwa ħeġġeġ ukoll lill-Istati Membri u lill-UE jadottaw aktar miżuri, inklużi miżuri leġiżlattivi vinkolanti, biex jiġġieldu dawn il-forom ta' vjolenza fil-qafas ta' Direttiva dwar il-prevenzjoni u l-ġlieda kontra kull forma ta' vjolenza kontra n-nisa, u li l-Istati Membri jingħataw appoġġ fl-iżvilupp ta' għodod ta' taħriġ għas-servizzi involuti fl-istadji kollha, mill-prevenzjoni u l-protezzjoni għall-prosekuzzjoni, bħall-forza tal-pulizija u s-sistema ġudizzjarja, flimkien mas-settur tal-informazzjoni u l-komunikazzjoni, filwaqt li jiġu ssalvagwardjati wkoll d-drittijiet fundamentali online,</w:t>
      </w:r>
    </w:p>
    <w:p w14:paraId="2E5F4E76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Fir-riżoluzzjoni tiegħu tal-21 ta' Jannar 2021 dwar tnaqqis tad-disparità bejn il-ġeneri fil-qasam diġitali: il-parteċipazzjoni tan-nisa fl-ekonomija diġitali,</w:t>
      </w:r>
    </w:p>
    <w:p w14:paraId="1951CD07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Fir-riżoluzzjoni tiegħu tal-11 ta' Frar 2021 dwar l-isfidi għad-drittijiet tan-nisa fl-Ewropa fil-futur: aktar minn 25 sena wara d-Dikjarazzjoni u l-Pjattaforma ta' Azzjoni ta' Beijing, il-Parlament talab lill-Istati Membri u lill-Kummissjoni jadottaw miżuri speċifiċi biex jeqirdu l-vjolenza ċibernetika, inkluż il-fastidju online, il-bullying ċibernetiku u d-diskors ta' mibegħda misoġinistika.</w:t>
      </w:r>
    </w:p>
    <w:p w14:paraId="723335F2" w14:textId="77777777" w:rsidR="002B4F41" w:rsidRPr="002B4F41" w:rsidRDefault="002B4F41" w:rsidP="002B4F41">
      <w:pPr>
        <w:pStyle w:val="Tre"/>
        <w:jc w:val="left"/>
        <w:rPr>
          <w:b/>
          <w:bCs/>
        </w:rPr>
      </w:pPr>
    </w:p>
    <w:p w14:paraId="31A96BCB" w14:textId="77777777" w:rsidR="002B4F41" w:rsidRPr="002B4F41" w:rsidRDefault="002B4F41" w:rsidP="002B4F41">
      <w:pPr>
        <w:pStyle w:val="Tre"/>
        <w:jc w:val="left"/>
        <w:rPr>
          <w:b/>
          <w:bCs/>
        </w:rPr>
      </w:pPr>
      <w:r>
        <w:rPr>
          <w:b/>
        </w:rPr>
        <w:t>Bażi ġuridika</w:t>
      </w:r>
    </w:p>
    <w:p w14:paraId="4B990D5B" w14:textId="77777777" w:rsidR="002B4F41" w:rsidRPr="002B4F41" w:rsidRDefault="002B4F41" w:rsidP="002B4F41">
      <w:pPr>
        <w:pStyle w:val="Tre"/>
        <w:jc w:val="left"/>
        <w:rPr>
          <w:b/>
          <w:bCs/>
        </w:rPr>
      </w:pPr>
    </w:p>
    <w:p w14:paraId="49A24841" w14:textId="77777777" w:rsidR="002B4F41" w:rsidRPr="002B4F41" w:rsidRDefault="002B4F41" w:rsidP="002B4F41">
      <w:pPr>
        <w:pStyle w:val="Tre"/>
        <w:jc w:val="left"/>
      </w:pPr>
      <w:r>
        <w:t>Il-bażi ġuridika ta' din l-inizjattiva leġiżlattiva huwa l-Artikolu 83(1) tat-Trattat dwar il-Funzjonament tal-Unjoni Ewropea (TFUE). It-terminu "kriminalità tal-informatika" fl-Artikolu 83(1) tat-TFUE jista' jkopri reati mwettqa kontra networks ta' komunikazzjoni elettronika jew sistemi ta' informazzjoni, jew permezz tagħhom. Mit-Trattat ta' Lisbona, kien hemm evoluzzjoni fit-terminoloġija rilevanti u t-termini "ċiberkriminalità" u "kriminalità tal-informatika" issa qed jintużaw wieħed flok l-ieħor. Forom serji ta' vjolenza abbażi tal-ġeneru online b'dimensjoni transfruntiera jistgħu jaqgħu taħt il-kamp ta' applikazzjoni ta' "kriminalità tal-informatika" skont it-tifsira tal-Artikolu 83(1) tat-TFUE.</w:t>
      </w:r>
    </w:p>
    <w:p w14:paraId="71BACA8A" w14:textId="77777777" w:rsidR="002B4F41" w:rsidRPr="002B4F41" w:rsidRDefault="002B4F41" w:rsidP="002B4F41">
      <w:pPr>
        <w:pStyle w:val="Tre"/>
        <w:jc w:val="left"/>
      </w:pPr>
      <w:r>
        <w:t xml:space="preserve">Għall-partijiet tal-proposta li għandhom l-għan li jippromwovu u jappoġġjaw l-azzjoni tal-Istati Membri fil-qasam tal-prevenzjoni tal-kriminalità u l-miżuri għall-protezzjoni, l-appoġġ u l-iżgurar tar-reparazzjoni għall-vittmi, l-Artikolu 84 tat-TFUE jista' jkun rilevanti wkoll.  Madankollu, jekk il-miżuri preventivi previsti jitqiesu bħala anċillari għall-kriminalizzazzjoni tal-vjolenza ċibernetika, iż-żieda ta' bażi ġuridika speċifika ma tkunx meħtieġa. </w:t>
      </w:r>
    </w:p>
    <w:p w14:paraId="25F903AD" w14:textId="77777777" w:rsidR="002B4F41" w:rsidRPr="002B4F41" w:rsidRDefault="002B4F41" w:rsidP="002B4F41">
      <w:pPr>
        <w:pStyle w:val="Tre"/>
        <w:jc w:val="left"/>
        <w:rPr>
          <w:b/>
          <w:bCs/>
        </w:rPr>
      </w:pPr>
    </w:p>
    <w:p w14:paraId="5D0EBAEB" w14:textId="77777777" w:rsidR="002B4F41" w:rsidRPr="002B4F41" w:rsidRDefault="002B4F41" w:rsidP="002B4F41">
      <w:pPr>
        <w:pStyle w:val="Tre"/>
        <w:jc w:val="left"/>
        <w:rPr>
          <w:b/>
          <w:bCs/>
        </w:rPr>
      </w:pPr>
      <w:r>
        <w:rPr>
          <w:b/>
        </w:rPr>
        <w:t>Spjegazzjoni tar-rakkomandazzjonijiet proposti</w:t>
      </w:r>
    </w:p>
    <w:p w14:paraId="1925B69F" w14:textId="77777777" w:rsidR="002B4F41" w:rsidRPr="002B4F41" w:rsidRDefault="002B4F41" w:rsidP="002B4F41">
      <w:pPr>
        <w:pStyle w:val="Tre"/>
        <w:jc w:val="left"/>
        <w:rPr>
          <w:b/>
          <w:bCs/>
        </w:rPr>
      </w:pPr>
    </w:p>
    <w:p w14:paraId="56DB9ECB" w14:textId="77777777" w:rsidR="002B4F41" w:rsidRPr="002B4F41" w:rsidRDefault="002B4F41" w:rsidP="002B4F41">
      <w:pPr>
        <w:pStyle w:val="Tre"/>
        <w:jc w:val="left"/>
      </w:pPr>
      <w:r>
        <w:t xml:space="preserve">Ir-rakkomandazzjonijiet stabbiliti fl-anness tar-Riżoluzzjoni jinkludu l-elementi li ġejjin: l-objettiv tad-Direttiva; il-kamp ta' applikazzjoni u d-definizzjonijiet; il-miżuri preventivi; il-protezzjoni u l-appoġġ u r-reparazzjoni tal-vittmi; il-prosekuzzjoni u l-kriminalizzazzjoni tal-vjolenza ċibernetika abbażi tal-ġeneru u l-ġbir u r-rapportar tad-data. </w:t>
      </w:r>
    </w:p>
    <w:p w14:paraId="4267B1F4" w14:textId="77777777" w:rsidR="002B4F41" w:rsidRPr="002B4F41" w:rsidRDefault="002B4F41" w:rsidP="002B4F41">
      <w:pPr>
        <w:pStyle w:val="Tre"/>
        <w:jc w:val="left"/>
      </w:pPr>
      <w:r>
        <w:t xml:space="preserve">L-objettiv tad-Direttiva huwa li tistabbilixxi regoli minimi dwar id-definizzjoni tar-reat ta' vjolenza ċibernetika abbażi tal-ġeneru u sanzjonijiet relatati, li tistabbilixxi miżuri biex tippromwovi u tappoġġja l-azzjoni tal-Istati Membri fil-qasam tal-prevenzjoni ta' dan ir-reat kif ukoll miżuri biex tipproteġi, tappoġġja u tiżgura r-reparazzjoni għall-vittmi. Il-co-rapporteurs ta' din l-inizjattiva jqisu li l-UE ma għandhiex qafas legali biex tiġġieled il-vjolenza abbażi tal-ġeneru, u f'dan il-każ, b'mod aktar speċifiku, il-vjolenza ċibernetika abbażi tal-ġeneru, u biex tipproteġi u tappoġġja lill-vittmi. </w:t>
      </w:r>
    </w:p>
    <w:p w14:paraId="1F22C02C" w14:textId="77777777" w:rsidR="002B4F41" w:rsidRPr="002B4F41" w:rsidRDefault="002B4F41" w:rsidP="002B4F41">
      <w:pPr>
        <w:pStyle w:val="Tre"/>
        <w:jc w:val="left"/>
      </w:pPr>
      <w:r>
        <w:t xml:space="preserve">Kif iddikjarat fir-Riżoluzzjoni hemm diversi definizzjonijiet ta' vjolenza ċibernetika abbażi tal-ġeneru iżda ma hemm l-ebda waħda legali miftiehma fuq livell internazzjonali. Għal din ir-raġuni, ir-rakkomandazzjoni dwar il-kamp ta' applikazzjoni u d-definizzjonijiet tħalli lill-Kummissjoni tipproponi definizzjoni speċifika li tista' tkopri kwalunkwe forma ta' vjolenza abbażi tal-ġeneru mwettqa, megħjuna jew aggravata parzjalment jew kompletament bl-użu tal-ICT kontra mara minħabba li hija mara, jew taffettwa lin-nisa b'mod sproporzjonat. Din il-proposta hija bbażata fuq id-definizzjoni użata mir-Rapporteur Speċjali tan-Nazzjonijiet Uniti dwar il-vjolenza kontra n-nisa, fir-rapport tagħha tal-2018 dwar il-vjolenza online. </w:t>
      </w:r>
    </w:p>
    <w:p w14:paraId="13332C5B" w14:textId="77777777" w:rsidR="002B4F41" w:rsidRPr="002B4F41" w:rsidRDefault="002B4F41" w:rsidP="002B4F41">
      <w:pPr>
        <w:pStyle w:val="Tre"/>
        <w:jc w:val="left"/>
      </w:pPr>
      <w:r>
        <w:t>Il-miżuri preventivi proposti huma marbuta mal-kawżi ewlenin tal-vjolenza abbażi tal-ġeneru, inkluża l-vjolenza ċibernetika. Għal din ir-raġuni huma jiffokaw b'mod partikolari fuq l-edukazzjoni, is-sensibilizzazzjoni, it-tneħħija tal-istereotipi marbuta mal-ġeneru u l-promozzjoni tar-riċerka. Il-miżuri jirrikjedu wkoll kooperazzjoni multidixxiplinari u bejn il-partijiet ikkonċernati, inkluż mal-fornituri ta' servizzi ta' hosting, kollaborazzjoni ma' kumpaniji tat-teknoloġija dwar l-aħjar prattiki biex tiġi indirizzata l-vjolenza ċibernetika abbażi tal-ġeneru f'konformità mad-drittijiet fundamentali.</w:t>
      </w:r>
    </w:p>
    <w:p w14:paraId="2D3966C4" w14:textId="77777777" w:rsidR="002B4F41" w:rsidRPr="002B4F41" w:rsidRDefault="002B4F41" w:rsidP="002B4F41">
      <w:pPr>
        <w:pStyle w:val="Tre"/>
        <w:jc w:val="left"/>
      </w:pPr>
      <w:r>
        <w:t xml:space="preserve">Sabiex jiġu protetti u appoġġjati l-vittmi ta' vjolenza ċibernetika abbażi tal-ġeneru, il-proposta l-ewwel tiddikjara liema kategoriji ta' vittmi għandhom jiġu kkunsidrati. L-intenzjoni hija li tkun komprensiva kemm jista' jkun filwaqt li jitqiesu l-intersezzjonalità u l-ħtiġijiet speċifiċi tal-vittmi. Imbagħad il-proposta tinkludi diversi azzjonijiet biex jiġu implimentati l-protezzjoni u l-appoġġ tal-vittmi. Issir enfasi partikolari fuq il-ħtieġa li jittejjeb u jiġi ffaċilitat ir-rapportar u li tiġi evitata vittimizzazzjoni sekondarja. It-taħriġ tal-operaturi fil-qasam tal-ġustizzja u ta' dawk il-professjonisti li se jkunu f'kuntatt mal-vittmi huwa kruċjali biex jintlaħaq dan l-għan. </w:t>
      </w:r>
    </w:p>
    <w:p w14:paraId="0E284087" w14:textId="77777777" w:rsidR="002B4F41" w:rsidRPr="002B4F41" w:rsidRDefault="002B4F41" w:rsidP="002B4F41">
      <w:pPr>
        <w:pStyle w:val="Tre"/>
        <w:jc w:val="left"/>
      </w:pPr>
      <w:r>
        <w:t>Flimkien ma' dawn l-azzjonijiet hemm servizzi ta' appoġġ speċifiċi li jridu jiġu implimentati jew li jridu żviluppati biex ikopru wkoll il-vittmi ta' vjolenza ċibernetika abbażi tal-ġeneru (linji għall-għajnuna, postijiet ta' kenn).</w:t>
      </w:r>
    </w:p>
    <w:p w14:paraId="39402DEC" w14:textId="77777777" w:rsidR="002B4F41" w:rsidRPr="002B4F41" w:rsidRDefault="002B4F41" w:rsidP="002B4F41">
      <w:pPr>
        <w:pStyle w:val="Tre"/>
        <w:jc w:val="left"/>
      </w:pPr>
      <w:r>
        <w:t xml:space="preserve">Element ieħor tal-inizjattiva leġiżlattiva huwa relatat mal-liġi kriminali u l-prosekuzzjoni ta' vjolenza ċibernetika abbażi tal-ġeneru. L-UE jeħtiġilha tkun tista' tistabbilixxi regoli minimi biex tiżgura l-prosekuzzjoni ta' vjolenza ċibernetika abbażi tal-ġeneru. Ir-rakkomandazzjoni inkluża fl-anness ma tispeċifikax ir-reati u l-aggravazzjonijiet kollha possibbli, peress li l-iżvilupp mgħaġġel tat-teknoloġiji diġitali jista' jiġġenera forom ġodda ta' vjolenza ċibernetika. Dan jagħti lill-Kummissjoni sett ta' kriterji biex tiddefinixxi dawn ir-reati. </w:t>
      </w:r>
    </w:p>
    <w:p w14:paraId="6E2E7705" w14:textId="77777777" w:rsidR="002B4F41" w:rsidRPr="002B4F41" w:rsidRDefault="002B4F41" w:rsidP="002B4F41">
      <w:pPr>
        <w:pStyle w:val="Tre"/>
        <w:jc w:val="left"/>
      </w:pPr>
      <w:r>
        <w:t>Madankollu l-co-rapporteurs iqisu li l-imġiba li ġejja għandha titqies li tistabbilixxi l-lista ta' reati fil-kuntest ta' vjolenza ċibernetika abbażi tal-ġeneru:</w:t>
      </w:r>
    </w:p>
    <w:p w14:paraId="0798F52E" w14:textId="77777777" w:rsidR="002B4F41" w:rsidRPr="002B4F41" w:rsidRDefault="002B4F41" w:rsidP="002B4F41">
      <w:pPr>
        <w:pStyle w:val="Tre"/>
        <w:jc w:val="left"/>
      </w:pPr>
    </w:p>
    <w:p w14:paraId="12028AA7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Fastidju ċibernetiku</w:t>
      </w:r>
      <w:r>
        <w:t xml:space="preserve"> (inkluż: fastidju online, riċeviment mhux mitlub ta' materjali sesswalment espliċiti, fastidju morali),</w:t>
      </w:r>
    </w:p>
    <w:p w14:paraId="068DF134" w14:textId="77777777" w:rsidR="002B4F41" w:rsidRPr="002B4F41" w:rsidRDefault="002B4F41" w:rsidP="002B4F41">
      <w:pPr>
        <w:spacing w:after="160"/>
        <w:ind w:left="720" w:hanging="360"/>
        <w:rPr>
          <w:b/>
          <w:bCs/>
        </w:rPr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Cyberstalking,</w:t>
      </w:r>
    </w:p>
    <w:p w14:paraId="0E6B04C7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Ksur tal-privatezza relatat mal-ICT</w:t>
      </w:r>
      <w:r>
        <w:t xml:space="preserve"> (inkluż l-aċċess, il-kondiviżjoni u l-manipulazzjoni ta' data jew immaġnijiet privati, inkluża data intima mingħajr kunsens, abbuż sesswali bbażat fuq l-immaġnijiet u divulgazzjoni mhux kunsenswali ta' immaġnijiet sesswali, doxxing, serq ta' identità),</w:t>
      </w:r>
    </w:p>
    <w:p w14:paraId="3AA2F234" w14:textId="77777777" w:rsidR="002B4F41" w:rsidRPr="002B4F41" w:rsidRDefault="002B4F41" w:rsidP="002B4F41">
      <w:pPr>
        <w:spacing w:after="160"/>
        <w:ind w:left="720" w:hanging="360"/>
        <w:rPr>
          <w:b/>
          <w:bCs/>
        </w:rPr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Il-kontroll jew is-sorveljanza mill-bogħod</w:t>
      </w:r>
      <w:r>
        <w:t xml:space="preserve"> (inkluż permezz ta' apps ta' spjunaġġ fuq apparati mobbli),</w:t>
      </w:r>
    </w:p>
    <w:p w14:paraId="1832794E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 xml:space="preserve">Theddid </w:t>
      </w:r>
      <w:r>
        <w:t>(inkluż theddid dirett u theddid ta' vjolenza, estorsjoni, estorsjoni sesswali, rikatt),</w:t>
      </w:r>
    </w:p>
    <w:p w14:paraId="63645297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Diskors ta' mibegħda sessista</w:t>
      </w:r>
      <w:r>
        <w:t xml:space="preserve"> (inklużi: il-pubblikazzjoni u l-kondiviżjoni ta' kontenut vjolenti, l-użu ta' kummenti u insulti sessisti jew abbażi tal-ġeneru, l-abbuż tan-nisa talli esprimew il-fehmiet tagħhom stess u talli rrifjutaw avvanzi sesswali),</w:t>
      </w:r>
    </w:p>
    <w:p w14:paraId="1AC15FF9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 xml:space="preserve">Promozzjoni ta' </w:t>
      </w:r>
      <w:r>
        <w:rPr>
          <w:b/>
        </w:rPr>
        <w:t xml:space="preserve">suwiċidju </w:t>
      </w:r>
      <w:r>
        <w:t>jew anoressija u komportamenti li jikkawżaw ħsara psikika,</w:t>
      </w:r>
    </w:p>
    <w:p w14:paraId="078B8344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Ħsara fil-kompjuters</w:t>
      </w:r>
      <w:r>
        <w:t xml:space="preserve"> lil fajls, programmi, apparati, attakki fuq siti web u fuq mezzi oħra ta' komunikazzjoni diġitali,</w:t>
      </w:r>
    </w:p>
    <w:p w14:paraId="0E3776D6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Aċċess illegali</w:t>
      </w:r>
      <w:r>
        <w:t xml:space="preserve"> għal messaġġi bil-mobile, bil-posta elettronika, b'messaġġerija istantanja jew għal kontijiet tal-midja soċjali,</w:t>
      </w:r>
    </w:p>
    <w:p w14:paraId="00D6ACE3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t>Ksur tal-projbizzjonijiet ta' komunikazzjoni adottati b'riżoluzzjoni ġudizzjarja,</w:t>
      </w:r>
    </w:p>
    <w:p w14:paraId="46B33C55" w14:textId="77777777" w:rsidR="002B4F41" w:rsidRPr="002B4F41" w:rsidRDefault="002B4F41" w:rsidP="002B4F41">
      <w:pPr>
        <w:spacing w:after="160"/>
        <w:ind w:left="720" w:hanging="360"/>
      </w:pPr>
      <w:r>
        <w:rPr>
          <w:rFonts w:ascii="Courier New" w:hAnsi="Courier New"/>
          <w:color w:val="000000"/>
          <w:u w:color="000000"/>
          <w:bdr w:val="nil"/>
        </w:rPr>
        <w:t>-</w:t>
      </w:r>
      <w:r>
        <w:rPr>
          <w:rFonts w:ascii="Courier New" w:hAnsi="Courier New"/>
          <w:color w:val="000000"/>
          <w:u w:color="000000"/>
          <w:bdr w:val="nil"/>
        </w:rPr>
        <w:tab/>
      </w:r>
      <w:r>
        <w:rPr>
          <w:b/>
        </w:rPr>
        <w:t>Vjolenza diretta</w:t>
      </w:r>
      <w:r>
        <w:t>.</w:t>
      </w:r>
    </w:p>
    <w:p w14:paraId="651E67BD" w14:textId="77777777" w:rsidR="002B4F41" w:rsidRPr="002B4F41" w:rsidRDefault="002B4F41" w:rsidP="002B4F41">
      <w:pPr>
        <w:pStyle w:val="Tre"/>
        <w:jc w:val="left"/>
      </w:pPr>
      <w:r>
        <w:t>Fl-aħħar nett, l-inizjattiva tissottolinja l-ħtieġa li jkun hemm strateġija ċara dwar il-ġbir u r-rapportar ta' data diżaggregata u komparabbli mill-awtoritajiet ikkonċernati. Jekk l-UE trid li jkollha qafas xieraq biex tiġġieled il-vjolenza abbażi tal-ġeneru, inkluż il-vjolenza ċibernetika, jew il-vjolenza kontra n-nisa b'mod ġenerali, din jeħtiġilha tkun tista' tiġbor u tippubblika data dwar il-forom differenti ta' vjolenza ċibernetika abbażi tal-ġeneru. Flimkien mad-data ppreżentata mill-Istati Membri, il-Kummissjoni għandha tippreżenta fuq bażi regolari rapport lill-Parlament Ewropew u lill-Kunsill dwar l-implimentazzjoni tad-Direttiva inklużi miżuri/emendi potenzjali biex tittejjeb.</w:t>
      </w:r>
    </w:p>
    <w:p w14:paraId="5A7EA150" w14:textId="77777777" w:rsidR="002B4F41" w:rsidRPr="002B4F41" w:rsidRDefault="002B4F41" w:rsidP="002B4F41">
      <w:pPr>
        <w:pStyle w:val="Tre"/>
        <w:jc w:val="left"/>
        <w:rPr>
          <w:b/>
          <w:bCs/>
        </w:rPr>
      </w:pPr>
    </w:p>
    <w:p w14:paraId="46FF6A3B" w14:textId="77777777" w:rsidR="002B4F41" w:rsidRPr="002B4F41" w:rsidRDefault="002B4F41" w:rsidP="002B4F41">
      <w:pPr>
        <w:pStyle w:val="Tre"/>
        <w:jc w:val="left"/>
        <w:rPr>
          <w:b/>
          <w:bCs/>
        </w:rPr>
      </w:pPr>
      <w:r>
        <w:rPr>
          <w:b/>
        </w:rPr>
        <w:t>Konklużjoni</w:t>
      </w:r>
    </w:p>
    <w:p w14:paraId="4F9B300D" w14:textId="77777777" w:rsidR="002B4F41" w:rsidRPr="002B4F41" w:rsidRDefault="002B4F41" w:rsidP="002B4F41">
      <w:pPr>
        <w:pStyle w:val="Tre"/>
        <w:jc w:val="left"/>
      </w:pPr>
    </w:p>
    <w:p w14:paraId="331B3563" w14:textId="0E191C7D" w:rsidR="00100069" w:rsidRPr="002B4F41" w:rsidRDefault="002B4F41" w:rsidP="002B4F41">
      <w:r>
        <w:t>Il-vjolenza abbażi tal-ġeneru, inkluża l-vjolenza ċibernetika, għadha tikber bi sfidi soċjetali differenti, kif ġie osservat reċentement matul il-kriżi relatata mat-tifqigħa tal-COVID-19</w:t>
      </w:r>
      <w:r>
        <w:rPr>
          <w:color w:val="000000" w:themeColor="text1"/>
        </w:rPr>
        <w:t xml:space="preserve">, u hemm nuqqas ta' rieda politika biex issir prijorità. </w:t>
      </w:r>
      <w:r>
        <w:t xml:space="preserve">Il-kisba tal-ugwaljanza bejn il-ġeneri tfisser l-qerda ta' kull forma ta' vjolenza abbażi tal-ġeneru u t-tneħħija tal-ostakli li jipprevjenu lin-nisa milli jirrealizzaw bis-sħiħ id-drittijiet tagħhom. Hemm firxa wiesgħa ta' approċċi biex tiġi indirizzata l-vjolenza ċibernetika abbażi tal-ġeneru fl-Istati Membri. Minbarra n-nuqqas ta' definizzjoni armonizzata u approċċ komuni, xi problemi u sfidi oħra jinkludu: sottorappurtar, għarfien pubbliku u tal-infurzar tal-liġi limitat, appoġġ insuffiċjenti għall-vittmi, kif ukoll riċerka u għarfien limitati dwar il-fenomenu. Għalhekk, sabiex tingħata spinta ġdida lill-qerda tal-vjolenza abbażi tal-ġeneru, kemm offline kif ukoll online, jeħtiġilna nkunu lesti li neżaminaw il-kawżi sottostanti tal-vjolenza abbażi tal-ġeneru, is-sistemi li ffaċilitawha u l-fatturi li jaggravaw din il-vjolenza. Il-kawżi ewlenin tat-tipi kollha ta' vjolenza abbażi tal-ġeneru huma l-istess u din hija r-raġuni għaliex għandna bżonn liġijiet u politiki li jindirizzawhom b'mod olistiku. </w:t>
      </w:r>
      <w:r>
        <w:rPr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Il-Konvenzjoni ta' Istanbul hija għalhekk l-aktar trattat internazzjonali komprensiv li jifforma qafas legali għall-protezzjoni tan-nisa u l-bniet minn kull forma ta' vjolenza u għall-prevenzjoni, il-prosekuzzjoni u l-eliminazzjoni tal-vjolenza kontrihom. Filwaqt li r-ratifika tal-Konvenzjoni għadha mblukkata fil-Kunsill, l-UE ma għandhiex tistenna, minħabba li kull jum li nistennew iwassal għal vittmi ġodda ta' vjolenza abbażi tal-ġeneru. </w:t>
      </w:r>
      <w:r>
        <w:rPr>
          <w:rStyle w:val="Brak"/>
        </w:rPr>
        <w:t xml:space="preserve">L-inizjattiva leġiżlattiva proposta għandha l-għan li tindirizza dan il-fenomenu.  Din tuża approċċ olistiku sabiex tikkriminalizza ċerta mġiba iżda wkoll biex tappoġġja u tipproteġi lill-vittmi ta' dik l-imġiba. </w:t>
      </w:r>
    </w:p>
    <w:sectPr w:rsidR="00100069" w:rsidRPr="002B4F41" w:rsidSect="002B4F41"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88C70" w14:textId="77777777" w:rsidR="00840F26" w:rsidRPr="002B4F41" w:rsidRDefault="00840F26">
      <w:r w:rsidRPr="002B4F41">
        <w:separator/>
      </w:r>
    </w:p>
  </w:endnote>
  <w:endnote w:type="continuationSeparator" w:id="0">
    <w:p w14:paraId="6B294F4C" w14:textId="77777777" w:rsidR="00840F26" w:rsidRPr="002B4F41" w:rsidRDefault="00840F26">
      <w:r w:rsidRPr="002B4F4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A2C31" w14:textId="3ACD5980" w:rsidR="002B4F41" w:rsidRPr="002B4F41" w:rsidRDefault="002B4F41" w:rsidP="002B4F41">
    <w:pPr>
      <w:pStyle w:val="EPFooter"/>
    </w:pPr>
    <w:r w:rsidRPr="002B4F41">
      <w:t>PE</w:t>
    </w:r>
    <w:r w:rsidRPr="002B4F41">
      <w:rPr>
        <w:rStyle w:val="HideTWBExt"/>
        <w:noProof w:val="0"/>
      </w:rPr>
      <w:t>&lt;NoPE&gt;</w:t>
    </w:r>
    <w:r w:rsidRPr="002B4F41">
      <w:t>691.453</w:t>
    </w:r>
    <w:r w:rsidRPr="002B4F41">
      <w:rPr>
        <w:rStyle w:val="HideTWBExt"/>
        <w:noProof w:val="0"/>
      </w:rPr>
      <w:t>&lt;/NoPE&gt;&lt;Version&gt;</w:t>
    </w:r>
    <w:r w:rsidRPr="002B4F41">
      <w:t>v01-00</w:t>
    </w:r>
    <w:r w:rsidRPr="002B4F41">
      <w:rPr>
        <w:rStyle w:val="HideTWBExt"/>
        <w:noProof w:val="0"/>
      </w:rPr>
      <w:t>&lt;/Version&gt;</w:t>
    </w:r>
    <w:r w:rsidRPr="002B4F41">
      <w:tab/>
    </w:r>
    <w:r w:rsidRPr="002B4F41">
      <w:fldChar w:fldCharType="begin"/>
    </w:r>
    <w:r w:rsidRPr="002B4F41">
      <w:instrText xml:space="preserve"> PAGE  \* MERGEFORMAT </w:instrText>
    </w:r>
    <w:r w:rsidRPr="002B4F41">
      <w:fldChar w:fldCharType="separate"/>
    </w:r>
    <w:r w:rsidR="000E4544">
      <w:rPr>
        <w:noProof/>
      </w:rPr>
      <w:t>6</w:t>
    </w:r>
    <w:r w:rsidRPr="002B4F41">
      <w:fldChar w:fldCharType="end"/>
    </w:r>
    <w:r w:rsidRPr="002B4F41">
      <w:t>/</w:t>
    </w:r>
    <w:r w:rsidR="000E4544">
      <w:fldChar w:fldCharType="begin"/>
    </w:r>
    <w:r w:rsidR="000E4544">
      <w:instrText xml:space="preserve"> NUMPAGES  \* MERGEFORMAT </w:instrText>
    </w:r>
    <w:r w:rsidR="000E4544">
      <w:fldChar w:fldCharType="separate"/>
    </w:r>
    <w:r w:rsidR="000E4544">
      <w:rPr>
        <w:noProof/>
      </w:rPr>
      <w:t>14</w:t>
    </w:r>
    <w:r w:rsidR="000E4544">
      <w:rPr>
        <w:noProof/>
      </w:rPr>
      <w:fldChar w:fldCharType="end"/>
    </w:r>
    <w:r w:rsidRPr="002B4F41">
      <w:tab/>
    </w:r>
    <w:r w:rsidRPr="002B4F41">
      <w:rPr>
        <w:rStyle w:val="HideTWBExt"/>
        <w:noProof w:val="0"/>
      </w:rPr>
      <w:t>&lt;PathFdR&gt;</w:t>
    </w:r>
    <w:r w:rsidRPr="002B4F41">
      <w:t>PR\1229996MT.docx</w:t>
    </w:r>
    <w:r w:rsidRPr="002B4F41">
      <w:rPr>
        <w:rStyle w:val="HideTWBExt"/>
        <w:noProof w:val="0"/>
      </w:rPr>
      <w:t>&lt;/PathFdR&gt;</w:t>
    </w:r>
  </w:p>
  <w:p w14:paraId="6DF9BDE0" w14:textId="2F7176B2" w:rsidR="002B4F41" w:rsidRPr="002B4F41" w:rsidRDefault="002B4F41" w:rsidP="002B4F41">
    <w:pPr>
      <w:pStyle w:val="EPFooter2"/>
    </w:pPr>
    <w:r w:rsidRPr="002B4F41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378D2" w14:textId="197DAF81" w:rsidR="002B4F41" w:rsidRPr="002B4F41" w:rsidRDefault="002B4F41" w:rsidP="002B4F41">
    <w:pPr>
      <w:pStyle w:val="EPFooter"/>
    </w:pPr>
    <w:r w:rsidRPr="002B4F41">
      <w:rPr>
        <w:rStyle w:val="HideTWBExt"/>
        <w:noProof w:val="0"/>
      </w:rPr>
      <w:t>&lt;PathFdR&gt;</w:t>
    </w:r>
    <w:r w:rsidRPr="002B4F41">
      <w:t>PR\1229996MT.docx</w:t>
    </w:r>
    <w:r w:rsidRPr="002B4F41">
      <w:rPr>
        <w:rStyle w:val="HideTWBExt"/>
        <w:noProof w:val="0"/>
      </w:rPr>
      <w:t>&lt;/PathFdR&gt;</w:t>
    </w:r>
    <w:r w:rsidRPr="002B4F41">
      <w:tab/>
    </w:r>
    <w:r w:rsidRPr="002B4F41">
      <w:fldChar w:fldCharType="begin"/>
    </w:r>
    <w:r w:rsidRPr="002B4F41">
      <w:instrText xml:space="preserve"> PAGE  \* MERGEFORMAT </w:instrText>
    </w:r>
    <w:r w:rsidRPr="002B4F41">
      <w:fldChar w:fldCharType="separate"/>
    </w:r>
    <w:r w:rsidR="000E4544">
      <w:rPr>
        <w:noProof/>
      </w:rPr>
      <w:t>7</w:t>
    </w:r>
    <w:r w:rsidRPr="002B4F41">
      <w:fldChar w:fldCharType="end"/>
    </w:r>
    <w:r w:rsidRPr="002B4F41">
      <w:t>/</w:t>
    </w:r>
    <w:r w:rsidR="000E4544">
      <w:fldChar w:fldCharType="begin"/>
    </w:r>
    <w:r w:rsidR="000E4544">
      <w:instrText xml:space="preserve"> NUMPAGES  \* MERGEFORMAT </w:instrText>
    </w:r>
    <w:r w:rsidR="000E4544">
      <w:fldChar w:fldCharType="separate"/>
    </w:r>
    <w:r w:rsidR="000E4544">
      <w:rPr>
        <w:noProof/>
      </w:rPr>
      <w:t>14</w:t>
    </w:r>
    <w:r w:rsidR="000E4544">
      <w:rPr>
        <w:noProof/>
      </w:rPr>
      <w:fldChar w:fldCharType="end"/>
    </w:r>
    <w:r w:rsidRPr="002B4F41">
      <w:tab/>
      <w:t>PE</w:t>
    </w:r>
    <w:r w:rsidRPr="002B4F41">
      <w:rPr>
        <w:rStyle w:val="HideTWBExt"/>
        <w:noProof w:val="0"/>
      </w:rPr>
      <w:t>&lt;NoPE&gt;</w:t>
    </w:r>
    <w:r w:rsidRPr="002B4F41">
      <w:t>691.453</w:t>
    </w:r>
    <w:r w:rsidRPr="002B4F41">
      <w:rPr>
        <w:rStyle w:val="HideTWBExt"/>
        <w:noProof w:val="0"/>
      </w:rPr>
      <w:t>&lt;/NoPE&gt;&lt;Version&gt;</w:t>
    </w:r>
    <w:r w:rsidRPr="002B4F41">
      <w:t>v01-00</w:t>
    </w:r>
    <w:r w:rsidRPr="002B4F41">
      <w:rPr>
        <w:rStyle w:val="HideTWBExt"/>
        <w:noProof w:val="0"/>
      </w:rPr>
      <w:t>&lt;/Version&gt;</w:t>
    </w:r>
  </w:p>
  <w:p w14:paraId="44FA9183" w14:textId="1B0FF60A" w:rsidR="002B4F41" w:rsidRPr="002B4F41" w:rsidRDefault="002B4F41" w:rsidP="002B4F41">
    <w:pPr>
      <w:pStyle w:val="EPFooter2"/>
    </w:pPr>
    <w:r w:rsidRPr="002B4F41">
      <w:tab/>
    </w:r>
    <w:r w:rsidRPr="002B4F41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F0A3B" w14:textId="77777777" w:rsidR="002B4F41" w:rsidRPr="002B4F41" w:rsidRDefault="002B4F41" w:rsidP="002B4F41">
    <w:pPr>
      <w:pStyle w:val="EPFooter"/>
    </w:pPr>
    <w:r w:rsidRPr="002B4F41">
      <w:rPr>
        <w:rStyle w:val="HideTWBExt"/>
        <w:noProof w:val="0"/>
      </w:rPr>
      <w:t>&lt;PathFdR&gt;</w:t>
    </w:r>
    <w:r w:rsidRPr="002B4F41">
      <w:t>PR\1229996MT.docx</w:t>
    </w:r>
    <w:r w:rsidRPr="002B4F41">
      <w:rPr>
        <w:rStyle w:val="HideTWBExt"/>
        <w:noProof w:val="0"/>
      </w:rPr>
      <w:t>&lt;/PathFdR&gt;</w:t>
    </w:r>
    <w:r w:rsidRPr="002B4F41">
      <w:tab/>
    </w:r>
    <w:r w:rsidRPr="002B4F41">
      <w:tab/>
      <w:t>PE</w:t>
    </w:r>
    <w:r w:rsidRPr="002B4F41">
      <w:rPr>
        <w:rStyle w:val="HideTWBExt"/>
        <w:noProof w:val="0"/>
      </w:rPr>
      <w:t>&lt;NoPE&gt;</w:t>
    </w:r>
    <w:r w:rsidRPr="002B4F41">
      <w:t>691.453</w:t>
    </w:r>
    <w:r w:rsidRPr="002B4F41">
      <w:rPr>
        <w:rStyle w:val="HideTWBExt"/>
        <w:noProof w:val="0"/>
      </w:rPr>
      <w:t>&lt;/NoPE&gt;&lt;Version&gt;</w:t>
    </w:r>
    <w:r w:rsidRPr="002B4F41">
      <w:t>v01-00</w:t>
    </w:r>
    <w:r w:rsidRPr="002B4F41">
      <w:rPr>
        <w:rStyle w:val="HideTWBExt"/>
        <w:noProof w:val="0"/>
      </w:rPr>
      <w:t>&lt;/Version&gt;</w:t>
    </w:r>
  </w:p>
  <w:p w14:paraId="24166A9D" w14:textId="5260285F" w:rsidR="002B4F41" w:rsidRPr="002B4F41" w:rsidRDefault="002B4F41" w:rsidP="002B4F41">
    <w:pPr>
      <w:pStyle w:val="EPFooter2"/>
    </w:pPr>
    <w:r w:rsidRPr="002B4F41">
      <w:t>MT</w:t>
    </w:r>
    <w:r w:rsidRPr="002B4F41">
      <w:tab/>
    </w:r>
    <w:r w:rsidRPr="002B4F41">
      <w:rPr>
        <w:b w:val="0"/>
        <w:i/>
        <w:color w:val="C0C0C0"/>
        <w:sz w:val="22"/>
      </w:rPr>
      <w:t>Magħquda fid-diversità</w:t>
    </w:r>
    <w:r w:rsidRPr="002B4F41">
      <w:tab/>
      <w:t>MT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9373D" w14:textId="5975E91A" w:rsidR="00100069" w:rsidRPr="002B4F41" w:rsidRDefault="00100069" w:rsidP="00584A07">
    <w:pPr>
      <w:pStyle w:val="EPFooter"/>
    </w:pPr>
    <w:r w:rsidRPr="002B4F41">
      <w:rPr>
        <w:rStyle w:val="HideTWBExt"/>
        <w:noProof w:val="0"/>
      </w:rPr>
      <w:t>&lt;PathFdR&gt;</w:t>
    </w:r>
    <w:r w:rsidR="002B4F41" w:rsidRPr="002B4F41">
      <w:rPr>
        <w:color w:val="auto"/>
      </w:rPr>
      <w:t>PR\1229996MT.docx</w:t>
    </w:r>
    <w:r w:rsidRPr="002B4F41">
      <w:rPr>
        <w:rStyle w:val="HideTWBExt"/>
        <w:noProof w:val="0"/>
      </w:rPr>
      <w:t>&lt;/PathFdR&gt;</w:t>
    </w:r>
    <w:r w:rsidRPr="002B4F41">
      <w:tab/>
    </w:r>
    <w:r w:rsidRPr="002B4F41">
      <w:tab/>
      <w:t>PE</w:t>
    </w:r>
    <w:r w:rsidRPr="002B4F41">
      <w:rPr>
        <w:rStyle w:val="HideTWBExt"/>
        <w:noProof w:val="0"/>
      </w:rPr>
      <w:t>&lt;NoPE&gt;</w:t>
    </w:r>
    <w:r w:rsidR="002B4F41" w:rsidRPr="002B4F41">
      <w:rPr>
        <w:color w:val="auto"/>
      </w:rPr>
      <w:t>691.453</w:t>
    </w:r>
    <w:r w:rsidRPr="002B4F41">
      <w:rPr>
        <w:rStyle w:val="HideTWBExt"/>
        <w:noProof w:val="0"/>
      </w:rPr>
      <w:t>&lt;/NoPE&gt;&lt;Version&gt;</w:t>
    </w:r>
    <w:r w:rsidR="00840F26" w:rsidRPr="002B4F41">
      <w:t>v</w:t>
    </w:r>
    <w:r w:rsidR="002B4F41" w:rsidRPr="002B4F41">
      <w:rPr>
        <w:color w:val="auto"/>
      </w:rPr>
      <w:t>01-00</w:t>
    </w:r>
    <w:r w:rsidRPr="002B4F41">
      <w:rPr>
        <w:rStyle w:val="HideTWBExt"/>
        <w:noProof w:val="0"/>
      </w:rPr>
      <w:t>&lt;/Version&gt;</w:t>
    </w:r>
  </w:p>
  <w:p w14:paraId="49E8E4B1" w14:textId="2045F8DB" w:rsidR="00100069" w:rsidRPr="002B4F41" w:rsidRDefault="004B5174" w:rsidP="00E3537C">
    <w:pPr>
      <w:pStyle w:val="EPFooter2"/>
      <w:tabs>
        <w:tab w:val="clear" w:pos="4535"/>
        <w:tab w:val="center" w:pos="4536"/>
      </w:tabs>
    </w:pPr>
    <w:fldSimple w:instr=" DOCPROPERTY &quot;&lt;Extension&gt;&quot; ">
      <w:r w:rsidR="000E4544">
        <w:t>MT</w:t>
      </w:r>
    </w:fldSimple>
    <w:r w:rsidR="00E3537C" w:rsidRPr="002B4F41">
      <w:tab/>
    </w:r>
    <w:r w:rsidR="002B4F41" w:rsidRPr="002B4F41">
      <w:rPr>
        <w:b w:val="0"/>
        <w:i/>
        <w:color w:val="C0C0C0"/>
        <w:sz w:val="22"/>
        <w:szCs w:val="22"/>
      </w:rPr>
      <w:t>Magħquda fid-diversità</w:t>
    </w:r>
    <w:r w:rsidR="00E3537C" w:rsidRPr="002B4F41">
      <w:tab/>
    </w:r>
    <w:fldSimple w:instr=" DOCPROPERTY &quot;&lt;Extension&gt;&quot; ">
      <w:r w:rsidR="000E4544">
        <w:t>MT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8991F" w14:textId="77777777" w:rsidR="00840F26" w:rsidRPr="002B4F41" w:rsidRDefault="00840F26">
      <w:r w:rsidRPr="002B4F41">
        <w:separator/>
      </w:r>
    </w:p>
  </w:footnote>
  <w:footnote w:type="continuationSeparator" w:id="0">
    <w:p w14:paraId="241427AA" w14:textId="77777777" w:rsidR="00840F26" w:rsidRPr="002B4F41" w:rsidRDefault="00840F26">
      <w:r w:rsidRPr="002B4F41">
        <w:continuationSeparator/>
      </w:r>
    </w:p>
  </w:footnote>
  <w:footnote w:id="1">
    <w:p w14:paraId="3758313F" w14:textId="77777777" w:rsidR="004B5174" w:rsidRPr="002B4F41" w:rsidRDefault="004B5174" w:rsidP="004B5174">
      <w:pPr>
        <w:pStyle w:val="FootnoteText"/>
      </w:pPr>
      <w:r>
        <w:rPr>
          <w:rStyle w:val="FootnoteReference"/>
        </w:rPr>
        <w:footnoteRef/>
      </w:r>
      <w:r>
        <w:t xml:space="preserve"> Testi adottati, P9_TA(2021)0025.</w:t>
      </w:r>
    </w:p>
  </w:footnote>
  <w:footnote w:id="2">
    <w:p w14:paraId="4A3E7EA1" w14:textId="77777777" w:rsidR="004B5174" w:rsidRPr="002B4F41" w:rsidRDefault="004B5174" w:rsidP="004B5174">
      <w:pPr>
        <w:pStyle w:val="FootnoteText"/>
      </w:pPr>
      <w:r>
        <w:rPr>
          <w:rStyle w:val="FootnoteReference"/>
        </w:rPr>
        <w:footnoteRef/>
      </w:r>
      <w:r>
        <w:t xml:space="preserve"> ĠU L 315, 14.11.2012, p. 57.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FF9196" w14:textId="77777777" w:rsidR="00661345" w:rsidRDefault="006613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BBB27A" w14:textId="77777777" w:rsidR="00661345" w:rsidRDefault="006613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15D3A" w14:textId="77777777" w:rsidR="00661345" w:rsidRDefault="006613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KEY" w:val="CJ01"/>
    <w:docVar w:name="LastEditedSection" w:val=" 1"/>
    <w:docVar w:name="strDocTypeID" w:val="PR_INI"/>
    <w:docVar w:name="strSubDir" w:val="1229"/>
    <w:docVar w:name="TXTLANGUE" w:val="MT"/>
    <w:docVar w:name="TXTLANGUEMIN" w:val="mt"/>
    <w:docVar w:name="TXTNRPE" w:val="691.453"/>
    <w:docVar w:name="TXTPEorAP" w:val="PE"/>
    <w:docVar w:name="TXTROUTE" w:val="PR\1229996MT.docx"/>
    <w:docVar w:name="TXTVERSION" w:val="01-00"/>
  </w:docVars>
  <w:rsids>
    <w:rsidRoot w:val="00840F26"/>
    <w:rsid w:val="00040EAC"/>
    <w:rsid w:val="0007541B"/>
    <w:rsid w:val="00082B37"/>
    <w:rsid w:val="000D2631"/>
    <w:rsid w:val="000E4544"/>
    <w:rsid w:val="00100069"/>
    <w:rsid w:val="001046B1"/>
    <w:rsid w:val="00105C44"/>
    <w:rsid w:val="001B207D"/>
    <w:rsid w:val="0023245A"/>
    <w:rsid w:val="002544DF"/>
    <w:rsid w:val="002B4F41"/>
    <w:rsid w:val="00335F69"/>
    <w:rsid w:val="00395A66"/>
    <w:rsid w:val="003E6413"/>
    <w:rsid w:val="004016B4"/>
    <w:rsid w:val="004200B3"/>
    <w:rsid w:val="00424740"/>
    <w:rsid w:val="00432B50"/>
    <w:rsid w:val="00455003"/>
    <w:rsid w:val="00466A1A"/>
    <w:rsid w:val="004B5174"/>
    <w:rsid w:val="00531F4C"/>
    <w:rsid w:val="00584A07"/>
    <w:rsid w:val="006272CD"/>
    <w:rsid w:val="00661345"/>
    <w:rsid w:val="00705D44"/>
    <w:rsid w:val="00726C82"/>
    <w:rsid w:val="007963C6"/>
    <w:rsid w:val="00840F26"/>
    <w:rsid w:val="008C4C65"/>
    <w:rsid w:val="0090583E"/>
    <w:rsid w:val="0095536F"/>
    <w:rsid w:val="00956282"/>
    <w:rsid w:val="00996AC6"/>
    <w:rsid w:val="009E4ABB"/>
    <w:rsid w:val="00AF310F"/>
    <w:rsid w:val="00B17532"/>
    <w:rsid w:val="00BA2A57"/>
    <w:rsid w:val="00BA5076"/>
    <w:rsid w:val="00BB70F1"/>
    <w:rsid w:val="00BC7C60"/>
    <w:rsid w:val="00C00074"/>
    <w:rsid w:val="00C93A60"/>
    <w:rsid w:val="00CD3E8A"/>
    <w:rsid w:val="00D31D25"/>
    <w:rsid w:val="00D47BB0"/>
    <w:rsid w:val="00DB4680"/>
    <w:rsid w:val="00DD7B9D"/>
    <w:rsid w:val="00E155CA"/>
    <w:rsid w:val="00E3537C"/>
    <w:rsid w:val="00E61690"/>
    <w:rsid w:val="00F076A5"/>
    <w:rsid w:val="00F3651F"/>
    <w:rsid w:val="00F714A9"/>
    <w:rsid w:val="00FD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729AB3"/>
  <w15:chartTrackingRefBased/>
  <w15:docId w15:val="{971B73F0-44F9-4A79-A3F4-0D2A4BEC3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45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b w:val="0"/>
      <w:i w:val="0"/>
      <w:strike w:val="0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7963C6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2544D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584A07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B17532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584A07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105C44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E35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E3537C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E3537C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E3537C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2544D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2544DF"/>
    <w:pPr>
      <w:jc w:val="right"/>
    </w:pPr>
  </w:style>
  <w:style w:type="paragraph" w:customStyle="1" w:styleId="EPFooter">
    <w:name w:val="EPFooter"/>
    <w:basedOn w:val="Normal"/>
    <w:rsid w:val="00584A07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105C44"/>
    <w:rPr>
      <w:sz w:val="24"/>
    </w:rPr>
  </w:style>
  <w:style w:type="paragraph" w:customStyle="1" w:styleId="EPComma">
    <w:name w:val="EPComma"/>
    <w:basedOn w:val="Normal"/>
    <w:rsid w:val="00432B50"/>
    <w:pPr>
      <w:spacing w:before="480" w:after="240"/>
    </w:pPr>
  </w:style>
  <w:style w:type="paragraph" w:customStyle="1" w:styleId="CoverNormal12a">
    <w:name w:val="CoverNormal12a"/>
    <w:basedOn w:val="Normal"/>
    <w:rsid w:val="002B4F41"/>
    <w:pPr>
      <w:spacing w:after="240"/>
      <w:ind w:left="1418"/>
    </w:pPr>
  </w:style>
  <w:style w:type="paragraph" w:styleId="FootnoteText">
    <w:name w:val="footnote text"/>
    <w:basedOn w:val="Normal"/>
    <w:link w:val="FootnoteTextChar"/>
    <w:rsid w:val="002B4F41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2B4F41"/>
  </w:style>
  <w:style w:type="character" w:styleId="FootnoteReference">
    <w:name w:val="footnote reference"/>
    <w:basedOn w:val="DefaultParagraphFont"/>
    <w:rsid w:val="002B4F41"/>
    <w:rPr>
      <w:vertAlign w:val="superscript"/>
    </w:rPr>
  </w:style>
  <w:style w:type="paragraph" w:customStyle="1" w:styleId="Tre">
    <w:name w:val="Treść"/>
    <w:rsid w:val="002B4F41"/>
    <w:pPr>
      <w:pBdr>
        <w:top w:val="nil"/>
        <w:left w:val="nil"/>
        <w:bottom w:val="nil"/>
        <w:right w:val="nil"/>
        <w:between w:val="nil"/>
        <w:bar w:val="nil"/>
      </w:pBdr>
      <w:suppressAutoHyphens/>
      <w:jc w:val="both"/>
    </w:pPr>
    <w:rPr>
      <w:rFonts w:eastAsia="Arial Unicode MS" w:cs="Arial Unicode MS"/>
      <w:color w:val="000000"/>
      <w:sz w:val="24"/>
      <w:szCs w:val="24"/>
      <w:u w:color="000000"/>
      <w:bdr w:val="nil"/>
      <w:lang w:eastAsia="ja-JP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uiPriority w:val="34"/>
    <w:qFormat/>
    <w:rsid w:val="002B4F41"/>
    <w:pPr>
      <w:pBdr>
        <w:top w:val="nil"/>
        <w:left w:val="nil"/>
        <w:bottom w:val="nil"/>
        <w:right w:val="nil"/>
        <w:between w:val="nil"/>
        <w:bar w:val="nil"/>
      </w:pBdr>
      <w:suppressAutoHyphens/>
      <w:ind w:left="720"/>
      <w:jc w:val="both"/>
    </w:pPr>
    <w:rPr>
      <w:rFonts w:eastAsia="Arial Unicode MS" w:cs="Arial Unicode MS"/>
      <w:color w:val="000000"/>
      <w:sz w:val="24"/>
      <w:szCs w:val="24"/>
      <w:u w:color="000000"/>
      <w:bdr w:val="nil"/>
      <w:lang w:eastAsia="ja-JP"/>
    </w:rPr>
  </w:style>
  <w:style w:type="character" w:customStyle="1" w:styleId="Brak">
    <w:name w:val="Brak"/>
    <w:rsid w:val="002B4F41"/>
  </w:style>
  <w:style w:type="paragraph" w:styleId="Footer">
    <w:name w:val="footer"/>
    <w:basedOn w:val="Normal"/>
    <w:link w:val="FooterChar"/>
    <w:semiHidden/>
    <w:rsid w:val="004B51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4B517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4433</Words>
  <Characters>32986</Characters>
  <Application>Microsoft Office Word</Application>
  <DocSecurity>0</DocSecurity>
  <Lines>549</Lines>
  <Paragraphs>174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</vt:lpstr>
    </vt:vector>
  </TitlesOfParts>
  <Company/>
  <LinksUpToDate>false</LinksUpToDate>
  <CharactersWithSpaces>37245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subject/>
  <dc:creator>Revision</dc:creator>
  <cp:keywords/>
  <dc:description/>
  <cp:lastModifiedBy>FARRUGIA Annalisa</cp:lastModifiedBy>
  <cp:revision>2</cp:revision>
  <cp:lastPrinted>2004-12-08T15:27:00Z</cp:lastPrinted>
  <dcterms:created xsi:type="dcterms:W3CDTF">2021-06-03T08:40:00Z</dcterms:created>
  <dcterms:modified xsi:type="dcterms:W3CDTF">2021-06-03T08:40:00Z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 with">
    <vt:lpwstr>9.8.2 Build [20200114]</vt:lpwstr>
  </property>
  <property fmtid="{D5CDD505-2E9C-101B-9397-08002B2CF9AE}" pid="3" name="LastEdited with">
    <vt:lpwstr>9.9.1 Build [20200705]</vt:lpwstr>
  </property>
  <property fmtid="{D5CDD505-2E9C-101B-9397-08002B2CF9AE}" pid="4" name="&lt;FdR&gt;">
    <vt:lpwstr>1229996</vt:lpwstr>
  </property>
  <property fmtid="{D5CDD505-2E9C-101B-9397-08002B2CF9AE}" pid="5" name="&lt;Type&gt;">
    <vt:lpwstr>PR</vt:lpwstr>
  </property>
  <property fmtid="{D5CDD505-2E9C-101B-9397-08002B2CF9AE}" pid="6" name="&lt;ModelCod&gt;">
    <vt:lpwstr>C:\Users\User\AppData\Local\DocEP\DOCS\PR\PR_NonLeg\INI\PR_INI.dotx(17/04/2020 19:28:08)</vt:lpwstr>
  </property>
  <property fmtid="{D5CDD505-2E9C-101B-9397-08002B2CF9AE}" pid="7" name="&lt;ModelTra&gt;">
    <vt:lpwstr>C:\Users\User\AppData\Local\DocEP\TRANSFIL\MT\PR_INI.MT(11/10/2019 10:35:08)</vt:lpwstr>
  </property>
  <property fmtid="{D5CDD505-2E9C-101B-9397-08002B2CF9AE}" pid="8" name="&lt;Model&gt;">
    <vt:lpwstr>PR_INI</vt:lpwstr>
  </property>
  <property fmtid="{D5CDD505-2E9C-101B-9397-08002B2CF9AE}" pid="9" name="FooterPath">
    <vt:lpwstr>PR\1229996MT.docx</vt:lpwstr>
  </property>
  <property fmtid="{D5CDD505-2E9C-101B-9397-08002B2CF9AE}" pid="10" name="PE number">
    <vt:lpwstr>691.453</vt:lpwstr>
  </property>
  <property fmtid="{D5CDD505-2E9C-101B-9397-08002B2CF9AE}" pid="11" name="SDLStudio">
    <vt:lpwstr/>
  </property>
  <property fmtid="{D5CDD505-2E9C-101B-9397-08002B2CF9AE}" pid="12" name="&lt;Extension&gt;">
    <vt:lpwstr>MT</vt:lpwstr>
  </property>
  <property fmtid="{D5CDD505-2E9C-101B-9397-08002B2CF9AE}" pid="13" name="Bookout">
    <vt:lpwstr>OK - 2021/06/03 10:40</vt:lpwstr>
  </property>
</Properties>
</file>