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0B0AEA" w:rsidRPr="000D2AE4" w14:paraId="7DE196DB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39641B99" w14:textId="77777777" w:rsidR="000B0AEA" w:rsidRPr="000D2AE4" w:rsidRDefault="000D2AE4" w:rsidP="00C85D0F">
            <w:pPr>
              <w:pStyle w:val="EPName"/>
            </w:pPr>
            <w:r>
              <w:t>Parlament Europejski</w:t>
            </w:r>
          </w:p>
          <w:p w14:paraId="508399B8" w14:textId="1CEB0088" w:rsidR="000B0AEA" w:rsidRPr="00F1108C" w:rsidRDefault="00F1108C" w:rsidP="00C85D0F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14:paraId="63ACF937" w14:textId="77777777" w:rsidR="000B0AEA" w:rsidRPr="000D2AE4" w:rsidRDefault="000B0AEA" w:rsidP="00C85D0F">
            <w:pPr>
              <w:pStyle w:val="EPLogo"/>
            </w:pPr>
            <w:r w:rsidRPr="000D2AE4">
              <w:rPr>
                <w:lang w:val="en-GB"/>
              </w:rPr>
              <w:drawing>
                <wp:inline distT="0" distB="0" distL="0" distR="0" wp14:anchorId="610053E2" wp14:editId="649EECCD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26554A1" w14:textId="77777777" w:rsidR="00921474" w:rsidRPr="000D2AE4" w:rsidRDefault="00921474" w:rsidP="00921474">
      <w:pPr>
        <w:pStyle w:val="LineTop"/>
      </w:pPr>
    </w:p>
    <w:p w14:paraId="58585E63" w14:textId="77777777" w:rsidR="00F1108C" w:rsidRDefault="00921474" w:rsidP="00921474">
      <w:pPr>
        <w:pStyle w:val="EPBody"/>
      </w:pPr>
      <w:r>
        <w:rPr>
          <w:rStyle w:val="HideTWBExt"/>
          <w:noProof w:val="0"/>
        </w:rPr>
        <w:t>&lt;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  <w:r>
        <w:rPr>
          <w:rStyle w:val="HideTWBInt"/>
        </w:rPr>
        <w:t>{CJ01}</w:t>
      </w:r>
      <w:r>
        <w:t>Komisja Wolności Obywatelskich, Sprawiedliwości i Spraw Wewnętrznych</w:t>
      </w:r>
    </w:p>
    <w:p w14:paraId="146C951C" w14:textId="5129DC9F" w:rsidR="00921474" w:rsidRPr="000D2AE4" w:rsidRDefault="00F1108C" w:rsidP="00921474">
      <w:pPr>
        <w:pStyle w:val="EPBody"/>
      </w:pPr>
      <w:r>
        <w:t>Komisja Praw Kobiet i Równouprawnienia</w:t>
      </w:r>
      <w:r>
        <w:rPr>
          <w:rStyle w:val="HideTWBExt"/>
          <w:noProof w:val="0"/>
        </w:rPr>
        <w:t>&lt;/</w:t>
      </w:r>
      <w:r>
        <w:rPr>
          <w:rStyle w:val="HideTWBExt"/>
          <w:i w:val="0"/>
          <w:noProof w:val="0"/>
        </w:rPr>
        <w:t>Commission</w:t>
      </w:r>
      <w:r>
        <w:rPr>
          <w:rStyle w:val="HideTWBExt"/>
          <w:noProof w:val="0"/>
        </w:rPr>
        <w:t>&gt;</w:t>
      </w:r>
    </w:p>
    <w:p w14:paraId="24A106E0" w14:textId="77777777" w:rsidR="00921474" w:rsidRPr="000D2AE4" w:rsidRDefault="00921474" w:rsidP="00921474">
      <w:pPr>
        <w:pStyle w:val="LineBottom"/>
      </w:pPr>
    </w:p>
    <w:p w14:paraId="50917F96" w14:textId="223ACDE8" w:rsidR="009E6E1A" w:rsidRPr="00F1108C" w:rsidRDefault="009E6E1A">
      <w:pPr>
        <w:pStyle w:val="CoverReference"/>
      </w:pPr>
      <w:r>
        <w:rPr>
          <w:rStyle w:val="HideTWBExt"/>
          <w:b w:val="0"/>
          <w:noProof w:val="0"/>
          <w:lang w:val="en-GB"/>
        </w:rPr>
        <w:t>&lt;RefProc&gt;</w:t>
      </w:r>
      <w:r>
        <w:t>2020/2035</w:t>
      </w:r>
      <w:r>
        <w:rPr>
          <w:rStyle w:val="HideTWBExt"/>
          <w:b w:val="0"/>
          <w:noProof w:val="0"/>
          <w:lang w:val="en-GB"/>
        </w:rPr>
        <w:t>&lt;/RefProc&gt;&lt;RefTypeProc&gt;</w:t>
      </w:r>
      <w:r>
        <w:t>(INL)</w:t>
      </w:r>
      <w:r>
        <w:rPr>
          <w:rStyle w:val="HideTWBExt"/>
          <w:b w:val="0"/>
          <w:noProof w:val="0"/>
          <w:lang w:val="en-GB"/>
        </w:rPr>
        <w:t>&lt;/RefTypeProc&gt;</w:t>
      </w:r>
    </w:p>
    <w:p w14:paraId="78D890E1" w14:textId="72F953FC" w:rsidR="009E6E1A" w:rsidRPr="00F1108C" w:rsidRDefault="009E6E1A">
      <w:pPr>
        <w:pStyle w:val="CoverDate"/>
      </w:pPr>
      <w:r>
        <w:rPr>
          <w:rStyle w:val="HideTWBExt"/>
          <w:noProof w:val="0"/>
          <w:lang w:val="en-GB"/>
        </w:rPr>
        <w:t>&lt;Date&gt;</w:t>
      </w:r>
      <w:r>
        <w:rPr>
          <w:rStyle w:val="HideTWBInt"/>
          <w:lang w:val="fr-BE"/>
        </w:rPr>
        <w:t>{20/05/2021}</w:t>
      </w:r>
      <w:r>
        <w:t>20.5.2021</w:t>
      </w:r>
      <w:r>
        <w:rPr>
          <w:rStyle w:val="HideTWBExt"/>
          <w:noProof w:val="0"/>
          <w:lang w:val="en-GB"/>
        </w:rPr>
        <w:t>&lt;/Date&gt;</w:t>
      </w:r>
    </w:p>
    <w:p w14:paraId="273AFD74" w14:textId="77777777" w:rsidR="009E6E1A" w:rsidRPr="000D2AE4" w:rsidRDefault="009E6E1A">
      <w:pPr>
        <w:pStyle w:val="CoverDocType24a"/>
      </w:pPr>
      <w:r>
        <w:rPr>
          <w:rStyle w:val="HideTWBExt"/>
          <w:b w:val="0"/>
          <w:noProof w:val="0"/>
        </w:rPr>
        <w:t>&lt;TitreType&gt;</w:t>
      </w:r>
      <w:r>
        <w:t>PROJEKT SPRAWOZDANIA</w:t>
      </w:r>
      <w:r>
        <w:rPr>
          <w:rStyle w:val="HideTWBExt"/>
          <w:b w:val="0"/>
          <w:noProof w:val="0"/>
        </w:rPr>
        <w:t>&lt;/TitreType&gt;</w:t>
      </w:r>
    </w:p>
    <w:p w14:paraId="1D1A0C68" w14:textId="19113413" w:rsidR="009E6E1A" w:rsidRPr="000D2AE4" w:rsidRDefault="009E6E1A">
      <w:pPr>
        <w:pStyle w:val="CoverNormal"/>
      </w:pPr>
      <w:r>
        <w:rPr>
          <w:rStyle w:val="HideTWBExt"/>
          <w:noProof w:val="0"/>
        </w:rPr>
        <w:t>&lt;Titre&gt;</w:t>
      </w:r>
      <w:r>
        <w:t>zawierającego zalecenia dla Komisji w sprawie zwalczania przemocy ze względu na płeć: cyberprzemoc</w:t>
      </w:r>
      <w:r>
        <w:rPr>
          <w:rStyle w:val="HideTWBExt"/>
          <w:noProof w:val="0"/>
        </w:rPr>
        <w:t>&lt;/Titre&gt;</w:t>
      </w:r>
    </w:p>
    <w:p w14:paraId="0B5AAD47" w14:textId="430DDA6F" w:rsidR="009E6E1A" w:rsidRPr="000D2AE4" w:rsidRDefault="009E6E1A">
      <w:pPr>
        <w:pStyle w:val="CoverNormal24a"/>
      </w:pPr>
      <w:r>
        <w:rPr>
          <w:rStyle w:val="HideTWBExt"/>
          <w:noProof w:val="0"/>
        </w:rPr>
        <w:t>&lt;DocRef&gt;</w:t>
      </w:r>
      <w:r>
        <w:t>(2020/2035(INL))</w:t>
      </w:r>
      <w:r>
        <w:rPr>
          <w:rStyle w:val="HideTWBExt"/>
          <w:noProof w:val="0"/>
        </w:rPr>
        <w:t>&lt;/DocRef&gt;</w:t>
      </w:r>
    </w:p>
    <w:p w14:paraId="30B638D0" w14:textId="1EB0CA8A" w:rsidR="009E6E1A" w:rsidRPr="000D2AE4" w:rsidRDefault="009E6E1A">
      <w:pPr>
        <w:pStyle w:val="CoverNormal24a"/>
      </w:pPr>
      <w:r>
        <w:rPr>
          <w:rStyle w:val="HideTWBExt"/>
          <w:noProof w:val="0"/>
        </w:rPr>
        <w:t>&lt;Commission&gt;</w:t>
      </w:r>
      <w:r>
        <w:rPr>
          <w:rStyle w:val="HideTWBInt"/>
        </w:rPr>
        <w:t>{CJ01}</w:t>
      </w:r>
      <w:r>
        <w:t>Komisja Wolności Obywatelskich, Sprawiedliwości i Spraw Wewnętrznych</w:t>
      </w:r>
      <w:r>
        <w:cr/>
      </w:r>
      <w:r>
        <w:br/>
        <w:t>Komisja Praw Kobiet i Równouprawnienia</w:t>
      </w:r>
      <w:r>
        <w:rPr>
          <w:rStyle w:val="HideTWBExt"/>
          <w:noProof w:val="0"/>
        </w:rPr>
        <w:t>&lt;/Commission&gt;</w:t>
      </w:r>
    </w:p>
    <w:p w14:paraId="59AE49FE" w14:textId="0CFE8B06" w:rsidR="009E6E1A" w:rsidRPr="000D2AE4" w:rsidRDefault="00200E98" w:rsidP="0039462E">
      <w:pPr>
        <w:pStyle w:val="CoverNormal24a"/>
      </w:pPr>
      <w:r>
        <w:t xml:space="preserve">Sprawozdawczynie: </w:t>
      </w:r>
      <w:r>
        <w:rPr>
          <w:rStyle w:val="HideTWBExt"/>
          <w:noProof w:val="0"/>
        </w:rPr>
        <w:t>&lt;Depute&gt;</w:t>
      </w:r>
      <w:r>
        <w:t>Sylwia Spurek, Elissavet Vozemberg</w:t>
      </w:r>
      <w:r>
        <w:noBreakHyphen/>
        <w:t>Vrionidi</w:t>
      </w:r>
      <w:r>
        <w:rPr>
          <w:rStyle w:val="HideTWBExt"/>
          <w:noProof w:val="0"/>
        </w:rPr>
        <w:t>&lt;/Depute&gt;</w:t>
      </w:r>
    </w:p>
    <w:p w14:paraId="0E598B97" w14:textId="64899FF4" w:rsidR="009E6E1A" w:rsidRDefault="000D2AE4" w:rsidP="00BF1602">
      <w:pPr>
        <w:pStyle w:val="CoverNormal12a"/>
      </w:pPr>
      <w:r>
        <w:t>(Inicjatywa – art. 47 Regulaminu)</w:t>
      </w:r>
    </w:p>
    <w:p w14:paraId="0ECA349A" w14:textId="226621F9" w:rsidR="0011544B" w:rsidRPr="0011544B" w:rsidRDefault="0011544B" w:rsidP="0011544B">
      <w:pPr>
        <w:pStyle w:val="CoverNormal12a"/>
      </w:pPr>
      <w:r>
        <w:rPr>
          <w:snapToGrid w:val="0"/>
          <w:szCs w:val="24"/>
        </w:rPr>
        <w:t>(Procedura wspólnych posiedzeń komisji – art. 58 Regulaminu)</w:t>
      </w:r>
    </w:p>
    <w:p w14:paraId="1C4CCC11" w14:textId="7D0C2CAE" w:rsidR="00BF1602" w:rsidRPr="0011544B" w:rsidRDefault="000D2AE4">
      <w:pPr>
        <w:pStyle w:val="CoverNormal24a"/>
      </w:pPr>
      <w:r>
        <w:t>(Autorki wniosku: Sylwia Spurek, Elissavet Vozemberg</w:t>
      </w:r>
      <w:r>
        <w:noBreakHyphen/>
        <w:t>Vrionidi)</w:t>
      </w:r>
    </w:p>
    <w:p w14:paraId="493D6218" w14:textId="77777777" w:rsidR="001A502C" w:rsidRPr="0011544B" w:rsidRDefault="001A502C" w:rsidP="001A502C">
      <w:pPr>
        <w:pStyle w:val="CoverNormal"/>
        <w:rPr>
          <w:lang w:val="en-IE"/>
        </w:rPr>
      </w:pPr>
    </w:p>
    <w:p w14:paraId="52E91C38" w14:textId="77777777" w:rsidR="009E6E1A" w:rsidRPr="000D2AE4" w:rsidRDefault="009E6E1A" w:rsidP="00246FFC">
      <w:pPr>
        <w:widowControl/>
        <w:tabs>
          <w:tab w:val="center" w:pos="4677"/>
        </w:tabs>
      </w:pPr>
      <w:r>
        <w:br w:type="page"/>
      </w:r>
      <w:r>
        <w:lastRenderedPageBreak/>
        <w:t>PR_INL</w:t>
      </w:r>
    </w:p>
    <w:p w14:paraId="53EC6097" w14:textId="77777777" w:rsidR="009E6E1A" w:rsidRPr="000D2AE4" w:rsidRDefault="000D2AE4">
      <w:pPr>
        <w:pStyle w:val="TOCHeading"/>
      </w:pPr>
      <w:r>
        <w:t>SPIS TREŚCI</w:t>
      </w:r>
    </w:p>
    <w:p w14:paraId="2E426F4D" w14:textId="77777777" w:rsidR="009E6E1A" w:rsidRPr="000D2AE4" w:rsidRDefault="000D2AE4">
      <w:pPr>
        <w:pStyle w:val="TOCPage"/>
      </w:pPr>
      <w:r>
        <w:t>Strona</w:t>
      </w:r>
    </w:p>
    <w:p w14:paraId="79E6EF83" w14:textId="4A092291" w:rsidR="00862794" w:rsidRDefault="009E6E1A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0D2AE4">
        <w:fldChar w:fldCharType="begin"/>
      </w:r>
      <w:r w:rsidRPr="000D2AE4">
        <w:instrText xml:space="preserve"> TOC \t "PageHeading</w:instrText>
      </w:r>
      <w:r w:rsidR="00862794">
        <w:instrText>;</w:instrText>
      </w:r>
      <w:r w:rsidRPr="000D2AE4">
        <w:instrText xml:space="preserve">1" </w:instrText>
      </w:r>
      <w:r w:rsidRPr="000D2AE4">
        <w:fldChar w:fldCharType="separate"/>
      </w:r>
      <w:r w:rsidR="00862794">
        <w:rPr>
          <w:noProof/>
        </w:rPr>
        <w:t>PROJEKT REZOLUCJI PARLAMENTU EUROPEJSKIEGO</w:t>
      </w:r>
      <w:r w:rsidR="00862794">
        <w:rPr>
          <w:noProof/>
        </w:rPr>
        <w:tab/>
      </w:r>
      <w:r w:rsidR="00862794">
        <w:rPr>
          <w:noProof/>
        </w:rPr>
        <w:fldChar w:fldCharType="begin"/>
      </w:r>
      <w:r w:rsidR="00862794">
        <w:rPr>
          <w:noProof/>
        </w:rPr>
        <w:instrText xml:space="preserve"> PAGEREF _Toc73712664 \h </w:instrText>
      </w:r>
      <w:r w:rsidR="00862794">
        <w:rPr>
          <w:noProof/>
        </w:rPr>
      </w:r>
      <w:r w:rsidR="00862794">
        <w:rPr>
          <w:noProof/>
        </w:rPr>
        <w:fldChar w:fldCharType="separate"/>
      </w:r>
      <w:r w:rsidR="00862794">
        <w:rPr>
          <w:noProof/>
        </w:rPr>
        <w:t>3</w:t>
      </w:r>
      <w:r w:rsidR="00862794">
        <w:rPr>
          <w:noProof/>
        </w:rPr>
        <w:fldChar w:fldCharType="end"/>
      </w:r>
    </w:p>
    <w:p w14:paraId="2B7F5B18" w14:textId="557834ED" w:rsidR="00862794" w:rsidRDefault="0086279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ZAŁĄCZNIK DO PROJEKTU REZOLUCJI  ZALECENIA DLA KOMISJI DOTYCZĄCE TREŚCI POSTULOWANEGO WNIOSKU W SPRAWIE ZWALCZANIA PRZEMOCY ZE WZGLĘDU NA PŁEĆ: CYBERPRZEMOC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_Toc73712665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4FD66DC7" w14:textId="51972BDD" w:rsidR="00862794" w:rsidRDefault="00862794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UZASADNIENIE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_Toc73712666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380438D7" w14:textId="0B23DD21" w:rsidR="001A502C" w:rsidRPr="000D2AE4" w:rsidRDefault="009E6E1A" w:rsidP="005B4360">
      <w:r w:rsidRPr="000D2AE4">
        <w:fldChar w:fldCharType="end"/>
      </w:r>
    </w:p>
    <w:p w14:paraId="1505527F" w14:textId="77777777" w:rsidR="009E6E1A" w:rsidRPr="000D2AE4" w:rsidRDefault="009E6E1A">
      <w:pPr>
        <w:pStyle w:val="PageHeading"/>
      </w:pPr>
      <w:r>
        <w:br w:type="page"/>
      </w:r>
      <w:bookmarkStart w:id="0" w:name="_Toc73712664"/>
      <w:r>
        <w:t>PROJEKT REZOLUCJI PARLAMENTU EUROPEJSKIEGO</w:t>
      </w:r>
      <w:bookmarkEnd w:id="0"/>
    </w:p>
    <w:p w14:paraId="083A8312" w14:textId="0AA49CA9" w:rsidR="009E6E1A" w:rsidRPr="000D2AE4" w:rsidRDefault="000D2AE4">
      <w:pPr>
        <w:pStyle w:val="NormalBold"/>
      </w:pPr>
      <w:r>
        <w:t>zawierającej zalecenia dla Komisji w sprawie zwalczania przemocy ze względu na płeć: cyberprzemoc</w:t>
      </w:r>
    </w:p>
    <w:p w14:paraId="47C2EE1B" w14:textId="7E12CCFB" w:rsidR="009E6E1A" w:rsidRPr="000D2AE4" w:rsidRDefault="000D2AE4" w:rsidP="00584FD7">
      <w:pPr>
        <w:pStyle w:val="NormalBold"/>
      </w:pPr>
      <w:r>
        <w:t>(2020/2035(INL))</w:t>
      </w:r>
    </w:p>
    <w:p w14:paraId="1C354DDD" w14:textId="77777777" w:rsidR="009E6E1A" w:rsidRPr="000D2AE4" w:rsidRDefault="000D2AE4">
      <w:pPr>
        <w:pStyle w:val="EPComma"/>
      </w:pPr>
      <w:r>
        <w:rPr>
          <w:i/>
        </w:rPr>
        <w:t>Parlament Europejski</w:t>
      </w:r>
      <w:r>
        <w:t>,</w:t>
      </w:r>
    </w:p>
    <w:p w14:paraId="2EB42652" w14:textId="6589849E" w:rsidR="00CD1B43" w:rsidRPr="00BD10EF" w:rsidRDefault="009E6E1A" w:rsidP="00CD1B43">
      <w:pPr>
        <w:pStyle w:val="NormalHanging12a"/>
      </w:pPr>
      <w:r>
        <w:t>–</w:t>
      </w:r>
      <w:r>
        <w:tab/>
        <w:t>uwzględniając art. 2 i art. 3 ust. 3 Traktatu o Unii Europejskiej,</w:t>
      </w:r>
    </w:p>
    <w:p w14:paraId="502ED767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art. 83 ust. 1 i art. 225 Traktatu o funkcjonowaniu Unii Europejskiej,</w:t>
      </w:r>
    </w:p>
    <w:p w14:paraId="300A6C6D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Kartę praw podstawowych Unii Europejskiej, w szczególności jej art. 7, 8, 10, 11, 12, 21, 23, 24, 25, 26 i 47,</w:t>
      </w:r>
    </w:p>
    <w:p w14:paraId="1AEE5B8E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komunikat Komisji z dnia 5 marca 2020 r. pt. „Unia równości: strategia na rzecz równouprawnienia płci na lata 2020–2025”,</w:t>
      </w:r>
    </w:p>
    <w:p w14:paraId="453B14C7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komunikat Komisji z dnia 24 czerwca 2020 r. pt. „Strategia UE w zakresie praw ofiar (2020–2025)”,</w:t>
      </w:r>
    </w:p>
    <w:p w14:paraId="0698E6FF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Konwencję Rady Europy o zapobieganiu i zwalczaniu przemocy wobec kobiet i przemocy domowej,</w:t>
      </w:r>
    </w:p>
    <w:p w14:paraId="32E269CD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swoją rezolucję z dnia 21 stycznia 2021 r. w sprawie europejskiej strategii na rzecz równouprawnienia płci</w:t>
      </w:r>
      <w:r w:rsidRPr="00BD10EF">
        <w:rPr>
          <w:rStyle w:val="FootnoteReference"/>
          <w:lang w:val="en-IE"/>
        </w:rPr>
        <w:footnoteReference w:id="1"/>
      </w:r>
      <w:r>
        <w:t>,</w:t>
      </w:r>
    </w:p>
    <w:p w14:paraId="3301BAE9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postanowienia instrumentów prawnych Organizacji Narodów Zjednoczonych w dziedzinie praw człowieka, w szczególności tych dotyczących praw kobiet, a także innych instrumentów Organizacji Narodów Zjednoczonych dotyczących przemocy wobec kobiet,</w:t>
      </w:r>
    </w:p>
    <w:p w14:paraId="646C4386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rezolucje Zgromadzenia Ogólnego Narodów Zjednoczonych z dnia 16 grudnia 2020 r. pt. „Zintensyfikowanie wysiłków na rzecz zapobiegania wszelkim formom przemocy wobec kobiet i dziewcząt oraz ich wyeliminowania” (A/RES/75/161) oraz „Prawo do prywatności w erze cyfrowej” (A/RES/75/176),</w:t>
      </w:r>
    </w:p>
    <w:p w14:paraId="28676571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rezolucję Rady Praw Człowieka Organizacji Narodów Zjednoczonych z dnia 2 lipca 2018 r. pt. „Wzmożenie wysiłków na rzecz wyeliminowania przemocy wobec kobiet i dziewcząt: zapobieganie i reagowanie na przemoc wobec kobiet i dziewcząt w kontekstach cyfrowych” (A/HRC/38/L.6),</w:t>
      </w:r>
    </w:p>
    <w:p w14:paraId="21AB59E6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badanie Biura Analiz Parlamentu Europejskiego pt. „Zwalczanie przemocy uwarunkowanej płcią: cyberprzemoc” (ocena europejskiej wartości dodanej),</w:t>
      </w:r>
    </w:p>
    <w:p w14:paraId="45A488B9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wskaźnik równouprawnienia płci Europejskiego Instytutu ds. Równości Kobiet i Mężczyzn,</w:t>
      </w:r>
    </w:p>
    <w:p w14:paraId="541DF593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dyrektywę Parlamentu Europejskiego i Rady 2012/29/UE z dnia 25 października 2012 r. ustanawiającą normy minimalne w zakresie praw, wsparcia i ochrony ofiar przestępstw oraz zastępującą decyzję ramową Rady 2001/220/WSiSW</w:t>
      </w:r>
      <w:r w:rsidRPr="00BD10EF">
        <w:rPr>
          <w:rStyle w:val="FootnoteReference"/>
          <w:lang w:val="en-IE"/>
        </w:rPr>
        <w:footnoteReference w:id="2"/>
      </w:r>
      <w:r>
        <w:t>,</w:t>
      </w:r>
    </w:p>
    <w:p w14:paraId="1C62F679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art. 47 i 54 Regulaminu,</w:t>
      </w:r>
    </w:p>
    <w:p w14:paraId="1B965348" w14:textId="77777777" w:rsidR="00CD1B43" w:rsidRPr="00BD10EF" w:rsidRDefault="00CD1B43" w:rsidP="00CD1B43">
      <w:pPr>
        <w:pStyle w:val="NormalHanging12a"/>
      </w:pPr>
      <w:r>
        <w:t>–</w:t>
      </w:r>
      <w:r>
        <w:tab/>
      </w:r>
      <w:r>
        <w:rPr>
          <w:snapToGrid w:val="0"/>
          <w:szCs w:val="24"/>
        </w:rPr>
        <w:t>uwzględniając wspólne posiedzenia Komisji Wolności Obywatelskich, Sprawiedliwości i Spraw Wewnętrznych oraz Komisji Praw Kobiet i Równouprawnienia zgodnie z art. 58 Regulaminu</w:t>
      </w:r>
      <w:r>
        <w:t>,</w:t>
      </w:r>
    </w:p>
    <w:p w14:paraId="7105A408" w14:textId="77777777" w:rsidR="00CD1B43" w:rsidRPr="00BD10EF" w:rsidRDefault="00CD1B43" w:rsidP="00CD1B43">
      <w:pPr>
        <w:pStyle w:val="NormalHanging12a"/>
      </w:pPr>
      <w:r>
        <w:t>–</w:t>
      </w:r>
      <w:r>
        <w:tab/>
        <w:t>uwzględniając sprawozdanie Komisji Wolności Obywatelskich, Sprawiedliwości i Spraw Wewnętrznych oraz Komisji Praw Kobiet i Równouprawnienia (A9</w:t>
      </w:r>
      <w:r>
        <w:noBreakHyphen/>
        <w:t>0000/2021),</w:t>
      </w:r>
    </w:p>
    <w:p w14:paraId="54448BB5" w14:textId="77777777" w:rsidR="00CD1B43" w:rsidRPr="00BD10EF" w:rsidRDefault="009E6E1A" w:rsidP="00CD1B43">
      <w:pPr>
        <w:pStyle w:val="NormalHanging12a"/>
      </w:pPr>
      <w:r>
        <w:t>A.</w:t>
      </w:r>
      <w:r>
        <w:tab/>
        <w:t>mając na uwadze, że pierwszym celem unijnej strategii na rzecz równouprawnienia płci na lata 2020–2025 jest wyeliminowanie przemocy ze względu na płeć, którą opisano w strategii jako „jedno z największych wyzwań dla naszych społeczeństw”;</w:t>
      </w:r>
    </w:p>
    <w:p w14:paraId="64B09464" w14:textId="77777777" w:rsidR="00CD1B43" w:rsidRPr="00BD10EF" w:rsidRDefault="00CD1B43" w:rsidP="00CD1B43">
      <w:pPr>
        <w:pStyle w:val="NormalHanging12a"/>
      </w:pPr>
      <w:r>
        <w:t>B.</w:t>
      </w:r>
      <w:r>
        <w:tab/>
        <w:t>mając na uwadze, że przemoc wobec kobiet i inne formy przemocy ze względu na płeć są szeroko rozpowszechnione w Unii i należy je rozumieć jako skrajną formę dyskryminacji; mając na uwadze, że przemoc ze względu na płeć wynika z nierównego podziału władzy między kobietami a mężczyznami, a także z seksizmu i stereotypów związanych z płcią, które doprowadziły do dominacji mężczyzn nad kobietami i ich dyskryminacji;</w:t>
      </w:r>
    </w:p>
    <w:p w14:paraId="6539A0E9" w14:textId="77777777" w:rsidR="00CD1B43" w:rsidRPr="00BD10EF" w:rsidRDefault="00CD1B43" w:rsidP="00CD1B43">
      <w:pPr>
        <w:pStyle w:val="NormalHanging12a"/>
      </w:pPr>
      <w:r>
        <w:t>C.</w:t>
      </w:r>
      <w:r>
        <w:tab/>
        <w:t>mając na uwadze, że przemoc wobec kobiet i przemoc ze względu na płeć przyjmują różne, choć niewykluczające się wzajemnie formy i przejawy; mając na uwadze, że te różne formy przemocy są często wzajemnie powiązane i nierozerwalnie związane z aktami przemocy poza internetem, gdyż mogą je poprzedzać, współwystępować z nimi lub stanowić ich kontynuację;</w:t>
      </w:r>
    </w:p>
    <w:p w14:paraId="6EDEE9A7" w14:textId="77777777" w:rsidR="00CD1B43" w:rsidRPr="00BD10EF" w:rsidRDefault="00CD1B43" w:rsidP="00CD1B43">
      <w:pPr>
        <w:pStyle w:val="NormalHanging12a"/>
      </w:pPr>
      <w:r>
        <w:t>D.</w:t>
      </w:r>
      <w:r>
        <w:tab/>
        <w:t>mając na uwadze, że cybernękanie, cyberstalking, agresja elektroniczna, trolling, mowa nienawiści w internecie, szkalowanie, rozpowszechnianie informacji na temat ofiar w internecie w złej wierze (doxxing) oraz wykorzystywanie seksualne na podstawie wizerunku należą do najczęstszych rodzajów cyberprzemocy ze względu na płeć; mając na uwadze, że niektóre państwa członkowskie przyjęły szczegółowe przepisy dotyczące tylko niektórych z powyższych szczególnych form przemocy;</w:t>
      </w:r>
    </w:p>
    <w:p w14:paraId="78B691CB" w14:textId="77777777" w:rsidR="00CD1B43" w:rsidRPr="00BD10EF" w:rsidRDefault="00CD1B43" w:rsidP="00CD1B43">
      <w:pPr>
        <w:pStyle w:val="NormalHanging12a"/>
      </w:pPr>
      <w:r>
        <w:t>E.</w:t>
      </w:r>
      <w:r>
        <w:tab/>
        <w:t>mając na uwadze, że choć rośnie świadomość zjawiska cyberprzemocy ze względu na płeć, dokładną ocenę skali jej występowania uniemożliwia brak pełnego i aktualnego zbioru danych oraz niski poziom zgłaszania przypadków cyberprzemocy ze względu na płeć; mając na uwadze, że w ocenie europejskiej wartości dodanej dotyczącej cyberprzemocy ze względu na płeć szacuje się, że od 4 do 7 % kobiet w Unii doświadczyło cybernękania w ciągu ostatnich 12 miesięcy, a od 1 do 3 % padło ofiarą cyberstalkingu;</w:t>
      </w:r>
    </w:p>
    <w:p w14:paraId="0F0408C4" w14:textId="77777777" w:rsidR="00CD1B43" w:rsidRPr="00BD10EF" w:rsidRDefault="00CD1B43" w:rsidP="00CD1B43">
      <w:pPr>
        <w:pStyle w:val="NormalHanging12a"/>
      </w:pPr>
      <w:r>
        <w:t>F.</w:t>
      </w:r>
      <w:r>
        <w:tab/>
        <w:t>mając na uwadze, że kobiety mogą być celem cyberprzemocy zarówno indywidualnie, jak i ze względu na przynależność do określonej społeczności; mając na uwadze, że krzyżujące się formy dyskryminacji mogą zaostrzyć skutki cyberprzemocy ze względu na płeć;</w:t>
      </w:r>
    </w:p>
    <w:p w14:paraId="28D10FF6" w14:textId="77777777" w:rsidR="00CD1B43" w:rsidRPr="00BD10EF" w:rsidRDefault="00CD1B43" w:rsidP="00CD1B43">
      <w:pPr>
        <w:pStyle w:val="NormalHanging12a"/>
      </w:pPr>
      <w:r>
        <w:t>G.</w:t>
      </w:r>
      <w:r>
        <w:tab/>
        <w:t>mając na uwadze, że niektóre kobiety, takie jak polityczki, kobiety zajmujące stanowiska publiczne, dziennikarki, blogerki i obrończynie praw człowieka, są szczególnie narażone na cyberprzemoc ze względu na płeć, a także mając na uwadze, że powoduje ona nie tylko uraz psychiczny i cierpienie, ale również zniechęca kobiety do cyfrowego uczestnictwa w życiu politycznym, społecznym i kulturalnym;</w:t>
      </w:r>
    </w:p>
    <w:p w14:paraId="404270CF" w14:textId="34C16D7D" w:rsidR="009E6E1A" w:rsidRPr="00CD1B43" w:rsidRDefault="00CD1B43" w:rsidP="00CD1B43">
      <w:pPr>
        <w:pStyle w:val="NormalHanging12a"/>
      </w:pPr>
      <w:r>
        <w:t>H.</w:t>
      </w:r>
      <w:r>
        <w:tab/>
        <w:t>mając na uwadze, że cyberprzemoc ze względu na płeć wpływa na zdrowie psychiczne, pełne korzystanie z praw podstawowych, a nawet na demokrację, a także niesie ze sobą konsekwencje dla społeczeństwa, w tym skutki gospodarcze;</w:t>
      </w:r>
    </w:p>
    <w:p w14:paraId="1AFE350D" w14:textId="77777777" w:rsidR="00CD1B43" w:rsidRPr="00BD10EF" w:rsidRDefault="009E6E1A" w:rsidP="00CD1B43">
      <w:pPr>
        <w:pStyle w:val="NormalHanging12a"/>
      </w:pPr>
      <w:r>
        <w:t>1.</w:t>
      </w:r>
      <w:r>
        <w:tab/>
        <w:t>podkreśla, że cyberprzemoc ze względu na płeć stanowi kontynuację przemocy ze względu na płeć, do której dochodzi poza internetem, oraz że żaden wariant polityki nie będzie skuteczny, jeżeli nie uwzględni tego faktu;</w:t>
      </w:r>
    </w:p>
    <w:p w14:paraId="2545E733" w14:textId="77777777" w:rsidR="00CD1B43" w:rsidRPr="00BD10EF" w:rsidRDefault="00CD1B43" w:rsidP="00CD1B43">
      <w:pPr>
        <w:pStyle w:val="NormalHanging12a"/>
      </w:pPr>
      <w:r>
        <w:t>2.</w:t>
      </w:r>
      <w:r>
        <w:tab/>
        <w:t>z zadowoleniem przyjmuje unijną strategię na rzecz równouprawnienia płci na lata 2020–2025 przedstawioną przez Komisję jako narzędzie walki z przemocą wobec kobiet i przemocą ze względu na płeć oraz eliminowania jej głównych przyczyn;</w:t>
      </w:r>
    </w:p>
    <w:p w14:paraId="05C36134" w14:textId="77777777" w:rsidR="00CD1B43" w:rsidRPr="00BD10EF" w:rsidRDefault="00CD1B43" w:rsidP="00CD1B43">
      <w:pPr>
        <w:pStyle w:val="NormalHanging12a"/>
      </w:pPr>
      <w:r>
        <w:t>3.</w:t>
      </w:r>
      <w:r>
        <w:tab/>
        <w:t>zwraca szczególną uwagę na fakt, że pandemia COVID-19 doprowadziła do wzrostu ryzyka wystąpienia przemocy domowej i znęcania się, ponieważ ofiary są zmuszone spędzać więcej czasu ze sprawcami przemocy i są częściej oderwane od sieci wsparcia; apeluje do państw członkowskich, aby rozszerzyły zakres pomocy oferowanej przez schroniska, telefony zaufania i służby udzielające wsparcia, co pozwoli chronić ofiary i ułatwi zgłaszanie przypadków przemocy ze względu na płeć;</w:t>
      </w:r>
    </w:p>
    <w:p w14:paraId="3374BAEB" w14:textId="77777777" w:rsidR="00CD1B43" w:rsidRPr="00BD10EF" w:rsidRDefault="00CD1B43" w:rsidP="00CD1B43">
      <w:pPr>
        <w:pStyle w:val="NormalHanging12a"/>
      </w:pPr>
      <w:r>
        <w:t>4.</w:t>
      </w:r>
      <w:r>
        <w:tab/>
        <w:t>wskazuje na ponadnarodowy charakter cyberprzemocy ze względu na płeć, biorąc pod uwagę transgraniczny wymiar stosowania ICT;</w:t>
      </w:r>
    </w:p>
    <w:p w14:paraId="20339799" w14:textId="77777777" w:rsidR="00CD1B43" w:rsidRPr="00BD10EF" w:rsidRDefault="00CD1B43" w:rsidP="00CD1B43">
      <w:pPr>
        <w:pStyle w:val="NormalHanging12a"/>
      </w:pPr>
      <w:r>
        <w:t>5.</w:t>
      </w:r>
      <w:r>
        <w:tab/>
        <w:t>wzywa państwa członkowskie, aby dążyły do podnoszenia świadomości, wdrażania krajowych przepisów z zakresu prawa karnego oraz szczegółowych strategii politycznych i programów, których celem jest przeciwdziałanie cyberprzemocy ze względu na płeć oraz walka z bezkarnością osób, które dopuszczają się takich czynów;</w:t>
      </w:r>
    </w:p>
    <w:p w14:paraId="764B9455" w14:textId="77777777" w:rsidR="00CD1B43" w:rsidRPr="00BD10EF" w:rsidRDefault="00CD1B43" w:rsidP="00CD1B43">
      <w:pPr>
        <w:pStyle w:val="NormalHanging12a"/>
      </w:pPr>
      <w:r>
        <w:t>6.</w:t>
      </w:r>
      <w:r>
        <w:tab/>
        <w:t>wzywa Komisję i państwa członkowskie, aby ustanowiły rzetelny system stałego gromadzenia zdezagregowanych i porównywalnych danych statystycznych dotyczących przemocy ze względu na płeć, w tym cyberprzemocy;</w:t>
      </w:r>
    </w:p>
    <w:p w14:paraId="4C867338" w14:textId="77777777" w:rsidR="00CD1B43" w:rsidRPr="00BD10EF" w:rsidRDefault="00CD1B43" w:rsidP="00CD1B43">
      <w:pPr>
        <w:pStyle w:val="NormalHanging12a"/>
      </w:pPr>
      <w:r>
        <w:t>7.</w:t>
      </w:r>
      <w:r>
        <w:tab/>
        <w:t>zauważa, że między innymi stres, problemy z koncentracją, lęki, ataki paniki, niska samoocena, depresja, zespół stresu pourazowego, brak zaufania i brak poczucia kontroli, spowodowane cyberprzemocą, mogą mieć wpływ na zdrowie psychiczne;</w:t>
      </w:r>
    </w:p>
    <w:p w14:paraId="5CFF0C60" w14:textId="77777777" w:rsidR="00CD1B43" w:rsidRPr="00BD10EF" w:rsidRDefault="00CD1B43" w:rsidP="00CD1B43">
      <w:pPr>
        <w:pStyle w:val="NormalHanging12a"/>
      </w:pPr>
      <w:r>
        <w:t>8.</w:t>
      </w:r>
      <w:r>
        <w:tab/>
        <w:t>podkreśla, że cyberprzemoc ze względu na płeć wywołuje konsekwencje psychiczne, społeczne i gospodarcze;</w:t>
      </w:r>
    </w:p>
    <w:p w14:paraId="3F8AA155" w14:textId="77777777" w:rsidR="00CD1B43" w:rsidRPr="00BD10EF" w:rsidRDefault="00CD1B43" w:rsidP="00CD1B43">
      <w:pPr>
        <w:pStyle w:val="NormalHanging12a"/>
      </w:pPr>
      <w:r>
        <w:t>9.</w:t>
      </w:r>
      <w:r>
        <w:tab/>
        <w:t>apeluje do państw członkowskich, aby zwróciły szczególną uwagę na kobiety należące do grup znajdujących się w trudnej sytuacji w związku z cyberprzemocą ze względu na płeć oraz aby utworzyły specjalne służby wsparcia i programy edukacyjne przeznaczone dla tych konkretnych grup;</w:t>
      </w:r>
    </w:p>
    <w:p w14:paraId="445C0748" w14:textId="77777777" w:rsidR="00CD1B43" w:rsidRPr="00BD10EF" w:rsidRDefault="00CD1B43" w:rsidP="00CD1B43">
      <w:pPr>
        <w:pStyle w:val="NormalHanging12a"/>
      </w:pPr>
      <w:r>
        <w:t>10.</w:t>
      </w:r>
      <w:r>
        <w:tab/>
        <w:t>ubolewa nad faktem, że cyberprzemoc ze względu na płeć ogranicza udział kobiet w debacie publicznej, a w rezultacie osłabia demokratyczne zasady Unii; wyraża ubolewanie, że ten „efekt wyciszenia” jest szczególnie wymierzony w działaczki, dziennikarki i polityczki, aby zniechęcić kobiety do udziału w życiu politycznym i obszarach podejmowania decyzji;</w:t>
      </w:r>
    </w:p>
    <w:p w14:paraId="199020FD" w14:textId="77777777" w:rsidR="00CD1B43" w:rsidRPr="00BD10EF" w:rsidRDefault="00CD1B43" w:rsidP="00CD1B43">
      <w:pPr>
        <w:pStyle w:val="NormalHanging12a"/>
      </w:pPr>
      <w:r>
        <w:t>11.</w:t>
      </w:r>
      <w:r>
        <w:tab/>
        <w:t>przypomina, że stereotypy płci leżą u podstaw dyskryminacji ze względu na płeć i są jedną z głównych przeszkód utrudniających kobietom i dziewczętom wejście w obszar ICT i technologii cyfrowych; podkreśla potrzebę rozwiązania problemu różnic w traktowaniu kobiet i mężczyzn w sektorze ICT poprzez kształcenie, kampanie podnoszące świadomość i wspieranie obecności kobiet w tym sektorze;</w:t>
      </w:r>
    </w:p>
    <w:p w14:paraId="494E367E" w14:textId="77777777" w:rsidR="00CD1B43" w:rsidRPr="00BD10EF" w:rsidRDefault="00CD1B43" w:rsidP="00CD1B43">
      <w:pPr>
        <w:pStyle w:val="NormalHanging12a"/>
      </w:pPr>
      <w:r>
        <w:t>12.</w:t>
      </w:r>
      <w:r>
        <w:tab/>
        <w:t>podkreśla potrzebę ochrony i wsparcia ofiar cyberprzemocy ze względu na płeć oraz zapewnienia im zadośćuczynienia;</w:t>
      </w:r>
    </w:p>
    <w:p w14:paraId="588D5C89" w14:textId="77777777" w:rsidR="00CD1B43" w:rsidRPr="00BD10EF" w:rsidRDefault="00CD1B43" w:rsidP="00CD1B43">
      <w:pPr>
        <w:pStyle w:val="NormalHanging12a"/>
      </w:pPr>
      <w:r>
        <w:t>13.</w:t>
      </w:r>
      <w:r>
        <w:tab/>
        <w:t>przypomina, że Rada ma niezwłocznie doprowadzić do zakończenia procesu ratyfikacji przez Unię Konwencji Rady Europy o zapobieganiu i zwalczaniu przemocy wobec kobiet i przemocy domowej („konwencji stambulskiej”) na podstawie powszechnego przystąpienia bez żadnych zastrzeżeń oraz opowiedzieć się za jej ratyfikacją, szybkim i właściwym wdrożeniem oraz egzekwowaniem przez wszystkie państwa członkowskie; podkreśla, że konwencja stambulska jest najbardziej kompleksowym traktatem międzynarodowym poświęconym podstawowym przyczynom przemocy ze względu na płeć we wszystkich jej formach; zaznacza, że wezwanie to nie umniejsza znaczenia apelu o przyjęcie aktu prawnego Unii w sprawie zwalczania przemocy ze względu na płeć, lecz raczej go uzupełnia;</w:t>
      </w:r>
    </w:p>
    <w:p w14:paraId="4223C8AA" w14:textId="77777777" w:rsidR="00CD1B43" w:rsidRPr="00BD10EF" w:rsidRDefault="00CD1B43" w:rsidP="00CD1B43">
      <w:pPr>
        <w:pStyle w:val="NormalHanging12a"/>
      </w:pPr>
      <w:r>
        <w:t>14.</w:t>
      </w:r>
      <w:r>
        <w:tab/>
        <w:t>potwierdza z całą mocą swoje wcześniejsze zaangażowanie w walkę z przemocą ze względu na płeć oraz potrzebę przyjęcia kompleksowej dyrektywy, która obejmie wszystkie formy przemocy i będzie najlepszym instrumentem jej zwalczania;</w:t>
      </w:r>
    </w:p>
    <w:p w14:paraId="71D5F3E0" w14:textId="77777777" w:rsidR="00CD1B43" w:rsidRPr="00BD10EF" w:rsidRDefault="00CD1B43" w:rsidP="00CD1B43">
      <w:pPr>
        <w:pStyle w:val="NormalHanging12a"/>
      </w:pPr>
      <w:r>
        <w:t>15.</w:t>
      </w:r>
      <w:r>
        <w:tab/>
        <w:t>zwraca się do Rady, aby uruchomiła klauzulę pomostową poprzez przyjęcie decyzji uznającej przemoc ze względu na płeć za dziedzinę szczególnie poważnej przestępczości o wymiarze transgranicznym zgodnie z art. 83 ust. 1 akapit trzeci Traktatu o funkcjonowaniu Unii Europejskiej (TFUE);</w:t>
      </w:r>
    </w:p>
    <w:p w14:paraId="37F9DB93" w14:textId="77777777" w:rsidR="00CD1B43" w:rsidRPr="00BD10EF" w:rsidRDefault="00CD1B43" w:rsidP="00CD1B43">
      <w:pPr>
        <w:pStyle w:val="NormalHanging12a"/>
      </w:pPr>
      <w:r>
        <w:t>16.</w:t>
      </w:r>
      <w:r>
        <w:tab/>
        <w:t>wzywa Komisję, aby bez zbędnej zwłoki przedstawiła, na podstawie art. 83 ust. 1 akapit pierwszy TFUE, wniosek w sprawie aktu ustanawiającego środki zwalczania cyberprzemocy ze względu na płeć, zgodnie z zaleceniami określonymi w załączniku do niniejszego dokumentu; zaznacza, że wniosek ten nie powinien ograniczać starań na rzecz uznania przemocy ze względu na płeć za nową dziedzinę szczególnie poważnej przestępczości o wymiarze transgranicznym zgodnie z art. 83 ust. 1 akapit trzeci TFUE ani żadnych powiązanych aktów prawnych dotyczących przemocy ze względu na płeć, o co Parlament zwracał się w swoich poprzednich wezwaniach;</w:t>
      </w:r>
    </w:p>
    <w:p w14:paraId="07697258" w14:textId="07CF3BD4" w:rsidR="00862794" w:rsidRDefault="00CD1B43" w:rsidP="00CD1B43">
      <w:pPr>
        <w:pStyle w:val="NormalHanging12a"/>
      </w:pPr>
      <w:r>
        <w:t>17.</w:t>
      </w:r>
      <w:r>
        <w:tab/>
        <w:t>zobowiązuje swojego przewodniczącego do przekazania niniejszej rezolucji oraz zaleceń zawartych w załączniku Komisji i Radzie.</w:t>
      </w:r>
    </w:p>
    <w:p w14:paraId="3436E013" w14:textId="77777777" w:rsidR="00862794" w:rsidRDefault="00862794">
      <w:pPr>
        <w:widowControl/>
      </w:pPr>
      <w:r>
        <w:br w:type="page"/>
      </w:r>
    </w:p>
    <w:p w14:paraId="6A7AE9A4" w14:textId="7C7041AD" w:rsidR="00007EDE" w:rsidRPr="000D2AE4" w:rsidRDefault="000D2AE4" w:rsidP="007255C3">
      <w:pPr>
        <w:pStyle w:val="PageHeading"/>
      </w:pPr>
      <w:bookmarkStart w:id="1" w:name="_Toc73712665"/>
      <w:r>
        <w:t>ZAŁĄCZNI</w:t>
      </w:r>
      <w:bookmarkStart w:id="2" w:name="_GoBack"/>
      <w:bookmarkEnd w:id="2"/>
      <w:r>
        <w:t>K DO PROJEKTU REZOLUCJI</w:t>
      </w:r>
      <w:r>
        <w:cr/>
      </w:r>
      <w:r>
        <w:br/>
        <w:t>ZALECENIA DLA KOMISJI DOTYCZĄCE TREŚCI POSTULOWANEGO WNIOSKU W SPRAWIE ZWALCZANIA PRZEMOCY ZE WZGLĘDU NA PŁEĆ: CYBERPRZEMOC</w:t>
      </w:r>
      <w:bookmarkEnd w:id="1"/>
    </w:p>
    <w:p w14:paraId="7963BDA8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1 dotyczące celu dyrektywy, która ma zostać przyjęta</w:t>
      </w:r>
    </w:p>
    <w:p w14:paraId="026FCA53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15B18209" w14:textId="77777777" w:rsidR="00CD1B43" w:rsidRPr="00BD10EF" w:rsidRDefault="00CD1B43" w:rsidP="00CD1B43">
      <w:pPr>
        <w:pStyle w:val="Tre"/>
        <w:jc w:val="left"/>
      </w:pPr>
      <w:r>
        <w:t>Celem dyrektywy powinno być ustanowienie minimalnych zasad dotyczących definicji przestępstwa cyberprzemocy ze względu na płeć i związanych z nim sankcji oraz ustanowienie środków promowania i wspierania działań państw członkowskich w dziedzinie zapobiegania tego rodzaju przestępczości oraz środków ochrony i wsparcia ofiar oraz zapewnienia im zadośćuczynienia.</w:t>
      </w:r>
    </w:p>
    <w:p w14:paraId="55D6495E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18C9918A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2 dotyczące zakresu stosowania i definicji</w:t>
      </w:r>
    </w:p>
    <w:p w14:paraId="07E10E50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5FEEC8DC" w14:textId="77777777" w:rsidR="00CD1B43" w:rsidRPr="00BD10EF" w:rsidRDefault="00CD1B43" w:rsidP="00CD1B43">
      <w:pPr>
        <w:pStyle w:val="Tre"/>
        <w:jc w:val="left"/>
        <w:rPr>
          <w:b/>
          <w:bCs/>
        </w:rPr>
      </w:pPr>
      <w:r>
        <w:rPr>
          <w:b/>
          <w:bCs/>
        </w:rPr>
        <w:t xml:space="preserve">– Jakie przestępstwa? </w:t>
      </w:r>
    </w:p>
    <w:p w14:paraId="669C89CB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1E5F23D7" w14:textId="77777777" w:rsidR="00CD1B43" w:rsidRPr="00BD10EF" w:rsidRDefault="00CD1B43" w:rsidP="00CD1B43">
      <w:pPr>
        <w:pStyle w:val="Tre"/>
        <w:jc w:val="left"/>
      </w:pPr>
      <w:r>
        <w:t>Włączenie terminu „przestępczość komputerowa” do art. 83 ust. 1 TFUE może również obejmować przestępstwa popełnione przeciwko sieciom łączności elektronicznej lub systemom informatycznym lub przy ich użyciu, a poważne formy przemocy ze względu na płeć występujące w internecie i mające wymiar transgraniczny mogą wchodzić w zakres „przestępczości komputerowej” w rozumieniu art. 83 ust. 1 TFUE.</w:t>
      </w:r>
    </w:p>
    <w:p w14:paraId="42EEA295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57DFFFCD" w14:textId="77777777" w:rsidR="00CD1B43" w:rsidRPr="00BD10EF" w:rsidRDefault="00CD1B43" w:rsidP="00CD1B43">
      <w:pPr>
        <w:pStyle w:val="Tre"/>
        <w:jc w:val="left"/>
      </w:pPr>
      <w:r>
        <w:t xml:space="preserve">Niezależnie od tego na podstawie art. 83 ust. 1 TFUE można byłoby ustanowić środki, których celem jest zapobieganie cyberprzemocy ze względu na płeć i udzielanie pomocy ofiarom, jako że są one pomocnicze w stosunku do głównego celu dyrektywy.  </w:t>
      </w:r>
    </w:p>
    <w:p w14:paraId="476534DD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10A9D083" w14:textId="77777777" w:rsidR="00CD1B43" w:rsidRPr="00BD10EF" w:rsidRDefault="00CD1B43" w:rsidP="00CD1B43">
      <w:pPr>
        <w:pStyle w:val="Tre"/>
        <w:jc w:val="left"/>
      </w:pPr>
      <w:r>
        <w:t xml:space="preserve">Zakres stosowania powinien obejmować wszelkie formy przemocy ze względu na płeć, której się dopuszczono, w którą się zaangażowano lub która się nasila, częściowo lub na pełną skalę, przy użyciu ICT, takich jak telefony komórkowe i smartfony, internet, platformy mediów społecznościowych lub poczta elektroniczna, wobec kobiety ze względu na jej płeć, lub która dotyka kobiet w stopniu nieproporcjonalnym. </w:t>
      </w:r>
    </w:p>
    <w:p w14:paraId="5DB0FD57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69F3E4F2" w14:textId="77777777" w:rsidR="00CD1B43" w:rsidRPr="00BD10EF" w:rsidRDefault="00CD1B43" w:rsidP="00CD1B43">
      <w:pPr>
        <w:pStyle w:val="Tre"/>
        <w:jc w:val="left"/>
      </w:pPr>
      <w:r>
        <w:t xml:space="preserve">Choć zaprezentowanie wyczerpującej klasyfikacji różnych form cyberprzemocy ze względu na płeć nie jest możliwe, ponieważ zjawisko to stale się rozwija i pojawiają się nowe jego postaci, należy wymienić i zdefiniować następujące rodzaje: </w:t>
      </w:r>
    </w:p>
    <w:p w14:paraId="4CA2F8CC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232F7EA1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 xml:space="preserve">cybernękanie </w:t>
      </w:r>
      <w:r>
        <w:t>(w tym: agresja elektroniczna, otrzymywanie niechcianych materiałów o charakterze seksualnym, nękanie psychiczne);</w:t>
      </w:r>
    </w:p>
    <w:p w14:paraId="7019BC21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cyberstalking</w:t>
      </w:r>
      <w:r>
        <w:t>;</w:t>
      </w:r>
    </w:p>
    <w:p w14:paraId="26532F6E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naruszenia prywatności związane z ICT</w:t>
      </w:r>
      <w:r>
        <w:t xml:space="preserve"> (w tym dostęp do prywatnych danych lub obrazów, z uwzględnieniem danych intymnych, udostępnianie ich i manipulacja nimi bez zgody, wykorzystywanie seksualne na podstawie zdjęć oraz ujawnianie zdjęć o treściach seksualnych bez zgody, rozpowszechnianie informacji na temat ofiar w internecie w złej wierze, kradzież tożsamości);</w:t>
      </w:r>
    </w:p>
    <w:p w14:paraId="604F6919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zdalna kontrola lub nadzór</w:t>
      </w:r>
      <w:r>
        <w:t xml:space="preserve"> (między innymi za pomocą aplikacji szpiegowskich na urządzeniach mobilnych);</w:t>
      </w:r>
    </w:p>
    <w:p w14:paraId="617FD1A0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groźby</w:t>
      </w:r>
      <w:r>
        <w:t xml:space="preserve"> (w tym groźby bezpośrednie i groźby użycia przemocy, wymuszenia, szantaż przy użyciu treści pornograficznych, szantaż);</w:t>
      </w:r>
    </w:p>
    <w:p w14:paraId="7F99D664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 xml:space="preserve">seksistowska mowa nienawiści </w:t>
      </w:r>
      <w:r>
        <w:t>(w tym: zamieszczanie i udostępnianie treści zawierających przemoc, komentarze lub obelgi o charakterze seksistowskim lub dyskryminującym ze względu na płeć, znęcanie się nad kobietami za wyrażanie własnych poglądów i za odrzucanie propozycji seksualnych);</w:t>
      </w:r>
    </w:p>
    <w:p w14:paraId="4BC2B06A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samobójstwa lub wywoływanie anoreksji oraz zachowań powodujących urazy psychiczne</w:t>
      </w:r>
      <w:r>
        <w:t>;</w:t>
      </w:r>
    </w:p>
    <w:p w14:paraId="06F6B68A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niszczenie przy użyciu komputera</w:t>
      </w:r>
      <w:r>
        <w:t xml:space="preserve"> plików, programów, urządzeń, ataki na strony internetowe i inne cyfrowe kanały komunikacji;</w:t>
      </w:r>
    </w:p>
    <w:p w14:paraId="41C5926A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bezprawny dostęp</w:t>
      </w:r>
      <w:r>
        <w:t xml:space="preserve"> do telefonów komórkowych, poczty elektronicznej, wiadomości w komunikatorach internetowych lub kont w mediach społecznościowych;</w:t>
      </w:r>
    </w:p>
    <w:p w14:paraId="538ED4E2" w14:textId="77777777" w:rsidR="00CD1B43" w:rsidRPr="00BD10EF" w:rsidRDefault="00CD1B43" w:rsidP="00CD1B43">
      <w:pPr>
        <w:ind w:left="36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naruszanie zakazów komunikowania się</w:t>
      </w:r>
      <w:r>
        <w:t xml:space="preserve"> nałożonych w drodze nakazów sądowych;</w:t>
      </w:r>
    </w:p>
    <w:p w14:paraId="2989BCEB" w14:textId="77777777" w:rsidR="00CD1B43" w:rsidRPr="00BD10EF" w:rsidRDefault="00CD1B43" w:rsidP="00CD1B43">
      <w:pPr>
        <w:ind w:left="360" w:hanging="360"/>
        <w:rPr>
          <w:b/>
          <w:bCs/>
        </w:rPr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bezpośrednia przemoc.</w:t>
      </w:r>
    </w:p>
    <w:p w14:paraId="24213C8B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2A1C6AAD" w14:textId="77777777" w:rsidR="00CD1B43" w:rsidRPr="00BD10EF" w:rsidRDefault="00CD1B43" w:rsidP="00CD1B43">
      <w:pPr>
        <w:pStyle w:val="Tre"/>
        <w:jc w:val="left"/>
        <w:rPr>
          <w:b/>
          <w:bCs/>
        </w:rPr>
      </w:pPr>
      <w:r>
        <w:rPr>
          <w:b/>
          <w:bCs/>
        </w:rPr>
        <w:t xml:space="preserve">– Kto jest ofiarą?  </w:t>
      </w:r>
    </w:p>
    <w:p w14:paraId="1F3541F2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592FA53F" w14:textId="77777777" w:rsidR="00CD1B43" w:rsidRPr="00BD10EF" w:rsidRDefault="00CD1B43" w:rsidP="00CD1B43">
      <w:pPr>
        <w:pStyle w:val="ListParagraph"/>
        <w:jc w:val="left"/>
      </w:pPr>
      <w:r>
        <w:t>Zakres podmiotowy wniosku powinien obejmować wszystkie ofiary cyberprzemocy ze względu na płeć, ze szczególnym uwzględnieniem krzyżowych form dyskryminacji oraz ofiar uczestniczących w życiu publicznym.</w:t>
      </w:r>
    </w:p>
    <w:p w14:paraId="13E354E8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133CF4CB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3 dotyczące środków zapobiegawczych</w:t>
      </w:r>
    </w:p>
    <w:p w14:paraId="2487BF2D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06BDFA5E" w14:textId="77777777" w:rsidR="00CD1B43" w:rsidRPr="00BD10EF" w:rsidRDefault="00CD1B43" w:rsidP="00CD1B43">
      <w:pPr>
        <w:pStyle w:val="Tre"/>
        <w:jc w:val="left"/>
      </w:pPr>
      <w:r>
        <w:t xml:space="preserve">Państwa członkowskie powinny wdrożyć szereg środków w celu zapobiegania cyberprzemocy ze względu na płeć: </w:t>
      </w:r>
    </w:p>
    <w:p w14:paraId="413A9388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7F3AA8C3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programy podnoszące świadomość i kształcące z udziałem odpowiednich podmiotów i zainteresowanych stron, aby zająć się głównymi przyczynami cyberprzemocy ze względu na płeć w ogólnym kontekście przemocy ze względu na płeć, co ma doprowadzić do zmiany postaw społecznych i kulturowych oraz wyeliminować stereotypy płci, a jednocześnie promować odpowiedzialne zachowanie w mediach społecznościowych i zwiększać wiedzę na temat bezpiecznego korzystania z internetu;</w:t>
      </w:r>
    </w:p>
    <w:p w14:paraId="08693150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badania nad cyberprzemocą ze względu na płeć (przyczyny, rozpowszechnienie, skutki);</w:t>
      </w:r>
    </w:p>
    <w:p w14:paraId="46956FE7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edukacja cyfrowa, umiejętności i kompetencje cyfrowe, obejmujące programy szkolne, aby zapewnić lepsze zrozumienie technologii cyfrowych i wzmocnić pozycję użytkowników, poprawić włączenie cyfrowe, zapewnić poszanowanie praw podstawowych, wyeliminować wszelkie nierówności płci w dostępie do technologii oraz zapewnić różnorodność płci w sektorze technologii, zwłaszcza w zakresie rozwoju nowych technologii;</w:t>
      </w:r>
    </w:p>
    <w:p w14:paraId="6DF2C057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rozwijanie współpracy między państwami członkowskimi w celu wymiany informacji, wiedzy fachowej i najlepszych praktyk, w szczególności za pośrednictwem Europejskiej Sieci Zapobiegania Przestępczości (ESZP);</w:t>
      </w:r>
    </w:p>
    <w:p w14:paraId="14C9B821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wspieranie organizacji społeczeństwa obywatelskiego działających w dziedzinie zapobiegania przemocy ze względu na płeć,</w:t>
      </w:r>
    </w:p>
    <w:p w14:paraId="19A97A78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promowanie ukierunkowanych szkoleń dla praktyków i innych specjalistów, między innymi w sektorze usług socjalnych i organów ścigania;</w:t>
      </w:r>
    </w:p>
    <w:p w14:paraId="15CC1514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współpraca wielodyscyplinarna z udziałem zainteresowanych stron, w tym spółek z branży technologicznej, dostawców usług hostingowych i właściwych organów, w zakresie najlepszych praktyk służących zwalczaniu przemocy ze względu na płeć zgodnie z prawami podstawowymi.</w:t>
      </w:r>
    </w:p>
    <w:p w14:paraId="51515EAE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39AA1ED0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4 dotyczące ochrony, wsparcia i zadośćuczynienia dla ofiar</w:t>
      </w:r>
    </w:p>
    <w:p w14:paraId="4E6CF717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45500BEA" w14:textId="77777777" w:rsidR="00CD1B43" w:rsidRPr="00BD10EF" w:rsidRDefault="00CD1B43" w:rsidP="00CD1B43">
      <w:pPr>
        <w:pStyle w:val="Tre"/>
        <w:jc w:val="left"/>
      </w:pPr>
      <w:r>
        <w:t>Komisja i państwa członkowskie powinny podjąć następujące działania i we wszystkich nich skupiać się na ofiarach i stosować podejście intersekcjonalne:</w:t>
      </w:r>
    </w:p>
    <w:p w14:paraId="2AE5F2B1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529C2C3E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propagowanie specjalistycznych szkoleń dla praktyków i osób zawodowo zajmujących się ofiarami cyberprzemocy ze względu na płeć, w tym dla organów ścigania, pracowników socjalnych, wychowawców i pracowników służby zdrowia, a także pracowników wymiaru sprawiedliwości; szkolenia na szczeblu całej Unii mogłyby być realizowane w ramach programu „Sprawiedliwość” oraz programu „Obywatele, Równość, Prawa i Wartości”; w szczególności należy położyć nacisk na wtórną wiktymizację i sposoby jej unikania, na podwójny wymiar przemocy ze względu na płeć (online/offline) oraz na dyskryminację krzyżową;</w:t>
      </w:r>
    </w:p>
    <w:p w14:paraId="4C5A2C5A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ułatwianie dostępu do informacji i rozwijanie specjalistycznych usług dla ofiar cyberprzemocy (telefony zaufania, schroniska);</w:t>
      </w:r>
    </w:p>
    <w:p w14:paraId="3A644CC4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ułatwienie składania doniesień przez ofiary, umożliwienie im uzyskania nakazów ochrony oraz opracowanie mechanizmów dochodzenia roszczeń wraz z odpowiednimi środkami kompensacyjnymi;</w:t>
      </w:r>
    </w:p>
    <w:p w14:paraId="34E1CD67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opracowanie mechanizmów współpracy między odpowiednimi podmiotami, takimi jak: organy sądownicze, prokuratorzy, organy ścigania, władze lokalne i regionalne oraz organizacje społeczeństwa obywatelskiego.</w:t>
      </w:r>
    </w:p>
    <w:p w14:paraId="5591A5DC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4F94C0AA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5 dotyczące ścigania karnego i kryminalizacji cyberprzemocy ze względu na płeć</w:t>
      </w:r>
    </w:p>
    <w:p w14:paraId="18B00823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3434DA0B" w14:textId="77777777" w:rsidR="00CD1B43" w:rsidRPr="00BD10EF" w:rsidRDefault="00CD1B43" w:rsidP="00CD1B43">
      <w:pPr>
        <w:pStyle w:val="Tre"/>
        <w:jc w:val="left"/>
      </w:pPr>
      <w:r>
        <w:t xml:space="preserve">Na podstawie definicji, o której mowa w zaleceniu 1, kryminalizacja cyberprzemocy ze względu na płeć powinna uwzględniać następujące kryteria: </w:t>
      </w:r>
    </w:p>
    <w:p w14:paraId="6A9D9BBB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3B6C3691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formy cyberprzemocy ze względu na płeć, które państwa członkowskie powinny uznać za przestępstwa (uwzględniając również wcześniejsze etapy cyberprzestępczości – podżeganie, pomocnictwo i usiłowanie);</w:t>
      </w:r>
    </w:p>
    <w:p w14:paraId="41762627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minimalne i maksymalne wymiary kar (więzienia i grzywny);</w:t>
      </w:r>
    </w:p>
    <w:p w14:paraId="6CA278F6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prowadzenie postępowań przygotowawczych i ściganie przestępstw o zasięgu transgranicznym;</w:t>
      </w:r>
    </w:p>
    <w:p w14:paraId="30076A8E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 xml:space="preserve">okoliczności obciążające, w zależności od profilu kobiet i dziewcząt będących ofiarami (wykorzystywanie szczególnych cech, podatność kobiet i dziewcząt na zagrożenia w sieci); </w:t>
      </w:r>
    </w:p>
    <w:p w14:paraId="278FA6B9" w14:textId="77777777" w:rsidR="00CD1B43" w:rsidRPr="00BD10EF" w:rsidRDefault="00CD1B43" w:rsidP="00CD1B43">
      <w:pPr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podejście skoncentrowane na ofiarach i intersekcjonalne.</w:t>
      </w:r>
    </w:p>
    <w:p w14:paraId="4CFBD894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74B089A4" w14:textId="77777777" w:rsidR="00CD1B43" w:rsidRPr="00BD10EF" w:rsidRDefault="00CD1B43" w:rsidP="00CD1B43">
      <w:pPr>
        <w:pStyle w:val="Tre"/>
        <w:jc w:val="left"/>
        <w:rPr>
          <w:b/>
          <w:bCs/>
          <w:i/>
        </w:rPr>
      </w:pPr>
      <w:r>
        <w:rPr>
          <w:b/>
          <w:bCs/>
          <w:i/>
        </w:rPr>
        <w:t>Zalecenie 6 dotyczące gromadzenia danych i sprawozdawczości</w:t>
      </w:r>
    </w:p>
    <w:p w14:paraId="339D5DA7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371E99EC" w14:textId="77777777" w:rsidR="00CD1B43" w:rsidRPr="00BD10EF" w:rsidRDefault="00CD1B43" w:rsidP="00CD1B43">
      <w:pPr>
        <w:pStyle w:val="Tre"/>
        <w:jc w:val="left"/>
      </w:pPr>
      <w:r>
        <w:t xml:space="preserve">Komisja i państwa członkowskie powinny gromadzić i publikować zdezagregowane i porównywalne dane na temat cyberprzemocy ze względu na płeć, w szczególności na temat różnych form tej przemocy, nie tylko na podstawie sprawozdań organów ścigania, lecz także doświadczeń kobiet. </w:t>
      </w:r>
    </w:p>
    <w:p w14:paraId="2C03CCCD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28D494B0" w14:textId="0CDCFDA4" w:rsidR="00CD1B43" w:rsidRDefault="00CD1B43" w:rsidP="00CD1B43">
      <w:pPr>
        <w:pStyle w:val="Tre"/>
        <w:jc w:val="left"/>
      </w:pPr>
      <w:r>
        <w:t>Komisja powinna regularnie przedkładać Parlamentowi Europejskiemu i Radzie sprawozdanie oceniające, w jakim stopniu państwa członkowskie przedsięwzięły środki na mocy proponowanej dyrektywy.</w:t>
      </w:r>
    </w:p>
    <w:p w14:paraId="14FB28CA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5B5CA96F" w14:textId="77777777" w:rsidR="00CD1B43" w:rsidRDefault="00CD1B43" w:rsidP="006E50B6">
      <w:pPr>
        <w:rPr>
          <w:lang w:val="en-IE"/>
        </w:rPr>
        <w:sectPr w:rsidR="00CD1B43" w:rsidSect="002B2D1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/>
          <w:pgMar w:top="1134" w:right="1418" w:bottom="1418" w:left="1418" w:header="567" w:footer="567" w:gutter="0"/>
          <w:cols w:space="720"/>
          <w:noEndnote/>
        </w:sectPr>
      </w:pPr>
    </w:p>
    <w:p w14:paraId="1D9EE102" w14:textId="77777777" w:rsidR="00CD1B43" w:rsidRPr="00BD10EF" w:rsidRDefault="00CD1B43" w:rsidP="00CD1B43">
      <w:pPr>
        <w:pStyle w:val="PageHeading"/>
      </w:pPr>
      <w:bookmarkStart w:id="3" w:name="_Toc72411409"/>
      <w:bookmarkStart w:id="4" w:name="_Toc72493209"/>
      <w:bookmarkStart w:id="5" w:name="_Toc73712666"/>
      <w:r>
        <w:t>UZASADNIENIE</w:t>
      </w:r>
      <w:bookmarkEnd w:id="3"/>
      <w:bookmarkEnd w:id="4"/>
      <w:bookmarkEnd w:id="5"/>
    </w:p>
    <w:p w14:paraId="732AC5BE" w14:textId="77777777" w:rsidR="00CD1B43" w:rsidRPr="00BD10EF" w:rsidRDefault="00CD1B43" w:rsidP="00CD1B43">
      <w:pPr>
        <w:pStyle w:val="Tre"/>
        <w:rPr>
          <w:b/>
          <w:bCs/>
        </w:rPr>
      </w:pPr>
      <w:r>
        <w:rPr>
          <w:b/>
          <w:bCs/>
        </w:rPr>
        <w:t>Kontekst i uzasadnienie wniosku</w:t>
      </w:r>
    </w:p>
    <w:p w14:paraId="4AF0F6D2" w14:textId="77777777" w:rsidR="00CD1B43" w:rsidRPr="00BD10EF" w:rsidRDefault="00CD1B43" w:rsidP="00CD1B43">
      <w:pPr>
        <w:pStyle w:val="Tre"/>
        <w:rPr>
          <w:lang w:val="en-IE"/>
        </w:rPr>
      </w:pPr>
    </w:p>
    <w:p w14:paraId="1939A63E" w14:textId="77777777" w:rsidR="00CD1B43" w:rsidRPr="00BD10EF" w:rsidRDefault="00CD1B43" w:rsidP="00CD1B43">
      <w:r>
        <w:t xml:space="preserve">Przemoc ze względu na płeć, zarówno w internecie, jak i poza nim jest głęboko zakorzeniona w nierównościach strukturalnych naszego społeczeństwa. W dalszym ciągu pomija się ją milczeniem i stanowi ona jedno z najpoważniejszych naruszeń praw człowieka. Zjawisko to jest szeroko rozpowszechnione i ma ogromny wpływ na ofiary, ich rodziny i społeczności. Sytuację dodatkowo pogarszają stereotypy i uprzedzenia płciowe oraz ciągła obecność uwarunkowanych przeszłością nierównych stosunków władzy. W Konwencji Rady Europy o zapobieganiu i zwalczaniu przemocy wobec kobiet i przemocy domowej (konwencji stambulskiej) uznano ten strukturalny charakter przemocy ze względu na płeć. Oznacza to, że do nasilenia przemocy ze względu na płeć w naszym społeczeństwie przyczynia się nie jeden, lecz wiele czynników – kulturowych, prawnych, ekonomicznych i politycznych. </w:t>
      </w:r>
    </w:p>
    <w:p w14:paraId="53AB44BB" w14:textId="77777777" w:rsidR="00CD1B43" w:rsidRPr="00BD10EF" w:rsidRDefault="00CD1B43" w:rsidP="00CD1B43">
      <w:pPr>
        <w:rPr>
          <w:lang w:val="en-IE"/>
        </w:rPr>
      </w:pPr>
    </w:p>
    <w:p w14:paraId="6C789A37" w14:textId="77777777" w:rsidR="00CD1B43" w:rsidRPr="00BD10EF" w:rsidRDefault="00CD1B43" w:rsidP="00CD1B43">
      <w:r>
        <w:t>W obecnej epoce cyfrowej internet i ICT szybko kształtują nowe społeczne przestrzenie cyfrowe i zmieniają sposób, w jaki jednostki spotykają się, komunikują i współdziałają. Formy przemocy ze względu na płeć w sieci i za pośrednictwem ICT stają się coraz popularniejsze, szczególnie w związku z codziennym i powszechnym wykorzystywaniem platform mediów społecznościowych i innych aplikacji komputerowych. Cyberprzemoc wobec kobiet jest jedną z form przemocy ze względu na płeć. Obejmuje ona cybernękanie, cyberstalking, wykorzystywanie zdjęć bez zgody, seksistowską mowę nienawiści oraz inne zjawiska.</w:t>
      </w:r>
    </w:p>
    <w:p w14:paraId="69C1197A" w14:textId="77777777" w:rsidR="00CD1B43" w:rsidRPr="00BD10EF" w:rsidRDefault="00CD1B43" w:rsidP="00CD1B43">
      <w:pPr>
        <w:rPr>
          <w:lang w:val="en-IE"/>
        </w:rPr>
      </w:pPr>
    </w:p>
    <w:p w14:paraId="2FFB53EF" w14:textId="77777777" w:rsidR="00CD1B43" w:rsidRPr="00BD10EF" w:rsidRDefault="00CD1B43" w:rsidP="00CD1B43">
      <w:r>
        <w:t xml:space="preserve">Cyberprzemoc ze względu na płeć nie jest jednak nową formą przemocy, ale stanowi kontynuację przemocy ze względu na płeć występującej poza internetem. Ma ona głęboki wpływ na podstawowe prawa i wolności jednostek, na ich godność i życie we wszystkich jego aspektach, w tym na zdrowie fizyczne, emocjonalne i psychiczne, dobrostan, a także rozwój społeczny, gospodarczy i zawodowy. Ofiary doświadczają nasilonego lęku, stresu, depresji, traumy, ataków paniki, utraty poczucia własnej wartości oraz poczucia własnej bezsilności wobec przemocy. Niektóre grupy kobiet, w tym: aktywistki i obrończynie praw człowieka, polityczki, dziennikarki, blogerki, przedstawicielki mniejszości etnicznych, lesbijki, biseksualistki i kobiety transpłciowe oraz kobiety z niepełnosprawnościami, są szczególnie narażone na przemoc z wykorzystaniem ICT. Podejście intersekcjonalne ma decydujące znaczenie dla zrozumienia konkretnych form dyskryminacji, które dotykają ofiary cyberprzemocy ze względu na płeć. Rzeczywistość pokazuje również, że głosy i uczestnictwo kobiet jako aktywnych obywatelek świata cyfrowego są często cenzurowane w ramach cyberprzemocy ze względu na płeć, zaś ten efekt mrożący często przekłada się na życie. </w:t>
      </w:r>
    </w:p>
    <w:p w14:paraId="57CFBFE7" w14:textId="77777777" w:rsidR="00CD1B43" w:rsidRPr="00BD10EF" w:rsidRDefault="00CD1B43" w:rsidP="00CD1B43">
      <w:pPr>
        <w:pStyle w:val="Tre"/>
        <w:rPr>
          <w:lang w:val="en-IE"/>
        </w:rPr>
      </w:pPr>
    </w:p>
    <w:p w14:paraId="5801F714" w14:textId="77777777" w:rsidR="00CD1B43" w:rsidRPr="00BD10EF" w:rsidRDefault="00CD1B43" w:rsidP="00CD1B43">
      <w:pPr>
        <w:pStyle w:val="Tre"/>
        <w:jc w:val="left"/>
      </w:pPr>
      <w:r>
        <w:t xml:space="preserve">W kilku swoich rezolucjach Parlament uznał konieczność wyeliminowania przemocy ze względu na płeć i przemocy wobec kobiet oraz wezwał do podjęcia działań prawnych i politycznych w celu przeciwdziałania temu zjawisku. Wyrazem tej troski są następujące inicjatywy Parlamentu: </w:t>
      </w:r>
    </w:p>
    <w:p w14:paraId="5E70A543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12 września 2017 r. w sprawie wniosku dotyczącego decyzji Rady w sprawie zawarcia, w imieniu Unii Europejskiej, Konwencji Rady Europy o zapobieganiu i zwalczaniu przemocy wobec kobiet i przemocy domowej, w której to rezolucji Parlament podkreślił, że należy podjąć środki w celu znalezienia rozwiązania na nowe zjawisko przemocy ze względu na płeć w internecie, w tym nękania, napastowania i zastraszania, w szczególności dotykającego młode kobiety i dziewczęta oraz osoby LGBTI;</w:t>
      </w:r>
    </w:p>
    <w:p w14:paraId="2280E3DE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3 października 2017 r. w sprawie walki z cyberprzestępczością, w której Parlament podkreślił potrzebę wspólnych zharmonizowanych definicji prawnych cyberprzestępczości, w tym niegodziwego traktowania dzieci w celach seksualnych i wykorzystywania seksualnego dzieci w internecie, nękania w internecie i ataków cybernetycznych;</w:t>
      </w:r>
    </w:p>
    <w:p w14:paraId="45B27E09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26 października 2017 r. w sprawie przeciwdziałania molestowaniu i wykorzystywaniu seksualnemu w UE, w której to rezolucji Parlament przypomniał, że należy podjąć zasadnicze działania przeciwko nowo powstającym formom przemocy, np. w cyberprzestrzeni, oraz podkreślił, że nękanie kobiet w cyberprzestrzeni, zwłaszcza w mediach społecznościowych, napędza inne formy przemocy wobec kobiet i dziewcząt;</w:t>
      </w:r>
    </w:p>
    <w:p w14:paraId="6B99F68F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17 kwietnia 2018 r. w sprawie wzmocnienia pozycji kobiet i dziewcząt dzięki sektorowi cyfrowemu, w której Parlament przypomniał, że cyfrowe sposoby komunikacji przyczyniają się do wzrostu liczby przypadków mowy nienawiści i gróźb wobec kobiet oraz że różne formy cyberprzemocy wobec kobiet nadal nie są prawnie usankcjonowane; Parlament wezwał zatem do zwiększenia koordynacji między UE a państwami członkowskimi, aby zwalczać transgraniczne przestępstwa, którym sprzyja technologia, np. handel ludźmi, napastowanie lub uporczywe nękanie w internecie, oraz wezwał państwa członkowskie, aby uwzględniły nowe formy cyberprzemocy w swoich kodeksach karnych;</w:t>
      </w:r>
    </w:p>
    <w:p w14:paraId="0C94BD3F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projekt sprawozdania, który komisja FEMM przyjęła w dniu 26 kwietnia 2018 r. i w którym zaproponowano środki mające na celu zwalczanie nękania i molestowania seksualnego, między innymi w internecie;</w:t>
      </w:r>
    </w:p>
    <w:p w14:paraId="412CBF93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28 listopada 2019 r. w sprawie przystąpienia UE do konwencji stambulskiej i innych środków przeciwdziałania przemocy ze względu na płeć;</w:t>
      </w:r>
    </w:p>
    <w:p w14:paraId="6CBE5240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21 stycznia 2021 r. w sprawie europejskiej strategii na rzecz równouprawnienia płci, w której to rezolucji Parlament z zadowoleniem przyjął środki zaproponowane przez Komisję na rzecz przeciwdziałania cyberprzemocy w nieproporcjonalny sposób ukierunkowanej na kobiety i dziewczęta (łącznie z nękaniem w internecie, agresją elektroniczną i seksistowską mową nienawiści), w szczególności na aktywistki, kobiety zajmujące się polityką i inne osoby publiczne widoczne w dyskursie publicznym. Zaapelował również do państw członkowskich i UE o przyjęcie dalszych środków, w tym wiążących środków ustawodawczych, w celu zwalczania tych form przemocy w ramach dyrektywy w sprawie przeciwdziałania wszelkim formom przemocy wobec kobiet i zwalczania tej przemocy oraz zaapelował o wspieranie państw członkowskich w opracowywaniu narzędzi szkoleniowych dla służb zaangażowanych we wszystkie etapy, od zapobiegania i ochrony po ściganie karne, w tym policji, wymiaru sprawiedliwości i sektora informacyjno-komunikacyjnego, z jednoczesnym zapewnieniem poszanowania praw podstawowych w internecie;</w:t>
      </w:r>
    </w:p>
    <w:p w14:paraId="5C665803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21 stycznia 2021 r. w sprawie zniwelowania przepaści cyfrowej między kobietami a mężczyznami: kobiety w sektorze cyfrowym;</w:t>
      </w:r>
    </w:p>
    <w:p w14:paraId="5D4B412E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rezolucja Parlamentu Europejskiego z dnia 11 lutego 2021 r. w sprawie przyszłych wyzwań w dziedzinie praw kobiet w Europie: po ponad 25 latach od uchwalenia deklaracji pekińskiej i pekińskiej platformy działania, w której to rezolucji Parlament wezwał państwa członkowskie i Komisję do przyjęcia konkretnych środków w celu wyeliminowania cyberprzemocy, w tym nękania w internecie, agresji elektronicznej i mizoginistycznej mowy nienawiści.</w:t>
      </w:r>
    </w:p>
    <w:p w14:paraId="2B10769A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31A2B336" w14:textId="77777777" w:rsidR="00CD1B43" w:rsidRPr="00BD10EF" w:rsidRDefault="00CD1B43" w:rsidP="00CD1B43">
      <w:pPr>
        <w:pStyle w:val="Tre"/>
        <w:jc w:val="left"/>
        <w:rPr>
          <w:b/>
          <w:bCs/>
        </w:rPr>
      </w:pPr>
      <w:r>
        <w:rPr>
          <w:b/>
          <w:bCs/>
        </w:rPr>
        <w:t>Podstawa prawna</w:t>
      </w:r>
    </w:p>
    <w:p w14:paraId="49C1DA1C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2CD9468E" w14:textId="77777777" w:rsidR="00CD1B43" w:rsidRPr="00BD10EF" w:rsidRDefault="00CD1B43" w:rsidP="00CD1B43">
      <w:pPr>
        <w:pStyle w:val="Tre"/>
        <w:jc w:val="left"/>
      </w:pPr>
      <w:r>
        <w:t>Podstawę prawną niniejszej inicjatywy ustawodawczej stanowi art. 83 ust. 1 Traktatu o funkcjonowaniu Unii Europejskiej (TFUE). Termin „przestępczość komputerowa” zawarty w art. 83 ust. 1 TFUE może obejmować przestępstwa popełnione przeciwko sieciom łączności elektronicznej lub systemom informatycznym lub z ich wykorzystaniem. Od czasu wejścia w życie traktatu lizbońskiego nastąpiły zmiany w zakresie stosowanej terminologii i terminy „cyberprzestępczość” i „przestępczość komputerowa” są obecnie stosowane zamiennie. Poważne formy przemocy ze względu na płeć występujące w internecie i mające wymiar transgraniczny mogą wchodzić w zakres „przestępczości komputerowej” w rozumieniu art. 83 ust. 1 TFUE.</w:t>
      </w:r>
    </w:p>
    <w:p w14:paraId="26747C05" w14:textId="77777777" w:rsidR="00CD1B43" w:rsidRPr="00BD10EF" w:rsidRDefault="00CD1B43" w:rsidP="00CD1B43">
      <w:pPr>
        <w:pStyle w:val="Tre"/>
        <w:jc w:val="left"/>
      </w:pPr>
      <w:r>
        <w:t xml:space="preserve">W przypadku tych części niniejszego wniosku, które mają na celu promowanie i wspieranie działań państw członkowskich w dziedzinie zapobiegania przestępczości oraz środków ochrony i wsparcia ofiar oraz zapewnienia im zadośćuczynienia, zastosowanie mógłby mieć również art. 84 TFUE.  Jeżeli jednak przewidziane środki zapobiegawcze zostałyby uznane za uzupełniające w stosunku do kryminalizacji cyberprzemocy, dodanie szczegółowej podstawy prawnej nie byłoby wymagane. </w:t>
      </w:r>
    </w:p>
    <w:p w14:paraId="5DC69BC3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275280C7" w14:textId="77777777" w:rsidR="00CD1B43" w:rsidRPr="00BD10EF" w:rsidRDefault="00CD1B43" w:rsidP="00CD1B43">
      <w:pPr>
        <w:pStyle w:val="Tre"/>
        <w:jc w:val="left"/>
        <w:rPr>
          <w:b/>
          <w:bCs/>
        </w:rPr>
      </w:pPr>
      <w:r>
        <w:rPr>
          <w:b/>
          <w:bCs/>
        </w:rPr>
        <w:t>Wyjaśnienie proponowanych zaleceń</w:t>
      </w:r>
    </w:p>
    <w:p w14:paraId="23230C37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12985D1F" w14:textId="77777777" w:rsidR="00CD1B43" w:rsidRPr="00BD10EF" w:rsidRDefault="00CD1B43" w:rsidP="00CD1B43">
      <w:pPr>
        <w:pStyle w:val="Tre"/>
        <w:jc w:val="left"/>
      </w:pPr>
      <w:r>
        <w:t xml:space="preserve">Zalecenia przedstawione w załączniku do rezolucji obejmują następujące części: cel dyrektywy; zakres stosowania i definicje; środki zapobiegawcze; ochrona ofiar, zapewnienie im wsparcia i zadośćuczynienia; ściganie karne i kryminalizacja cyberprzemocy ze względu na płeć, a także gromadzenie danych i sprawozdawczość. </w:t>
      </w:r>
    </w:p>
    <w:p w14:paraId="7A391825" w14:textId="77777777" w:rsidR="00CD1B43" w:rsidRPr="00BD10EF" w:rsidRDefault="00CD1B43" w:rsidP="00CD1B43">
      <w:pPr>
        <w:pStyle w:val="Tre"/>
        <w:jc w:val="left"/>
      </w:pPr>
      <w:r>
        <w:t xml:space="preserve">Celem dyrektywy jest ustanowienie minimalnych zasad dotyczących definicji przestępstwa cyberprzemocy ze względu na płeć i związanych z nim sankcji oraz ustanowienie środków promowania i wspierania działań państw członkowskich w dziedzinie zapobiegania tego rodzaju przestępczości, jak również środków ochrony i wsparcia ofiar oraz zapewnienia im zadośćuczynienia. Współsprawozdawczynie tej inicjatywy uważają, że w UE brakuje ram prawnych umożliwiających zwalczanie przemocy ze względu na płeć, w szczególności cyberprzemocy ze względu na płeć, oraz zapewniających ochronę i wsparcie ofiarom. </w:t>
      </w:r>
    </w:p>
    <w:p w14:paraId="7B6031E2" w14:textId="77777777" w:rsidR="00CD1B43" w:rsidRPr="00BD10EF" w:rsidRDefault="00CD1B43" w:rsidP="00CD1B43">
      <w:pPr>
        <w:pStyle w:val="Tre"/>
        <w:jc w:val="left"/>
      </w:pPr>
      <w:r>
        <w:t xml:space="preserve">W rezolucji stwierdzono, że istnieje kilka definicji cyberprzemocy ze względu na płeć, ale żadna z nich nie została uzgodniona na szczeblu międzynarodowym. Z tego względu w zaleceniu dotyczącym zakresu stosowania i definicji powierzono Komisji zadanie zaproponowania konkretnej definicji umożliwiającej uwzględnienie wszelkich form przemocy ze względu na płeć, której się dopuszczono, w którą się zaangażowano lub która się nasila, częściowo lub na pełną skalę, przy użyciu ICT, wobec kobiety ze względu na jej płeć, lub która dotyka kobiet w stopniu nieproporcjonalnym. Wniosek taki opiera się na definicji użytej przez specjalną sprawozdawczynię ONZ ds. przemocy wobec kobiet w jej sprawozdaniu z 2018 r. na temat cyberprzemocy. </w:t>
      </w:r>
    </w:p>
    <w:p w14:paraId="3466A16A" w14:textId="77777777" w:rsidR="00CD1B43" w:rsidRPr="00BD10EF" w:rsidRDefault="00CD1B43" w:rsidP="00CD1B43">
      <w:pPr>
        <w:pStyle w:val="Tre"/>
        <w:jc w:val="left"/>
      </w:pPr>
      <w:r>
        <w:t>Proponowane środki zapobiegawcze wiążą się z głównymi przyczynami przemocy ze względu na płeć, w tym cyberprzemocy. Z tego względu koncentrują się one w szczególności na edukacji, budowaniu świadomości, usuwaniu stereotypów płci i promowaniu badań. Środki te wymagają również współpracy wielodyscyplinarnej z udziałem zainteresowanych stron, w tym z dostawcami usług hostingowych i spółkami z branży technologicznej w zakresie najlepszych praktyk, aby zwalczać cyberprzemoc ze względu na płeć zgodnie z prawami podstawowymi.</w:t>
      </w:r>
    </w:p>
    <w:p w14:paraId="604B3227" w14:textId="77777777" w:rsidR="00CD1B43" w:rsidRPr="00BD10EF" w:rsidRDefault="00CD1B43" w:rsidP="00CD1B43">
      <w:pPr>
        <w:pStyle w:val="Tre"/>
        <w:jc w:val="left"/>
      </w:pPr>
      <w:r>
        <w:t xml:space="preserve">Aby zapewnić ochronę i wsparcie ofiarom cyberprzemocy ze względu na płeć, we wniosku określono w pierwszej kolejności kategorie ofiar, które należy wziąć pod uwagę. Celem jest zapewnienie jak najbardziej kompleksowego podejścia, uwzględniającego intersekcjonalność i szczególne potrzeby ofiar. We wniosku przewidziano następnie szereg działań służących wdrożeniu ochrony i wsparcia dla ofiar. Szczególny nacisk kładzie się na konieczność usprawnienia i ułatwienia sprawozdawczości oraz uniknięcia wtórnej wiktymizacji. Kluczowe znaczenie dla osiągnięcia tego celu ma szkolenie przedstawicieli zawodów prawniczych oraz tych, którzy będą mieli kontakt z ofiarami. </w:t>
      </w:r>
    </w:p>
    <w:p w14:paraId="3FCFE96B" w14:textId="77777777" w:rsidR="00CD1B43" w:rsidRPr="00BD10EF" w:rsidRDefault="00CD1B43" w:rsidP="00CD1B43">
      <w:pPr>
        <w:pStyle w:val="Tre"/>
        <w:jc w:val="left"/>
      </w:pPr>
      <w:r>
        <w:t>Działania te należy uzupełnić specjalistycznymi usługami wsparcia, które należy wdrożyć lub rozszerzyć, aby objąć nimi również ofiary cyberprzemocy ze względu na płeć (telefony zaufania, schroniska).</w:t>
      </w:r>
    </w:p>
    <w:p w14:paraId="263A9340" w14:textId="77777777" w:rsidR="00CD1B43" w:rsidRPr="00BD10EF" w:rsidRDefault="00CD1B43" w:rsidP="00CD1B43">
      <w:pPr>
        <w:pStyle w:val="Tre"/>
        <w:jc w:val="left"/>
      </w:pPr>
      <w:r>
        <w:t xml:space="preserve">Kolejny aspekt inicjatywy ustawodawczej odnosi się do prawa karnego i ścigania cyberprzemocy ze względu na płeć. UE musi posiadać zdolność do ustanowienia minimalnych przepisów zapewniających ściganie karne cyberprzemocy ze względu na płeć. W zaleceniu ujętym w załączniku nie wyszczególniono wszystkich możliwych przestępstw i okoliczności obciążających, ponieważ szybki rozwój technologii cyfrowych może być źródłem nowych form cyberprzemocy. Zalecenie dostarcza zatem Komisji zestaw kryteriów służących do definiowania tych przestępstw. </w:t>
      </w:r>
    </w:p>
    <w:p w14:paraId="302FCEE0" w14:textId="77777777" w:rsidR="00CD1B43" w:rsidRPr="00BD10EF" w:rsidRDefault="00CD1B43" w:rsidP="00CD1B43">
      <w:pPr>
        <w:pStyle w:val="Tre"/>
        <w:jc w:val="left"/>
      </w:pPr>
      <w:r>
        <w:t>Współsprawozdawczynie uważają jednak, że przy sporządzaniu listy przestępstw w zakresie cyberprzemocy ze względu na płeć należy wziąć pod uwagę następujące zachowania:</w:t>
      </w:r>
    </w:p>
    <w:p w14:paraId="35202BEF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2E425162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 xml:space="preserve">cybernękanie </w:t>
      </w:r>
      <w:r>
        <w:t>(w tym: agresja elektroniczna, otrzymywanie niechcianych materiałów o charakterze seksualnym, nękanie psychiczne);</w:t>
      </w:r>
    </w:p>
    <w:p w14:paraId="4138E31C" w14:textId="77777777" w:rsidR="00CD1B43" w:rsidRPr="00BD10EF" w:rsidRDefault="00CD1B43" w:rsidP="00CD1B43">
      <w:pPr>
        <w:spacing w:after="160"/>
        <w:ind w:left="720" w:hanging="360"/>
        <w:rPr>
          <w:b/>
          <w:bCs/>
        </w:rPr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cyberstalking;</w:t>
      </w:r>
    </w:p>
    <w:p w14:paraId="3E6D8017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naruszenia prywatności związane z ICT</w:t>
      </w:r>
      <w:r>
        <w:t xml:space="preserve"> (w tym dostęp do prywatnych danych lub obrazów, z uwzględnieniem danych intymnych, udostępnianie ich i manipulacja nimi bez zgody, wykorzystywanie seksualne na podstawie zdjęć oraz ujawnianie zdjęć o treściach seksualnych bez zgody, rozpowszechnianie informacji na temat ofiar w internecie w złej wierze, kradzież tożsamości);</w:t>
      </w:r>
    </w:p>
    <w:p w14:paraId="09D7C0CF" w14:textId="77777777" w:rsidR="00CD1B43" w:rsidRPr="00BD10EF" w:rsidRDefault="00CD1B43" w:rsidP="00CD1B43">
      <w:pPr>
        <w:spacing w:after="160"/>
        <w:ind w:left="720" w:hanging="360"/>
        <w:rPr>
          <w:b/>
          <w:bCs/>
        </w:rPr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zdalna kontrola lub nadzór</w:t>
      </w:r>
      <w:r>
        <w:t xml:space="preserve"> (między innymi za pomocą aplikacji szpiegowskich na urządzeniach mobilnych);</w:t>
      </w:r>
    </w:p>
    <w:p w14:paraId="350C7F7F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groźby</w:t>
      </w:r>
      <w:r>
        <w:t xml:space="preserve"> (w tym groźby bezpośrednie i groźby użycia przemocy, wymuszenia, szantaż przy użyciu treści pornograficznych, szantaż);</w:t>
      </w:r>
    </w:p>
    <w:p w14:paraId="3B83EAC0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 xml:space="preserve">seksistowska mowa nienawiści </w:t>
      </w:r>
      <w:r>
        <w:t>(w tym: zamieszczanie i udostępnianie treści zawierających przemoc, komentarze lub obelgi o charakterze seksistowskim lub dyskryminującym ze względu na płeć, znęcanie się nad kobietami za wyrażanie własnych poglądów i za odrzucanie propozycji seksualnych);</w:t>
      </w:r>
    </w:p>
    <w:p w14:paraId="4ED1A9C1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samobójstwa</w:t>
      </w:r>
      <w:r>
        <w:t xml:space="preserve"> lub wywoływanie anoreksji oraz zachowań powodujących urazy psychiczne;</w:t>
      </w:r>
    </w:p>
    <w:p w14:paraId="5C6A416E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</w:rPr>
        <w:t>niszczenie przy użyciu</w:t>
      </w:r>
      <w:r>
        <w:rPr>
          <w:b/>
          <w:bCs/>
        </w:rPr>
        <w:t xml:space="preserve"> komputera</w:t>
      </w:r>
      <w:r>
        <w:t xml:space="preserve"> plików, programów, urządzeń, ataki na strony internetowe i inne cyfrowe kanały komunikacji;</w:t>
      </w:r>
    </w:p>
    <w:p w14:paraId="735CFD83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bezprawny dostęp</w:t>
      </w:r>
      <w:r>
        <w:t xml:space="preserve"> do telefonów komórkowych, poczty elektronicznej, wiadomości w komunikatorach internetowych lub kont w mediach społecznościowych;</w:t>
      </w:r>
    </w:p>
    <w:p w14:paraId="517681A6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t>naruszanie zakazów komunikowania się przyjętych na mocy uchwały sądowej;</w:t>
      </w:r>
    </w:p>
    <w:p w14:paraId="4A58AF45" w14:textId="77777777" w:rsidR="00CD1B43" w:rsidRPr="00BD10EF" w:rsidRDefault="00CD1B43" w:rsidP="00CD1B43">
      <w:pPr>
        <w:spacing w:after="160"/>
        <w:ind w:left="720" w:hanging="360"/>
      </w:pPr>
      <w:r>
        <w:rPr>
          <w:rFonts w:ascii="Courier New" w:hAnsi="Courier New"/>
          <w:color w:val="000000"/>
          <w:szCs w:val="24"/>
          <w:u w:color="000000"/>
          <w:bdr w:val="nil"/>
        </w:rPr>
        <w:t>-</w:t>
      </w:r>
      <w:r>
        <w:rPr>
          <w:rFonts w:ascii="Courier New" w:hAnsi="Courier New"/>
          <w:color w:val="000000"/>
          <w:szCs w:val="24"/>
          <w:u w:color="000000"/>
          <w:bdr w:val="nil"/>
        </w:rPr>
        <w:tab/>
      </w:r>
      <w:r>
        <w:rPr>
          <w:b/>
          <w:bCs/>
        </w:rPr>
        <w:t>bezpośrednia przemoc</w:t>
      </w:r>
      <w:r>
        <w:t>.</w:t>
      </w:r>
    </w:p>
    <w:p w14:paraId="4748CE78" w14:textId="77777777" w:rsidR="00CD1B43" w:rsidRPr="00BD10EF" w:rsidRDefault="00CD1B43" w:rsidP="00CD1B43">
      <w:pPr>
        <w:pStyle w:val="Tre"/>
        <w:jc w:val="left"/>
      </w:pPr>
      <w:r>
        <w:t>Wreszcie w inicjatywie podkreślono potrzebę przyjęcia jasnej strategii dotyczącej gromadzenia zdezagregowanych i porównywalnych danych oraz sprawozdawczości ze strony zainteresowanych organów. Jeżeli UE chce posiadać odpowiednie ramy do walki z przemocą ze względu na płeć, w tym z cyberprzemocą, lub ogólnie z przemocą wobec kobiet, musi mieć możliwość gromadzenia i publikowania danych dotyczących różnych form cyberprzemocy ze względu na płeć. Wraz z danymi przedstawianymi przez państwa członkowskie Komisja powinna regularnie przedkładać Parlamentowi Europejskiemu i Radzie sprawozdanie dotyczące wdrażania dyrektywy, w tym potencjalnych środków/poprawek mających na celu jej udoskonalenie.</w:t>
      </w:r>
    </w:p>
    <w:p w14:paraId="4F25BAB8" w14:textId="77777777" w:rsidR="00CD1B43" w:rsidRPr="00BD10EF" w:rsidRDefault="00CD1B43" w:rsidP="00CD1B43">
      <w:pPr>
        <w:pStyle w:val="Tre"/>
        <w:jc w:val="left"/>
        <w:rPr>
          <w:b/>
          <w:bCs/>
          <w:lang w:val="en-IE"/>
        </w:rPr>
      </w:pPr>
    </w:p>
    <w:p w14:paraId="7578F89C" w14:textId="77777777" w:rsidR="00CD1B43" w:rsidRPr="00BD10EF" w:rsidRDefault="00CD1B43" w:rsidP="00CD1B43">
      <w:pPr>
        <w:pStyle w:val="Tre"/>
        <w:jc w:val="left"/>
        <w:rPr>
          <w:b/>
          <w:bCs/>
        </w:rPr>
      </w:pPr>
      <w:r>
        <w:rPr>
          <w:b/>
          <w:bCs/>
        </w:rPr>
        <w:t>Wniosek</w:t>
      </w:r>
    </w:p>
    <w:p w14:paraId="3CE67BB9" w14:textId="77777777" w:rsidR="00CD1B43" w:rsidRPr="00BD10EF" w:rsidRDefault="00CD1B43" w:rsidP="00CD1B43">
      <w:pPr>
        <w:pStyle w:val="Tre"/>
        <w:jc w:val="left"/>
        <w:rPr>
          <w:lang w:val="en-IE"/>
        </w:rPr>
      </w:pPr>
    </w:p>
    <w:p w14:paraId="71253634" w14:textId="77777777" w:rsidR="00CD1B43" w:rsidRPr="00CB0D0B" w:rsidRDefault="00CD1B43" w:rsidP="00CD1B43">
      <w:r>
        <w:t>Przemoc ze względu na płeć, w tym cyberprzemoc, wciąż nasila się w związku z różnymi wyzwaniami społecznymi, co ostatnio można było zaobserwować podczas kryzysu związanego z </w:t>
      </w:r>
      <w:r>
        <w:rPr>
          <w:color w:val="000000" w:themeColor="text1"/>
        </w:rPr>
        <w:t>pandemią COVID-19, jednak brakuje woli politycznej, aby nadać jej charakter priorytetowy</w:t>
      </w:r>
      <w:r>
        <w:t>.</w:t>
      </w:r>
      <w:r>
        <w:rPr>
          <w:color w:val="000000" w:themeColor="text1"/>
        </w:rPr>
        <w:t xml:space="preserve"> </w:t>
      </w:r>
      <w:r>
        <w:t xml:space="preserve">Osiągnięcie równości płci oznacza wyeliminowanie wszystkich form przemocy ze względu na płeć oraz pokonanie barier, które uniemożliwiają kobietom pełną realizację ich praw. W państwach członkowskich istnieje wiele różnych podejść do problemu cyberprzemocy ze względu na płeć. Oprócz braku zharmonizowanej definicji i wspólnego podejścia wśród innych problemów na uwagę zasługują: niski poziom zgłaszania przypadków cyberprzemocy, ograniczona świadomość społeczna i świadomość organów ścigania, niedostateczne wsparcie dla ofiar, a także nieliczne badania i ograniczona wiedza na temat tego zjawiska. W związku z tym, aby nadać nowy impuls do eliminowania przemocy ze względu na płeć, zarówno w internecie, jak i poza nim, wymagana jest gotowość do przeanalizowania przyczyn leżących u podstaw przemocy ze względu na płeć, systemów, które ją ułatwiają, oraz czynników, które ją nasilają. Główne źródła wszystkich rodzajów przemocy ze względu na płeć są identyczne i dlatego potrzebne są przepisy i strategie polityczne, które będą się do nich odnosić w sposób holistyczny. </w:t>
      </w:r>
      <w:r>
        <w:rPr>
          <w14:textOutline w14:w="12700" w14:cap="flat" w14:cmpd="sng" w14:algn="ctr">
            <w14:noFill/>
            <w14:prstDash w14:val="solid"/>
            <w14:miter w14:lim="100000"/>
          </w14:textOutline>
        </w:rPr>
        <w:t xml:space="preserve">Konwencja stambulska stanowi jak dotąd najbardziej kompleksowy traktat międzynarodowy tworzący ramy prawne umożliwiające ochronę kobiet i dziewcząt przed wszelkimi formami przemocy oraz przeciwdziałanie przemocy wobec nich, jej ściganie i eliminowanie. Mimo że ratyfikacja konwencji jest nadal zablokowana w Radzie, UE nie powinna zwlekać, ponieważ każdy dzień oczekiwania przynosi nowe ofiary przemocy ze względu na płeć. </w:t>
      </w:r>
      <w:r>
        <w:rPr>
          <w:rStyle w:val="Brak"/>
        </w:rPr>
        <w:t xml:space="preserve">Proponowana inicjatywa ustawodawcza ma na celu przeciwstawienie się temu zjawisku.  Przyjęto w niej podejście holistyczne w celu kryminalizacji określonych zachowań, jak również udzielenia wsparcia i ochrony ich ofiarom. </w:t>
      </w:r>
    </w:p>
    <w:p w14:paraId="3A5FEB62" w14:textId="5A4D1CF4" w:rsidR="00007EDE" w:rsidRPr="00CD1B43" w:rsidRDefault="00007EDE" w:rsidP="006E50B6">
      <w:pPr>
        <w:rPr>
          <w:lang w:val="en-IE"/>
        </w:rPr>
      </w:pPr>
    </w:p>
    <w:sectPr w:rsidR="00007EDE" w:rsidRPr="00CD1B43" w:rsidSect="00243749">
      <w:footnotePr>
        <w:numRestart w:val="eachSect"/>
      </w:footnotePr>
      <w:endnotePr>
        <w:numFmt w:val="decimal"/>
      </w:endnotePr>
      <w:pgSz w:w="11906" w:h="16838"/>
      <w:pgMar w:top="1134" w:right="1418" w:bottom="1418" w:left="1418" w:header="567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DDAFCF" w14:textId="77777777" w:rsidR="000D2AE4" w:rsidRPr="000D2AE4" w:rsidRDefault="000D2AE4">
      <w:r w:rsidRPr="000D2AE4">
        <w:separator/>
      </w:r>
    </w:p>
  </w:endnote>
  <w:endnote w:type="continuationSeparator" w:id="0">
    <w:p w14:paraId="7198CCF2" w14:textId="77777777" w:rsidR="000D2AE4" w:rsidRPr="000D2AE4" w:rsidRDefault="000D2AE4">
      <w:r w:rsidRPr="000D2AE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0000000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20C4F" w14:textId="248DA6E0" w:rsidR="007255C3" w:rsidRPr="00862794" w:rsidRDefault="007255C3" w:rsidP="00195D9E">
    <w:pPr>
      <w:pStyle w:val="EPFooter"/>
      <w:rPr>
        <w:lang w:val="fr-FR"/>
      </w:rPr>
    </w:pPr>
    <w:r w:rsidRPr="00862794">
      <w:rPr>
        <w:lang w:val="fr-FR"/>
      </w:rPr>
      <w:t>PE</w:t>
    </w:r>
    <w:r w:rsidRPr="00862794">
      <w:rPr>
        <w:rStyle w:val="HideTWBExt"/>
        <w:noProof w:val="0"/>
        <w:lang w:val="fr-FR"/>
      </w:rPr>
      <w:t>&lt;NoPE&gt;</w:t>
    </w:r>
    <w:r w:rsidR="00200E98" w:rsidRPr="00862794">
      <w:rPr>
        <w:lang w:val="fr-FR"/>
      </w:rPr>
      <w:t>691.453</w:t>
    </w:r>
    <w:r w:rsidRPr="00862794">
      <w:rPr>
        <w:rStyle w:val="HideTWBExt"/>
        <w:noProof w:val="0"/>
        <w:lang w:val="fr-FR"/>
      </w:rPr>
      <w:t>&lt;/NoPE&gt;&lt;Version&gt;</w:t>
    </w:r>
    <w:r w:rsidR="000D2AE4" w:rsidRPr="00862794">
      <w:rPr>
        <w:lang w:val="fr-FR"/>
      </w:rPr>
      <w:t>v</w:t>
    </w:r>
    <w:r w:rsidR="00200E98" w:rsidRPr="00862794">
      <w:rPr>
        <w:lang w:val="fr-FR"/>
      </w:rPr>
      <w:t>01-00</w:t>
    </w:r>
    <w:r w:rsidRPr="00862794">
      <w:rPr>
        <w:rStyle w:val="HideTWBExt"/>
        <w:noProof w:val="0"/>
        <w:lang w:val="fr-FR"/>
      </w:rPr>
      <w:t>&lt;/Version&gt;</w:t>
    </w:r>
    <w:r w:rsidRPr="00862794">
      <w:rPr>
        <w:lang w:val="fr-FR"/>
      </w:rPr>
      <w:tab/>
    </w:r>
    <w:r w:rsidR="00FF6CAC" w:rsidRPr="000D2AE4">
      <w:fldChar w:fldCharType="begin"/>
    </w:r>
    <w:r w:rsidR="00FF6CAC" w:rsidRPr="00862794">
      <w:rPr>
        <w:lang w:val="fr-FR"/>
      </w:rPr>
      <w:instrText xml:space="preserve"> PAGE </w:instrText>
    </w:r>
    <w:r w:rsidR="00FF6CAC" w:rsidRPr="000D2AE4">
      <w:fldChar w:fldCharType="separate"/>
    </w:r>
    <w:r w:rsidR="00862794">
      <w:rPr>
        <w:noProof/>
        <w:lang w:val="fr-FR"/>
      </w:rPr>
      <w:t>6</w:t>
    </w:r>
    <w:r w:rsidR="00FF6CAC" w:rsidRPr="000D2AE4">
      <w:fldChar w:fldCharType="end"/>
    </w:r>
    <w:r w:rsidR="00FF6CAC" w:rsidRPr="00862794">
      <w:rPr>
        <w:lang w:val="fr-FR"/>
      </w:rPr>
      <w:t>/</w:t>
    </w:r>
    <w:r w:rsidR="00862794">
      <w:fldChar w:fldCharType="begin"/>
    </w:r>
    <w:r w:rsidR="00862794" w:rsidRPr="00862794">
      <w:rPr>
        <w:lang w:val="fr-FR"/>
      </w:rPr>
      <w:instrText xml:space="preserve"> NUMPAGES </w:instrText>
    </w:r>
    <w:r w:rsidR="00862794">
      <w:fldChar w:fldCharType="separate"/>
    </w:r>
    <w:r w:rsidR="00862794">
      <w:rPr>
        <w:noProof/>
        <w:lang w:val="fr-FR"/>
      </w:rPr>
      <w:t>15</w:t>
    </w:r>
    <w:r w:rsidR="00862794">
      <w:rPr>
        <w:noProof/>
      </w:rPr>
      <w:fldChar w:fldCharType="end"/>
    </w:r>
    <w:r w:rsidRPr="00862794">
      <w:rPr>
        <w:lang w:val="fr-FR"/>
      </w:rPr>
      <w:tab/>
    </w:r>
    <w:r w:rsidRPr="00862794">
      <w:rPr>
        <w:rStyle w:val="HideTWBExt"/>
        <w:noProof w:val="0"/>
        <w:lang w:val="fr-FR"/>
      </w:rPr>
      <w:t>&lt;PathFdR&gt;</w:t>
    </w:r>
    <w:r w:rsidR="00200E98" w:rsidRPr="00862794">
      <w:rPr>
        <w:lang w:val="fr-FR"/>
      </w:rPr>
      <w:t>PR\1229996PL.docx</w:t>
    </w:r>
    <w:r w:rsidRPr="00862794">
      <w:rPr>
        <w:rStyle w:val="HideTWBExt"/>
        <w:noProof w:val="0"/>
        <w:lang w:val="fr-FR"/>
      </w:rPr>
      <w:t>&lt;/PathFdR&gt;</w:t>
    </w:r>
  </w:p>
  <w:p w14:paraId="699ED0D1" w14:textId="28E8DB92" w:rsidR="007255C3" w:rsidRPr="000D2AE4" w:rsidRDefault="00862794">
    <w:pPr>
      <w:pStyle w:val="EPFooter2"/>
    </w:pPr>
    <w:r>
      <w:fldChar w:fldCharType="begin"/>
    </w:r>
    <w:r>
      <w:instrText xml:space="preserve"> DOCPROPERTY "&lt;Extension&gt;" </w:instrText>
    </w:r>
    <w:r>
      <w:fldChar w:fldCharType="separate"/>
    </w:r>
    <w:r>
      <w:t>PL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5AA3A" w14:textId="7A1067E5" w:rsidR="007255C3" w:rsidRPr="000D2AE4" w:rsidRDefault="007255C3" w:rsidP="00195D9E">
    <w:pPr>
      <w:pStyle w:val="EPFooter"/>
    </w:pPr>
    <w:r w:rsidRPr="000D2AE4">
      <w:rPr>
        <w:rStyle w:val="HideTWBExt"/>
        <w:noProof w:val="0"/>
      </w:rPr>
      <w:t>&lt;PathFdR&gt;</w:t>
    </w:r>
    <w:r w:rsidR="00200E98" w:rsidRPr="00200E98">
      <w:t>PR\1229996PL.docx</w:t>
    </w:r>
    <w:r w:rsidRPr="000D2AE4">
      <w:rPr>
        <w:rStyle w:val="HideTWBExt"/>
        <w:noProof w:val="0"/>
      </w:rPr>
      <w:t>&lt;/PathFdR&gt;</w:t>
    </w:r>
    <w:r w:rsidRPr="000D2AE4">
      <w:tab/>
    </w:r>
    <w:r w:rsidR="00FF6CAC" w:rsidRPr="000D2AE4">
      <w:fldChar w:fldCharType="begin"/>
    </w:r>
    <w:r w:rsidR="00FF6CAC" w:rsidRPr="000D2AE4">
      <w:instrText xml:space="preserve"> PAGE </w:instrText>
    </w:r>
    <w:r w:rsidR="00FF6CAC" w:rsidRPr="000D2AE4">
      <w:fldChar w:fldCharType="separate"/>
    </w:r>
    <w:r w:rsidR="00862794">
      <w:rPr>
        <w:noProof/>
      </w:rPr>
      <w:t>7</w:t>
    </w:r>
    <w:r w:rsidR="00FF6CAC" w:rsidRPr="000D2AE4">
      <w:fldChar w:fldCharType="end"/>
    </w:r>
    <w:r w:rsidR="00FF6CAC" w:rsidRPr="000D2AE4">
      <w:t>/</w:t>
    </w:r>
    <w:r w:rsidR="00862794">
      <w:fldChar w:fldCharType="begin"/>
    </w:r>
    <w:r w:rsidR="00862794">
      <w:instrText xml:space="preserve"> NUMPAGES </w:instrText>
    </w:r>
    <w:r w:rsidR="00862794">
      <w:fldChar w:fldCharType="separate"/>
    </w:r>
    <w:r w:rsidR="00862794">
      <w:rPr>
        <w:noProof/>
      </w:rPr>
      <w:t>15</w:t>
    </w:r>
    <w:r w:rsidR="00862794">
      <w:rPr>
        <w:noProof/>
      </w:rPr>
      <w:fldChar w:fldCharType="end"/>
    </w:r>
    <w:r w:rsidRPr="000D2AE4">
      <w:tab/>
      <w:t>PE</w:t>
    </w:r>
    <w:r w:rsidRPr="000D2AE4">
      <w:rPr>
        <w:rStyle w:val="HideTWBExt"/>
        <w:noProof w:val="0"/>
      </w:rPr>
      <w:t>&lt;NoPE&gt;</w:t>
    </w:r>
    <w:r w:rsidR="00200E98" w:rsidRPr="00200E98">
      <w:t>691.453</w:t>
    </w:r>
    <w:r w:rsidRPr="000D2AE4">
      <w:rPr>
        <w:rStyle w:val="HideTWBExt"/>
        <w:noProof w:val="0"/>
      </w:rPr>
      <w:t>&lt;/NoPE&gt;&lt;Version&gt;</w:t>
    </w:r>
    <w:r w:rsidR="000D2AE4" w:rsidRPr="000D2AE4">
      <w:t>v</w:t>
    </w:r>
    <w:r w:rsidR="00200E98" w:rsidRPr="00200E98">
      <w:t>01-00</w:t>
    </w:r>
    <w:r w:rsidRPr="000D2AE4">
      <w:rPr>
        <w:rStyle w:val="HideTWBExt"/>
        <w:noProof w:val="0"/>
      </w:rPr>
      <w:t>&lt;/Version&gt;</w:t>
    </w:r>
  </w:p>
  <w:p w14:paraId="335060C4" w14:textId="557C15B2" w:rsidR="007255C3" w:rsidRPr="000D2AE4" w:rsidRDefault="00FF6CAC">
    <w:pPr>
      <w:pStyle w:val="EPFooter2"/>
    </w:pPr>
    <w:r w:rsidRPr="000D2AE4">
      <w:tab/>
    </w:r>
    <w:r w:rsidR="007255C3" w:rsidRPr="000D2AE4">
      <w:tab/>
    </w:r>
    <w:r w:rsidR="00862794">
      <w:fldChar w:fldCharType="begin"/>
    </w:r>
    <w:r w:rsidR="00862794">
      <w:instrText xml:space="preserve"> DOCPROPERTY "&lt;Extension&gt;" </w:instrText>
    </w:r>
    <w:r w:rsidR="00862794">
      <w:fldChar w:fldCharType="separate"/>
    </w:r>
    <w:r w:rsidR="00862794">
      <w:t>PL</w:t>
    </w:r>
    <w:r w:rsidR="0086279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6391D6" w14:textId="73C4FB0A" w:rsidR="007255C3" w:rsidRPr="000D2AE4" w:rsidRDefault="007255C3" w:rsidP="00195D9E">
    <w:pPr>
      <w:pStyle w:val="EPFooter"/>
    </w:pPr>
    <w:r w:rsidRPr="000D2AE4">
      <w:rPr>
        <w:rStyle w:val="HideTWBExt"/>
        <w:noProof w:val="0"/>
      </w:rPr>
      <w:t>&lt;PathFdR&gt;</w:t>
    </w:r>
    <w:r w:rsidR="00F1108C" w:rsidRPr="00F1108C">
      <w:t>PR\1229996PL.docx</w:t>
    </w:r>
    <w:r w:rsidRPr="000D2AE4">
      <w:rPr>
        <w:rStyle w:val="HideTWBExt"/>
        <w:noProof w:val="0"/>
      </w:rPr>
      <w:t>&lt;/PathFdR&gt;</w:t>
    </w:r>
    <w:r w:rsidRPr="000D2AE4">
      <w:tab/>
    </w:r>
    <w:r w:rsidRPr="000D2AE4">
      <w:tab/>
      <w:t>PE</w:t>
    </w:r>
    <w:r w:rsidRPr="000D2AE4">
      <w:rPr>
        <w:rStyle w:val="HideTWBExt"/>
        <w:noProof w:val="0"/>
      </w:rPr>
      <w:t>&lt;NoPE&gt;</w:t>
    </w:r>
    <w:r w:rsidR="00F1108C" w:rsidRPr="00F1108C">
      <w:t>691.453</w:t>
    </w:r>
    <w:r w:rsidRPr="000D2AE4">
      <w:rPr>
        <w:rStyle w:val="HideTWBExt"/>
        <w:noProof w:val="0"/>
      </w:rPr>
      <w:t>&lt;/NoPE&gt;&lt;Version&gt;</w:t>
    </w:r>
    <w:r w:rsidR="000D2AE4" w:rsidRPr="000D2AE4">
      <w:t>v</w:t>
    </w:r>
    <w:r w:rsidR="00F1108C" w:rsidRPr="00F1108C">
      <w:t>01-00</w:t>
    </w:r>
    <w:r w:rsidRPr="000D2AE4">
      <w:rPr>
        <w:rStyle w:val="HideTWBExt"/>
        <w:noProof w:val="0"/>
      </w:rPr>
      <w:t>&lt;/Version&gt;</w:t>
    </w:r>
  </w:p>
  <w:p w14:paraId="4CDEC9E2" w14:textId="00E96656" w:rsidR="007255C3" w:rsidRPr="000D2AE4" w:rsidRDefault="00862794" w:rsidP="00921474">
    <w:pPr>
      <w:pStyle w:val="EPFooter2"/>
      <w:tabs>
        <w:tab w:val="clear" w:pos="4535"/>
        <w:tab w:val="center" w:pos="4536"/>
      </w:tabs>
    </w:pPr>
    <w:r>
      <w:fldChar w:fldCharType="begin"/>
    </w:r>
    <w:r>
      <w:instrText xml:space="preserve"> DOCPROPERTY "&lt;Extension&gt;" </w:instrText>
    </w:r>
    <w:r>
      <w:fldChar w:fldCharType="separate"/>
    </w:r>
    <w:r>
      <w:t>PL</w:t>
    </w:r>
    <w:r>
      <w:fldChar w:fldCharType="end"/>
    </w:r>
    <w:r w:rsidR="007255C3" w:rsidRPr="000D2AE4">
      <w:tab/>
    </w:r>
    <w:r w:rsidR="00F1108C">
      <w:rPr>
        <w:b w:val="0"/>
        <w:i/>
        <w:color w:val="C0C0C0"/>
        <w:sz w:val="22"/>
        <w:szCs w:val="22"/>
      </w:rPr>
      <w:t>Zjednoczona w różnorodności</w:t>
    </w:r>
    <w:r w:rsidR="007255C3" w:rsidRPr="000D2AE4">
      <w:tab/>
    </w:r>
    <w:r>
      <w:fldChar w:fldCharType="begin"/>
    </w:r>
    <w:r>
      <w:instrText xml:space="preserve"> DOCPROPERTY "&lt;Extension&gt;" </w:instrText>
    </w:r>
    <w:r>
      <w:fldChar w:fldCharType="separate"/>
    </w:r>
    <w:r>
      <w:t>PL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F5D4C" w14:textId="77777777" w:rsidR="000D2AE4" w:rsidRPr="000D2AE4" w:rsidRDefault="000D2AE4">
      <w:r w:rsidRPr="000D2AE4">
        <w:separator/>
      </w:r>
    </w:p>
  </w:footnote>
  <w:footnote w:type="continuationSeparator" w:id="0">
    <w:p w14:paraId="5A3CD3D1" w14:textId="77777777" w:rsidR="000D2AE4" w:rsidRPr="000D2AE4" w:rsidRDefault="000D2AE4">
      <w:r w:rsidRPr="000D2AE4">
        <w:continuationSeparator/>
      </w:r>
    </w:p>
  </w:footnote>
  <w:footnote w:id="1">
    <w:p w14:paraId="4A791B18" w14:textId="77777777" w:rsidR="00CD1B43" w:rsidRDefault="00CD1B43" w:rsidP="00CD1B43">
      <w:pPr>
        <w:pStyle w:val="FootnoteText"/>
      </w:pPr>
      <w:r>
        <w:rPr>
          <w:rStyle w:val="FootnoteReference"/>
        </w:rPr>
        <w:footnoteRef/>
      </w:r>
      <w:r>
        <w:t xml:space="preserve"> Teksty przyjęte, P9_TA(2021)0025.</w:t>
      </w:r>
    </w:p>
  </w:footnote>
  <w:footnote w:id="2">
    <w:p w14:paraId="231140E3" w14:textId="77777777" w:rsidR="00CD1B43" w:rsidRDefault="00CD1B43" w:rsidP="00CD1B43">
      <w:pPr>
        <w:pStyle w:val="FootnoteText"/>
      </w:pPr>
      <w:r>
        <w:rPr>
          <w:rStyle w:val="FootnoteReference"/>
        </w:rPr>
        <w:footnoteRef/>
      </w:r>
      <w:r>
        <w:t xml:space="preserve"> Dz.U. L 315 z 14.11.2012, s. 57.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9454B" w14:textId="77777777" w:rsidR="00F1108C" w:rsidRDefault="00F110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688B2" w14:textId="77777777" w:rsidR="00F1108C" w:rsidRDefault="00F110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9B6174" w14:textId="77777777" w:rsidR="00F1108C" w:rsidRDefault="00F110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MNU" w:val=" 3"/>
    <w:docVar w:name="COMKEY" w:val="CJ01"/>
    <w:docVar w:name="LastEditedSection" w:val=" 1"/>
    <w:docVar w:name="LW_DocType" w:val="PR_INL"/>
    <w:docVar w:name="strDocTypeID" w:val="PR_INL"/>
    <w:docVar w:name="strSubDir" w:val="1229"/>
    <w:docVar w:name="TXTLANGUE" w:val="PL"/>
    <w:docVar w:name="TXTLANGUEMIN" w:val="pl"/>
    <w:docVar w:name="TXTNRINL" w:val="2020/2035"/>
    <w:docVar w:name="TXTNRPE" w:val="691.453"/>
    <w:docVar w:name="TXTPEorAP" w:val="PE"/>
    <w:docVar w:name="TXTROUTE" w:val="PR\1229996PL.docx"/>
    <w:docVar w:name="TXTTITLE" w:val="zwalczania przemocy ze względu na płeć: cyberprzemoc"/>
    <w:docVar w:name="TXTVERSION" w:val="01-00"/>
  </w:docVars>
  <w:rsids>
    <w:rsidRoot w:val="000D2AE4"/>
    <w:rsid w:val="000054D6"/>
    <w:rsid w:val="00007EDE"/>
    <w:rsid w:val="000163ED"/>
    <w:rsid w:val="000B0AEA"/>
    <w:rsid w:val="000D2714"/>
    <w:rsid w:val="000D2AE4"/>
    <w:rsid w:val="0011544B"/>
    <w:rsid w:val="00126C3F"/>
    <w:rsid w:val="001514D5"/>
    <w:rsid w:val="00180885"/>
    <w:rsid w:val="00195D9E"/>
    <w:rsid w:val="001A502C"/>
    <w:rsid w:val="001B089B"/>
    <w:rsid w:val="00200E98"/>
    <w:rsid w:val="00246FFC"/>
    <w:rsid w:val="002B2D1A"/>
    <w:rsid w:val="002E11C3"/>
    <w:rsid w:val="0032224C"/>
    <w:rsid w:val="0032795A"/>
    <w:rsid w:val="003348FE"/>
    <w:rsid w:val="00387D72"/>
    <w:rsid w:val="0039462E"/>
    <w:rsid w:val="003F3152"/>
    <w:rsid w:val="003F3E62"/>
    <w:rsid w:val="00403FE0"/>
    <w:rsid w:val="00405688"/>
    <w:rsid w:val="00422FF9"/>
    <w:rsid w:val="00467F52"/>
    <w:rsid w:val="004B4D8C"/>
    <w:rsid w:val="004C2744"/>
    <w:rsid w:val="004E7BFD"/>
    <w:rsid w:val="00511904"/>
    <w:rsid w:val="00581D3F"/>
    <w:rsid w:val="00584FD7"/>
    <w:rsid w:val="005A5B05"/>
    <w:rsid w:val="005B4360"/>
    <w:rsid w:val="005C24FC"/>
    <w:rsid w:val="005F3B68"/>
    <w:rsid w:val="00613DCC"/>
    <w:rsid w:val="006432B2"/>
    <w:rsid w:val="006968DA"/>
    <w:rsid w:val="006D5569"/>
    <w:rsid w:val="006E1DCB"/>
    <w:rsid w:val="006E50B6"/>
    <w:rsid w:val="007255C3"/>
    <w:rsid w:val="00736DD2"/>
    <w:rsid w:val="00764352"/>
    <w:rsid w:val="00773D6B"/>
    <w:rsid w:val="007E1C43"/>
    <w:rsid w:val="00814003"/>
    <w:rsid w:val="00862794"/>
    <w:rsid w:val="008E72B0"/>
    <w:rsid w:val="008F2355"/>
    <w:rsid w:val="00921474"/>
    <w:rsid w:val="009271DD"/>
    <w:rsid w:val="009413AC"/>
    <w:rsid w:val="00943EEE"/>
    <w:rsid w:val="00957CA7"/>
    <w:rsid w:val="009C2AF9"/>
    <w:rsid w:val="009D1EB7"/>
    <w:rsid w:val="009E5AB9"/>
    <w:rsid w:val="009E5AF9"/>
    <w:rsid w:val="009E6E1A"/>
    <w:rsid w:val="009F6042"/>
    <w:rsid w:val="00A1070F"/>
    <w:rsid w:val="00A1681E"/>
    <w:rsid w:val="00A5291F"/>
    <w:rsid w:val="00AA7B89"/>
    <w:rsid w:val="00AB727F"/>
    <w:rsid w:val="00AF0D4F"/>
    <w:rsid w:val="00B27D4A"/>
    <w:rsid w:val="00BD2C91"/>
    <w:rsid w:val="00BD7032"/>
    <w:rsid w:val="00BF1602"/>
    <w:rsid w:val="00C30980"/>
    <w:rsid w:val="00C44FB7"/>
    <w:rsid w:val="00C802B6"/>
    <w:rsid w:val="00CA5063"/>
    <w:rsid w:val="00CB6B5C"/>
    <w:rsid w:val="00CB7130"/>
    <w:rsid w:val="00CD1B43"/>
    <w:rsid w:val="00D06A20"/>
    <w:rsid w:val="00D1551E"/>
    <w:rsid w:val="00D15D7A"/>
    <w:rsid w:val="00D20C91"/>
    <w:rsid w:val="00D4717C"/>
    <w:rsid w:val="00D65E7F"/>
    <w:rsid w:val="00DA5BEC"/>
    <w:rsid w:val="00DB5CF1"/>
    <w:rsid w:val="00DD249E"/>
    <w:rsid w:val="00E0452E"/>
    <w:rsid w:val="00E4043F"/>
    <w:rsid w:val="00E71939"/>
    <w:rsid w:val="00EA0BB4"/>
    <w:rsid w:val="00EB420E"/>
    <w:rsid w:val="00ED3AA7"/>
    <w:rsid w:val="00EE7B71"/>
    <w:rsid w:val="00F1108C"/>
    <w:rsid w:val="00F314A1"/>
    <w:rsid w:val="00F663D3"/>
    <w:rsid w:val="00FF26C9"/>
    <w:rsid w:val="00FF5759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D9196"/>
  <w15:chartTrackingRefBased/>
  <w15:docId w15:val="{820B164A-1CFE-498A-AD80-9D7B2E8AB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4FC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584FD7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9E5AB9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46FFC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12a">
    <w:name w:val="CoverNormal12a"/>
    <w:basedOn w:val="Normal"/>
    <w:rsid w:val="006968DA"/>
    <w:pPr>
      <w:spacing w:after="240"/>
      <w:ind w:left="1418"/>
    </w:pPr>
  </w:style>
  <w:style w:type="paragraph" w:customStyle="1" w:styleId="CoverNormal24a">
    <w:name w:val="CoverNormal24a"/>
    <w:basedOn w:val="Normal"/>
    <w:rsid w:val="0039462E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13DCC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195D9E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9D1EB7"/>
    <w:pPr>
      <w:tabs>
        <w:tab w:val="center" w:pos="4513"/>
        <w:tab w:val="right" w:pos="9026"/>
      </w:tabs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table" w:styleId="TableGrid">
    <w:name w:val="Table Grid"/>
    <w:basedOn w:val="TableNormal"/>
    <w:rsid w:val="00921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514D5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2147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21474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46FFC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46FFC"/>
    <w:pPr>
      <w:jc w:val="right"/>
    </w:pPr>
  </w:style>
  <w:style w:type="paragraph" w:customStyle="1" w:styleId="EPFooter">
    <w:name w:val="EPFooter"/>
    <w:basedOn w:val="Normal"/>
    <w:rsid w:val="00195D9E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9D1EB7"/>
    <w:rPr>
      <w:sz w:val="24"/>
    </w:rPr>
  </w:style>
  <w:style w:type="paragraph" w:styleId="FootnoteText">
    <w:name w:val="footnote text"/>
    <w:basedOn w:val="Normal"/>
    <w:link w:val="FootnoteTextChar"/>
    <w:rsid w:val="00CD1B43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CD1B43"/>
  </w:style>
  <w:style w:type="character" w:styleId="FootnoteReference">
    <w:name w:val="footnote reference"/>
    <w:basedOn w:val="DefaultParagraphFont"/>
    <w:rsid w:val="00CD1B43"/>
    <w:rPr>
      <w:vertAlign w:val="superscript"/>
    </w:rPr>
  </w:style>
  <w:style w:type="paragraph" w:customStyle="1" w:styleId="Tre">
    <w:name w:val="Treść"/>
    <w:rsid w:val="00CD1B43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uiPriority w:val="34"/>
    <w:qFormat/>
    <w:rsid w:val="00CD1B43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eastAsia="ja-JP"/>
    </w:rPr>
  </w:style>
  <w:style w:type="character" w:customStyle="1" w:styleId="Brak">
    <w:name w:val="Brak"/>
    <w:rsid w:val="00CD1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5435</Words>
  <Characters>30982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PR_INL</vt:lpstr>
    </vt:vector>
  </TitlesOfParts>
  <Company/>
  <LinksUpToDate>false</LinksUpToDate>
  <CharactersWithSpaces>36345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PR_INL</dc:title>
  <dc:subject/>
  <dc:creator>iuridico</dc:creator>
  <cp:keywords/>
  <dc:description/>
  <cp:lastModifiedBy>WOLSZCZAK Monika</cp:lastModifiedBy>
  <cp:revision>2</cp:revision>
  <cp:lastPrinted>2004-12-08T15:27:00Z</cp:lastPrinted>
  <dcterms:created xsi:type="dcterms:W3CDTF">2021-06-04T13:24:00Z</dcterms:created>
  <dcterms:modified xsi:type="dcterms:W3CDTF">2021-06-04T13:24:00Z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 with">
    <vt:lpwstr>9.8.2 Build [20200114]</vt:lpwstr>
  </property>
  <property fmtid="{D5CDD505-2E9C-101B-9397-08002B2CF9AE}" pid="3" name="LastEdited with">
    <vt:lpwstr>9.9.1 Build [20200705]</vt:lpwstr>
  </property>
  <property fmtid="{D5CDD505-2E9C-101B-9397-08002B2CF9AE}" pid="4" name="&lt;FdR&gt;">
    <vt:lpwstr>1229996</vt:lpwstr>
  </property>
  <property fmtid="{D5CDD505-2E9C-101B-9397-08002B2CF9AE}" pid="5" name="&lt;Type&gt;">
    <vt:lpwstr>PR</vt:lpwstr>
  </property>
  <property fmtid="{D5CDD505-2E9C-101B-9397-08002B2CF9AE}" pid="6" name="&lt;ModelCod&gt;">
    <vt:lpwstr>C:\Users\iuridico\AppData\Local\DocEP\DOCS\PR\PR_NonLeg\INL\PR_INL.dotx(17/04/2020 19:28:12)</vt:lpwstr>
  </property>
  <property fmtid="{D5CDD505-2E9C-101B-9397-08002B2CF9AE}" pid="7" name="&lt;ModelTra&gt;">
    <vt:lpwstr>C:\Users\iuridico\AppData\Local\DocEP\TRANSFIL\PL\PR_INL.PL(21/10/2019 10:16:00)</vt:lpwstr>
  </property>
  <property fmtid="{D5CDD505-2E9C-101B-9397-08002B2CF9AE}" pid="8" name="&lt;Model&gt;">
    <vt:lpwstr>PR_INL</vt:lpwstr>
  </property>
  <property fmtid="{D5CDD505-2E9C-101B-9397-08002B2CF9AE}" pid="9" name="FooterPath">
    <vt:lpwstr>PR\1229996PL.docx</vt:lpwstr>
  </property>
  <property fmtid="{D5CDD505-2E9C-101B-9397-08002B2CF9AE}" pid="10" name="PE number">
    <vt:lpwstr>691.453</vt:lpwstr>
  </property>
  <property fmtid="{D5CDD505-2E9C-101B-9397-08002B2CF9AE}" pid="11" name="SDLStudio">
    <vt:lpwstr/>
  </property>
  <property fmtid="{D5CDD505-2E9C-101B-9397-08002B2CF9AE}" pid="12" name="&lt;Extension&gt;">
    <vt:lpwstr>PL</vt:lpwstr>
  </property>
</Properties>
</file>