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{CJ64}</w:t>
      </w:r>
      <w:r>
        <w:t>Comissão do Ambiente, do Clima e da Segurança Alimentar</w:t>
        <w:br/>
        <w:t>Comissão da Saúde Pública</w:t>
      </w:r>
      <w:r>
        <w:rPr>
          <w:rStyle w:val="HideTWBExt"/>
        </w:rPr>
        <w:t>&lt;/Commission&gt;</w:t>
      </w:r>
    </w:p>
    <w:p>
      <w:pPr>
        <w:pStyle w:val="LineBottom"/>
      </w:pPr>
      <w:r>
        <w:t xml:space="preserve"> </w:t>
      </w:r>
    </w:p>
    <w:p>
      <w:pPr>
        <w:pStyle w:val="CoverReference"/>
      </w:pPr>
      <w:r>
        <w:rPr>
          <w:rStyle w:val="HideTWBExt"/>
        </w:rPr>
        <w:t>&lt;RefProc&gt;</w:t>
      </w:r>
      <w:r>
        <w:t>2025/0405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{14/07/2026}</w:t>
      </w:r>
      <w:r>
        <w:t>14.07.2026</w:t>
      </w:r>
      <w:r>
        <w:rPr>
          <w:rStyle w:val="HideTWBExt"/>
        </w:rPr>
        <w:t>&lt;/Date&gt;</w:t>
      </w:r>
    </w:p>
    <w:p>
      <w:pPr>
        <w:pStyle w:val="CoverDocType"/>
      </w:pPr>
      <w:r>
        <w:rPr>
          <w:rStyle w:val="HideTWBExt"/>
        </w:rPr>
        <w:t>&lt;RefProcLect&gt;</w:t>
      </w:r>
      <w:r>
        <w:t>***I</w:t>
      </w:r>
      <w:r>
        <w:rPr>
          <w:rStyle w:val="HideTWBExt"/>
        </w:rPr>
        <w:t>&lt;/RefProcLect&gt;</w:t>
      </w:r>
    </w:p>
    <w:p>
      <w:pPr>
        <w:pStyle w:val="CoverDocType24a"/>
      </w:pPr>
      <w:r>
        <w:rPr>
          <w:rStyle w:val="HideTWBExt"/>
        </w:rPr>
        <w:t>&lt;TitreType&gt;</w:t>
      </w:r>
      <w:r>
        <w:t>PROJETO DE RELATÓRIO</w:t>
      </w:r>
      <w:r>
        <w:rPr>
          <w:rStyle w:val="HideTWBExt"/>
        </w:rPr>
        <w:t>&lt;/TitreType&gt;</w:t>
      </w:r>
    </w:p>
    <w:p>
      <w:pPr>
        <w:pStyle w:val="CoverNormal"/>
      </w:pPr>
      <w:r>
        <w:rPr>
          <w:rStyle w:val="HideTWBExt"/>
        </w:rPr>
        <w:t>&lt;Titre&gt;</w:t>
      </w:r>
      <w:r>
        <w:t>sobre a proposta de diretiva do Parlamento Europeu e do Conselho que altera as Diretivas 2001/18/CE e 2010/53/UE no que se refere à colocação no mercado de microrganismos geneticamente modificados e ao processamento de órgãos</w:t>
      </w:r>
      <w:r>
        <w:rPr>
          <w:rStyle w:val="HideTWBExt"/>
        </w:rPr>
        <w:t>&lt;/Titre&gt;</w:t>
      </w:r>
    </w:p>
    <w:p>
      <w:pPr>
        <w:pStyle w:val="CoverNormal24a"/>
      </w:pPr>
      <w:r>
        <w:rPr>
          <w:rStyle w:val="HideTWBExt"/>
        </w:rPr>
        <w:t>&lt;DocRef&gt;</w:t>
      </w:r>
      <w:r>
        <w:t>(COM(2025)1031 – C10-0358/2025 – 2025/0405(COD))</w:t>
      </w:r>
      <w:r>
        <w:rPr>
          <w:rStyle w:val="HideTWBExt"/>
        </w:rPr>
        <w:t>&lt;/DocRef&gt;</w:t>
      </w:r>
    </w:p>
    <w:p>
      <w:pPr>
        <w:pStyle w:val="CoverNormal"/>
      </w:pPr>
      <w:r>
        <w:rPr>
          <w:rStyle w:val="HideTWBExt"/>
        </w:rPr>
        <w:t>&lt;Commission&gt;</w:t>
      </w:r>
      <w:r>
        <w:rPr>
          <w:rStyle w:val="HideTWBInt"/>
        </w:rPr>
        <w:t>{CJ64}</w:t>
      </w:r>
      <w:r>
        <w:t>Comissão do Ambiente, do Clima e da Segurança Alimentar</w:t>
      </w:r>
    </w:p>
    <w:p>
      <w:pPr>
        <w:pStyle w:val="CoverNormal24a"/>
      </w:pPr>
      <w:r>
        <w:t>Comissão da Saúde Pública</w:t>
      </w:r>
      <w:r>
        <w:rPr>
          <w:rStyle w:val="HideTWBExt"/>
        </w:rPr>
        <w:t>&lt;/Commission&gt;</w:t>
      </w:r>
    </w:p>
    <w:p>
      <w:pPr>
        <w:pStyle w:val="CoverNormal24a"/>
      </w:pPr>
      <w:r>
        <w:t>(Processo de comissões conjuntas — artigo 59.º do Regimento)</w:t>
      </w:r>
    </w:p>
    <w:p>
      <w:pPr>
        <w:pStyle w:val="CoverNormal24a"/>
      </w:pPr>
      <w:r>
        <w:t>Relatores</w:t>
      </w:r>
      <w:r>
        <w:t xml:space="preserve">: </w:t>
      </w:r>
      <w:r>
        <w:rPr>
          <w:rStyle w:val="HideTWBExt"/>
        </w:rPr>
        <w:t>&lt;Depute&gt;</w:t>
      </w:r>
      <w:r>
        <w:t>Marta Temido</w:t>
      </w:r>
      <w:r>
        <w:t xml:space="preserve">, </w:t>
      </w:r>
      <w:r>
        <w:t>Adam Jarubas</w:t>
      </w:r>
      <w:r>
        <w:rPr>
          <w:rStyle w:val="HideTWBExt"/>
        </w:rPr>
        <w:t>&lt;/Depute&gt;</w:t>
      </w:r>
    </w:p>
    <w:p>
      <w:r>
        <w:br w:type="page"/>
      </w:r>
      <w:r>
        <w:t>PR_COD_1amCom</w:t>
      </w:r>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Legenda dos símbolos utilizados</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ign"/>
            </w:pPr>
            <w:r>
              <w:tab/>
            </w:r>
            <w:r>
              <w:t>*</w:t>
            </w:r>
            <w:r>
              <w:tab/>
            </w:r>
            <w:r>
              <w:t>Processo de consulta</w:t>
            </w:r>
          </w:p>
          <w:p>
            <w:pPr>
              <w:pStyle w:val="LegendSign"/>
            </w:pPr>
            <w:r>
              <w:tab/>
            </w:r>
            <w:r>
              <w:t>***</w:t>
            </w:r>
            <w:r>
              <w:tab/>
            </w:r>
            <w:r>
              <w:t>Processo de aprovação</w:t>
            </w:r>
          </w:p>
          <w:p>
            <w:pPr>
              <w:pStyle w:val="LegendSign"/>
            </w:pPr>
            <w:r>
              <w:tab/>
            </w:r>
            <w:r>
              <w:t>***I</w:t>
            </w:r>
            <w:r>
              <w:tab/>
            </w:r>
            <w:r>
              <w:t>Processo legislativo ordinário (primeira leitura)</w:t>
            </w:r>
          </w:p>
          <w:p>
            <w:pPr>
              <w:pStyle w:val="LegendSign"/>
            </w:pPr>
            <w:r>
              <w:tab/>
            </w:r>
            <w:r>
              <w:t>***II</w:t>
            </w:r>
            <w:r>
              <w:tab/>
            </w:r>
            <w:r>
              <w:t>Processo legislativo ordinário (segunda leitura)</w:t>
            </w:r>
          </w:p>
          <w:p>
            <w:pPr>
              <w:pStyle w:val="LegendSign"/>
            </w:pPr>
            <w:r>
              <w:tab/>
            </w:r>
            <w:r>
              <w:t>***III</w:t>
            </w:r>
            <w:r>
              <w:tab/>
            </w:r>
            <w:r>
              <w:t>Processo legislativo ordinário (terceira leitura)</w:t>
            </w:r>
            <w:r>
              <w:cr/>
            </w:r>
          </w:p>
          <w:p>
            <w:pPr>
              <w:pStyle w:val="LegendStandard"/>
            </w:pPr>
            <w:r>
              <w:t>(O processo indicado tem por fundamento a base jurídica proposta no projeto de ato.)</w:t>
            </w:r>
            <w:r>
              <w:cr/>
            </w:r>
          </w:p>
        </w:tc>
      </w:tr>
    </w:tbl>
    <w:p/>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Alterações a um projeto de ato</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tandard"/>
            </w:pPr>
            <w:r>
              <w:rPr>
                <w:b/>
              </w:rPr>
              <w:t>Alterações do Parlamento apresentadas em duas colunas</w:t>
            </w:r>
            <w:r>
              <w:cr/>
            </w:r>
          </w:p>
          <w:p>
            <w:pPr>
              <w:pStyle w:val="LegendStandard"/>
            </w:pPr>
            <w:r>
              <w:t xml:space="preserve">As supressões são assinaladas </w:t>
            </w:r>
            <w:r>
              <w:rPr>
                <w:b/>
                <w:i/>
              </w:rPr>
              <w:t>em itálico e a negrito</w:t>
            </w:r>
            <w:r>
              <w:t xml:space="preserve"> na coluna da esquerda. As substituições são assinaladas </w:t>
            </w:r>
            <w:r>
              <w:rPr>
                <w:b/>
                <w:i/>
              </w:rPr>
              <w:t>em itálico e a negrito</w:t>
            </w:r>
            <w:r>
              <w:t xml:space="preserve"> na coluna da esquerda e na coluna da direita. O texto novo é assinalado </w:t>
            </w:r>
            <w:r>
              <w:rPr>
                <w:b/>
                <w:i/>
              </w:rPr>
              <w:t>em itálico e a negrito</w:t>
            </w:r>
            <w:r>
              <w:t xml:space="preserve"> na coluna da direita.</w:t>
            </w:r>
            <w:r>
              <w:cr/>
            </w:r>
          </w:p>
          <w:p>
            <w:pPr>
              <w:pStyle w:val="LegendStandard"/>
            </w:pPr>
            <w:r>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r>
              <w:cr/>
            </w:r>
          </w:p>
          <w:p>
            <w:pPr>
              <w:pStyle w:val="LegendStandard"/>
            </w:pPr>
            <w:r>
              <w:rPr>
                <w:b/>
              </w:rPr>
              <w:t>Alterações do Parlamento apresentadas sob a forma de texto consolidado</w:t>
            </w:r>
            <w:r>
              <w:cr/>
            </w:r>
          </w:p>
          <w:p>
            <w:pPr>
              <w:pStyle w:val="LegendStandard"/>
            </w:pPr>
            <w:r>
              <w:t xml:space="preserve">Os trechos novos são assinalados </w:t>
            </w:r>
            <w:r>
              <w:rPr>
                <w:b/>
                <w:i/>
              </w:rPr>
              <w:t>em itálico e a negrito</w:t>
            </w:r>
            <w:r>
              <w:t xml:space="preserve">. Os trechos suprimidos são assinalados pelo símbolo ▌ou rasurados. As substituições são assinaladas formatando o texto novo </w:t>
            </w:r>
            <w:r>
              <w:rPr>
                <w:b/>
                <w:i/>
              </w:rPr>
              <w:t>em itálico e a negrito</w:t>
            </w:r>
            <w:r>
              <w:t xml:space="preserve"> e suprimindo, ou rasurando, o texto substituído.</w:t>
            </w:r>
            <w:r>
              <w:br/>
            </w:r>
            <w:r>
              <w:t>Exceção: as modificações de natureza estritamente técnica introduzidas pelos serviços com vista à elaboração do texto final não são assinaladas.</w:t>
            </w:r>
            <w:r>
              <w:cr/>
            </w:r>
          </w:p>
        </w:tc>
      </w:tr>
    </w:tbl>
    <w:p/>
    <w:p/>
    <w:p/>
    <w:p>
      <w:r>
        <w:br w:type="page"/>
      </w:r>
    </w:p>
    <w:p>
      <w:pPr>
        <w:pStyle w:val="TOCHeading"/>
      </w:pPr>
      <w:r>
        <w:t>ÍNDICE</w:t>
      </w:r>
    </w:p>
    <w:p>
      <w:pPr>
        <w:pStyle w:val="TOCPage"/>
      </w:pPr>
      <w:r>
        <w:t>Página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PROJETO DE RESOLUÇÃO LEGISLATIVA DO PARLAMENTO EUROPEU</w:t>
      </w:r>
      <w:r>
        <w:tab/>
      </w:r>
      <w:r>
        <w:fldChar w:fldCharType="begin"/>
      </w:r>
      <w:r>
        <w:instrText xml:space="preserve"> PAGEREF _Toc256000003 \h </w:instrText>
      </w:r>
      <w:r>
        <w:fldChar w:fldCharType="separate"/>
      </w:r>
      <w:r>
        <w:t>5</w:t>
      </w:r>
      <w:r>
        <w:fldChar w:fldCharType="end"/>
      </w:r>
    </w:p>
    <w:p>
      <w:pPr>
        <w:pStyle w:val="TOC1"/>
        <w:tabs>
          <w:tab w:val="right" w:leader="dot" w:pos="9065"/>
        </w:tabs>
        <w:rPr>
          <w:rFonts w:ascii="Calibri" w:hAnsi="Calibri"/>
          <w:noProof/>
          <w:sz w:val="22"/>
        </w:rPr>
      </w:pPr>
      <w:r>
        <w:t>EXPOSIÇÃO DE MOTIVOS</w:t>
      </w:r>
      <w:r>
        <w:tab/>
      </w:r>
      <w:r>
        <w:fldChar w:fldCharType="begin"/>
      </w:r>
      <w:r>
        <w:instrText xml:space="preserve"> PAGEREF _Toc256000004 \h </w:instrText>
      </w:r>
      <w:r>
        <w:fldChar w:fldCharType="separate"/>
      </w:r>
      <w:r>
        <w:t>44</w:t>
      </w:r>
      <w:r>
        <w:fldChar w:fldCharType="end"/>
      </w:r>
    </w:p>
    <w:p>
      <w:pPr>
        <w:pStyle w:val="TOC1"/>
        <w:tabs>
          <w:tab w:val="right" w:leader="dot" w:pos="9065"/>
        </w:tabs>
        <w:rPr>
          <w:rFonts w:ascii="Calibri" w:hAnsi="Calibri"/>
          <w:noProof/>
          <w:sz w:val="22"/>
        </w:rPr>
      </w:pPr>
      <w:r>
        <w:t>ANEXO: DECLARAÇÃO DE CONTRIBUTOS</w:t>
      </w:r>
      <w:r>
        <w:tab/>
      </w:r>
      <w:r>
        <w:fldChar w:fldCharType="begin"/>
      </w:r>
      <w:r>
        <w:instrText xml:space="preserve"> PAGEREF _Toc256000005 \h </w:instrText>
      </w:r>
      <w:r>
        <w:fldChar w:fldCharType="separate"/>
      </w:r>
      <w:r>
        <w:t>47</w:t>
      </w:r>
      <w:r>
        <w:fldChar w:fldCharType="end"/>
      </w:r>
    </w:p>
    <w:p>
      <w:pPr>
        <w:pStyle w:val="TOC1"/>
      </w:pPr>
      <w:r>
        <w:fldChar w:fldCharType="end"/>
      </w:r>
    </w:p>
    <w:p>
      <w:r>
        <w:br w:type="page"/>
      </w:r>
    </w:p>
    <w:p>
      <w:r>
        <w:br w:type="page"/>
      </w:r>
    </w:p>
    <w:p>
      <w:pPr>
        <w:pStyle w:val="PageHeading"/>
      </w:pPr>
      <w:bookmarkStart w:id="0" w:name="_Toc256000003"/>
      <w:r>
        <w:t>PROJETO DE RESOLUÇÃO LEGISLATIVA DO PARLAMENTO EUROPEU</w:t>
      </w:r>
      <w:bookmarkEnd w:id="0"/>
    </w:p>
    <w:p>
      <w:pPr>
        <w:pStyle w:val="NormalBold"/>
      </w:pPr>
      <w:r>
        <w:t>sobre a proposta de diretiva do Parlamento Europeu e do Conselho que altera as Diretivas 2001/18/CE e 2010/53/UE no que se refere à colocação no mercado de microrganismos geneticamente modificados e ao processamento de órgãos</w:t>
      </w:r>
    </w:p>
    <w:p>
      <w:pPr>
        <w:pStyle w:val="NormalBold"/>
      </w:pPr>
    </w:p>
    <w:p>
      <w:pPr>
        <w:pStyle w:val="NormalBold12a"/>
      </w:pPr>
      <w:r>
        <w:t>(</w:t>
      </w:r>
      <w:r>
        <w:t>COM(2025)1031</w:t>
      </w:r>
      <w:r>
        <w:t xml:space="preserve"> – </w:t>
      </w:r>
      <w:r>
        <w:t>C10-0358/2025</w:t>
      </w:r>
      <w:r>
        <w:t xml:space="preserve"> – </w:t>
      </w:r>
      <w:r>
        <w:t>2025/0405(COD)</w:t>
      </w:r>
      <w:r>
        <w:t>)</w:t>
      </w:r>
    </w:p>
    <w:p>
      <w:pPr>
        <w:pStyle w:val="NormalBold12a"/>
      </w:pPr>
      <w:r>
        <w:t>(</w:t>
      </w:r>
      <w:r>
        <w:t>Processo legislativo ordinário: primeira leitura</w:t>
      </w:r>
      <w:r>
        <w:t>)</w:t>
      </w:r>
    </w:p>
    <w:p>
      <w:pPr>
        <w:pStyle w:val="Normal12"/>
      </w:pPr>
      <w:r>
        <w:t>O Parlamento Europeu,</w:t>
      </w:r>
    </w:p>
    <w:p>
      <w:pPr>
        <w:pStyle w:val="NormalHanging"/>
      </w:pPr>
      <w:r>
        <w:t>–</w:t>
      </w:r>
      <w:r>
        <w:tab/>
      </w:r>
      <w:r>
        <w:t>Tendo em conta a proposta da Comissão ao Parlamento Europeu e ao Conselho (COM(2025)1031),</w:t>
      </w:r>
    </w:p>
    <w:p>
      <w:pPr>
        <w:pStyle w:val="NormalHanging"/>
      </w:pPr>
      <w:r>
        <w:t>–</w:t>
      </w:r>
      <w:r>
        <w:tab/>
      </w:r>
      <w:r>
        <w:t>Tendo em conta o artigo 294.º, n.º 2, o artigo 168.º, n.º 4, e o artigo 114.º do Tratado sobre o Funcionamento da União Europeia, nos termos dos quais a proposta lhe foi apresentada pela Comissão (C10-0358/2025),</w:t>
      </w:r>
    </w:p>
    <w:p>
      <w:pPr>
        <w:pStyle w:val="NormalHanging"/>
      </w:pPr>
      <w:r>
        <w:t>–</w:t>
      </w:r>
      <w:r>
        <w:tab/>
      </w:r>
      <w:r>
        <w:t>Tendo em conta o artigo 294.º, n.º 3 do Tratado sobre o Funcionamento da União Europeia,</w:t>
      </w:r>
    </w:p>
    <w:p>
      <w:pPr>
        <w:pStyle w:val="NormalHanging"/>
      </w:pPr>
      <w:r>
        <w:t>–</w:t>
      </w:r>
      <w:r>
        <w:tab/>
      </w:r>
      <w:r>
        <w:t>Tendo em conta o parecer do Comité Económico e Social Europeu de [...]</w:t>
      </w:r>
      <w:r>
        <w:rPr>
          <w:rStyle w:val="FootnoteReference"/>
        </w:rPr>
        <w:footnoteReference w:customMarkFollows="1" w:id="2"/>
        <w:t xml:space="preserve">1</w:t>
      </w:r>
      <w:r>
        <w:t>,</w:t>
      </w:r>
    </w:p>
    <w:p>
      <w:pPr>
        <w:pStyle w:val="NormalHanging"/>
      </w:pPr>
      <w:r>
        <w:t>–</w:t>
      </w:r>
      <w:r>
        <w:tab/>
      </w:r>
      <w:r>
        <w:t>Tendo em conta o parecer do Comité das Regiões de [...]</w:t>
      </w:r>
      <w:r>
        <w:rPr>
          <w:rStyle w:val="FootnoteReference"/>
        </w:rPr>
        <w:footnoteReference w:customMarkFollows="1" w:id="3"/>
        <w:t xml:space="preserve">2</w:t>
      </w:r>
      <w:r>
        <w:t>,</w:t>
      </w:r>
    </w:p>
    <w:p>
      <w:pPr>
        <w:pStyle w:val="NormalHanging"/>
      </w:pPr>
      <w:r>
        <w:t>–</w:t>
      </w:r>
      <w:r>
        <w:tab/>
      </w:r>
      <w:r>
        <w:t>Tendo em conta o artigo 60.º do seu Regimento,</w:t>
      </w:r>
    </w:p>
    <w:p>
      <w:pPr>
        <w:pStyle w:val="NormalHanging"/>
      </w:pPr>
      <w:r>
        <w:t>–</w:t>
      </w:r>
      <w:r>
        <w:tab/>
      </w:r>
      <w:r>
        <w:t>Tendo em conta as deliberações conjuntas da Comissão do Ambiente, do Clima e da Segurança Alimentar e da Comissão da Saúde Pública, nos termos do artigo 59.º do Regimento,</w:t>
      </w:r>
    </w:p>
    <w:p>
      <w:pPr>
        <w:pStyle w:val="NormalHanging"/>
      </w:pPr>
      <w:r>
        <w:t>–</w:t>
      </w:r>
      <w:r>
        <w:tab/>
      </w:r>
      <w:r>
        <w:t>Tendo em conta o relatório da Comissão do Ambiente, do Clima e da Segurança Alimentar e da Comissão da Saúde Pública (A10-0000/2026),</w:t>
      </w:r>
    </w:p>
    <w:p>
      <w:pPr>
        <w:pStyle w:val="NormalHanging12a"/>
      </w:pPr>
      <w:r>
        <w:t>1.</w:t>
      </w:r>
      <w:r>
        <w:tab/>
      </w:r>
      <w:r>
        <w:t>Aprova a posição em primeira leitura que se segue;</w:t>
      </w:r>
    </w:p>
    <w:p>
      <w:pPr>
        <w:pStyle w:val="NormalHanging12a"/>
      </w:pPr>
      <w:r>
        <w:t>2.</w:t>
      </w:r>
      <w:r>
        <w:tab/>
      </w:r>
      <w:r>
        <w:t>Requer à Comissão que lhe submeta de novo a sua proposta, se a substituir, se a alterar substancialmente ou se pretender alterá-la substancialmente;</w:t>
      </w:r>
    </w:p>
    <w:p>
      <w:pPr>
        <w:pStyle w:val="NormalHanging12a"/>
      </w:pPr>
      <w:r>
        <w:t>3.</w:t>
      </w:r>
      <w:r>
        <w:tab/>
      </w:r>
      <w:r>
        <w:t>Encarrega a sua Presidente de transmitir a posição do Parlamento ao Conselho, à Comissão e aos parlamentos nacionais.</w:t>
      </w:r>
    </w:p>
    <w:p>
      <w:r>
        <w:br w:type="page"/>
      </w:r>
    </w:p>
    <w:p>
      <w:pPr>
        <w:pStyle w:val="AmNumberTabs"/>
      </w:pP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Nos termos do artigo 168.º, n.º 1, primeiro parágrafo, do Tratado sobre o Funcionamento da União Europeia (TFUE) e do artigo 35.º da Carta dos Direitos Fundamentais da União Europeia («Carta»), na definição e execução de todas as políticas e ações da União será assegurado um elevado nível de proteção da saúde. O domínio da transplantação de órgãos está sujeito a inovações constantes destinadas a manter e melhorar o estado funcional dos órgãos. As operações de processamento de órgãos são essenciais para este efeito e ainda não são regulamentadas pela Diretiva 2010/53/UE.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 Regulamento (UE) …/… [ato legislativo europeu sobre biotecnologia] cria um quadro para reforçar a competitividade do setor da biotecnologia da saúde na União, desde a investigação e o desenvolvimento à produção e colocação atempada no mercado da União de inovações e produtos biotecnológicos, salvaguardando ao mesmo tempo os elevados padrões de proteção da saúde humana, a segurança dos doentes e a saúde animal, o ambiente, a ética, a qualidade dos produtos, a segurança dos géneros alimentícios e dos alimentos para animais e a bioproteção. Para efeitos do referido regulamento, por biotecnologia da saúde entende-se a aplicação da biotecnologia tendo em vista a promoção, a proteção ou o restabelecimento da saúde humana, bem como aplicações biotecnológicas pertinentes para a saúde animal, a fitossanidade, a saúde pública veterinária e a segurança dos alimentos, na medida em que estes domínios contribuam direta ou indiretamente para a proteção da saúde humana e estejam em consonância com os objetivos de saúde pública da União, tal como estabelecidos no artigo 168.º do Tratado sobre o Funcionamento da União Europeia.</w:t>
            </w:r>
          </w:p>
        </w:tc>
        <w:tc>
          <w:tcPr>
            <w:tcW w:w="4876" w:type="dxa"/>
            <w:tcBorders>
              <w:top w:val="nil"/>
              <w:left w:val="nil"/>
              <w:bottom w:val="nil"/>
              <w:right w:val="nil"/>
            </w:tcBorders>
          </w:tcPr>
          <w:p>
            <w:pPr>
              <w:pStyle w:val="Normal6a"/>
            </w:pPr>
            <w:r>
              <w:t>(1)</w:t>
            </w:r>
            <w:r>
              <w:tab/>
            </w:r>
            <w:r>
              <w:t xml:space="preserve">O Regulamento (UE) …/… [ato legislativo europeu sobre biotecnologia] cria um quadro para reforçar a competitividade do setor da biotecnologia da saúde na União, desde a investigação e o desenvolvimento à produção e colocação atempada no mercado da União de inovações e produtos biotecnológicos </w:t>
            </w:r>
            <w:r>
              <w:rPr>
                <w:b/>
                <w:i/>
              </w:rPr>
              <w:t>e médicos</w:t>
            </w:r>
            <w:r>
              <w:t>, salvaguardando ao mesmo tempo os elevados padrões de proteção da saúde humana, a segurança dos doentes e a saúde animal, o ambiente, a ética, a qualidade dos produtos, a segurança dos géneros alimentícios e dos alimentos para animais e a bioproteção. Para efeitos do referido regulamento, por biotecnologia da saúde entende-se a aplicação da biotecnologia tendo em vista a promoção, a proteção ou o restabelecimento da saúde humana, bem como aplicações biotecnológicas pertinentes para a saúde animal, a fitossanidade, a saúde pública veterinária e a segurança dos alimentos, na medida em que estes domínios contribuam direta ou indiretamente para a proteção da saúde humana e estejam em consonância com os objetivos de saúde pública da União, tal como estabelecidos no artigo 168.º do Tratado sobre o Funcionamento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Dado que os objetivos da Diretiva 2001/18/CE do Parlamento Europeu e do Conselho</w:t>
            </w:r>
            <w:r>
              <w:rPr>
                <w:b/>
                <w:i/>
                <w:vertAlign w:val="superscript"/>
              </w:rPr>
              <w:t>3</w:t>
            </w:r>
            <w:r>
              <w:t xml:space="preserve"> e da Diretiva 2010/53/UE do Parlamento Europeu e do Conselho</w:t>
            </w:r>
            <w:r>
              <w:rPr>
                <w:b/>
                <w:i/>
                <w:vertAlign w:val="superscript"/>
              </w:rPr>
              <w:t>4</w:t>
            </w:r>
            <w:r>
              <w:t xml:space="preserve"> estão estreitamente ligados aos do Regulamento (UE) …/… [ato legislativo europeu sobre biotecnologia], e tendo em conta que, desde a adoção dessas diretivas, se registaram progressos significativos na área da biotecnologia, afigura-se adequado adaptar essas diretivas, a fim de assegurar o alinhamento com as novas realidades tecnológicas e com os objetivos e disposições estabelecidos no Regulamento (UE) …/… [ato legislativo europeu sobre biotecnologia]. Essas adaptações visam melhorar a coerência, a clareza jurídica e o bom funcionamento do quadro legislativo da União em matéria de biotecnologia e, em última análise, garantir </w:t>
            </w:r>
            <w:r>
              <w:rPr>
                <w:b/>
                <w:i/>
              </w:rPr>
              <w:t>que os cidadãos da União tenham ao seu dispor</w:t>
            </w:r>
            <w:r>
              <w:t xml:space="preserve"> terapias e outros produtos seguros </w:t>
            </w:r>
            <w:r>
              <w:rPr>
                <w:b/>
                <w:i/>
              </w:rPr>
              <w:t>e</w:t>
            </w:r>
            <w:r>
              <w:t xml:space="preserve"> de elevada qualidade.</w:t>
            </w:r>
          </w:p>
        </w:tc>
        <w:tc>
          <w:tcPr>
            <w:tcW w:w="4876" w:type="dxa"/>
            <w:tcBorders>
              <w:top w:val="nil"/>
              <w:left w:val="nil"/>
              <w:bottom w:val="nil"/>
              <w:right w:val="nil"/>
            </w:tcBorders>
          </w:tcPr>
          <w:p>
            <w:pPr>
              <w:pStyle w:val="Normal6a"/>
            </w:pPr>
            <w:r>
              <w:t>(2)</w:t>
            </w:r>
            <w:r>
              <w:tab/>
            </w:r>
            <w:r>
              <w:t xml:space="preserve">Dado que os objetivos da Diretiva 2001/18/CE do Parlamento Europeu e do Conselho e da Diretiva 2010/53/UE do Parlamento Europeu e do Conselho estão estreitamente ligados aos do Regulamento (UE) …/… [ato legislativo europeu sobre biotecnologia], e tendo em conta que, desde a adoção dessas diretivas, se registaram progressos significativos na área da biotecnologia, </w:t>
            </w:r>
            <w:r>
              <w:rPr>
                <w:b/>
                <w:i/>
              </w:rPr>
              <w:t>incluindo aplicações de saúde,</w:t>
            </w:r>
            <w:r>
              <w:t xml:space="preserve"> afigura-se adequado adaptar essas diretivas, a fim de assegurar o alinhamento com as novas realidades </w:t>
            </w:r>
            <w:r>
              <w:rPr>
                <w:b/>
                <w:i/>
              </w:rPr>
              <w:t>médicas e</w:t>
            </w:r>
            <w:r>
              <w:t xml:space="preserve"> tecnológicas e com os objetivos e disposições estabelecidos no Regulamento (UE) …/… [ato legislativo europeu sobre biotecnologia]. Essas adaptações visam melhorar a coerência, a clareza jurídica e o bom funcionamento do quadro legislativo da União em matéria de </w:t>
            </w:r>
            <w:r>
              <w:rPr>
                <w:b/>
                <w:i/>
              </w:rPr>
              <w:t>saúde pública e</w:t>
            </w:r>
            <w:r>
              <w:t xml:space="preserve"> biotecnologia e, em última análise, garantir </w:t>
            </w:r>
            <w:r>
              <w:rPr>
                <w:b/>
                <w:i/>
              </w:rPr>
              <w:t>e melhorar a disponibilidade de</w:t>
            </w:r>
            <w:r>
              <w:t xml:space="preserve"> terapias e outros produtos seguros de elevada qualidade </w:t>
            </w:r>
            <w:r>
              <w:rPr>
                <w:b/>
                <w:i/>
              </w:rPr>
              <w:t>e a preços acessíveis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Diretiva 2001/18/CE do Parlamento Europeu e do Conselho, de 12 de março de 2001, relativa à libertação deliberada no ambiente de organismos geneticamente modificados e que revoga a Diretiva 90/220/CEE do Conselho (JO L 106 de 17.4.2001, p. 1, ELI:</w:t>
            </w:r>
            <w:r>
              <w:t xml:space="preserve"> http://data.europa.eu/eli/dir/2001/18/oj )</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Diretiva 2010/53/UE do Parlamento Europeu e do Conselho, de 7 de julho de 2010, relativa a normas de qualidade e segurança dos órgãos humanos destinados a transplantação (JO L 207 de 6.8.2010, p. 14, ELI:</w:t>
            </w:r>
            <w:r>
              <w:t xml:space="preserve"> http://data.europa.eu/eli/dir/2010/53/oj)).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Uma vez que as informações sobre os órgãos revelam informações sobre o estado de saúde do dador, sendo, por conseguinte, consideradas «dados relativos à saúde» nos termos do artigo 4.º, n.º 15, do Regulamento geral sobre a proteção de dados ((UE) 2016/679), importa prever garantias sólidas em matéria de proteção de dados. As informações sobre os órgãos podem também constituir dados genéticos nos termos do artigo 4.º, n.º 13, do RGPD, notadamente se contiverem uma análise do ácido desoxirribonucleico (ADN) do dador ou se fornecerem informações sobre as características genéticas hereditárias ou adquiridas de uma pessoa singular que forneçam informações únicas sobre a sua fisiologia ou saúde. Tanto os dados relativos à saúde como os dados genéticos são considerados categorias especiais de dados nos termos do artigo 9.º, n.º 1, do RGPD, pelo que estão sujeitos a uma proteção acrescida.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Alteração baseada no parecer da Autoridade Europeia para a Proteção de Dados, ponto 14.</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Uma vez que o processamento de órgãos implica o tratamento de dados pessoais, nomeadamente dados relativos à saúde, o respeito dos princípios da proteção de dados deve ser integrado por defeito. Tal implicaria limitar o tratamento de dados pessoais ao necessário para alcançar os objetivos e cumprir as obrigações previstas na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2-C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O artigo 17.º da Diretiva 2010/53/UE garante a aplicação plena e eficaz do direito fundamental à proteção dos dados pessoais no âmbito de todas as atividades de transplantação de órgãos, inclusive o processamento de órgãos, nos termos das disposições da União relativas à proteção de dados pessoais, nomeadamente o Regulamento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 sequência de um mandato da Comissão, a Autoridade Europeia para a Segurança dos Alimentos («Autoridade») adotou, em 19 de junho de 2024, um parecer sobre a aplicação aos microrganismos de novos desenvolvimentos na área da biotecnologia</w:t>
            </w:r>
            <w:r>
              <w:rPr>
                <w:vertAlign w:val="superscript"/>
              </w:rPr>
              <w:t>5</w:t>
            </w:r>
            <w:r>
              <w:t xml:space="preserve">. A Autoridade concluiu que os possíveis perigos estão relacionados com as alterações introduzidas, independentemente do método utilizado, e que a avaliação dos riscos deve basear-se nas características do produto que contém ou é constituído por microrganismos. Concluiu igualmente que, </w:t>
            </w:r>
            <w:r>
              <w:rPr>
                <w:b/>
                <w:i/>
              </w:rPr>
              <w:t>comparativamente</w:t>
            </w:r>
            <w:r>
              <w:t xml:space="preserve"> com </w:t>
            </w:r>
            <w:r>
              <w:rPr>
                <w:b/>
                <w:i/>
              </w:rPr>
              <w:t>os OGM em geral</w:t>
            </w:r>
            <w:r>
              <w:t xml:space="preserve">, </w:t>
            </w:r>
            <w:r>
              <w:rPr>
                <w:b/>
                <w:i/>
              </w:rPr>
              <w:t>certos MGM exigem</w:t>
            </w:r>
            <w:r>
              <w:t xml:space="preserve"> menos requisitos no que diz respeito à avaliação dos riscos. Por último, a Autoridade considerou que, para determinados MGM, a necessidade de monitorização ambiental pós-comercialização pode ser dispensada com base na avaliação dos riscos ambientais.</w:t>
            </w:r>
          </w:p>
        </w:tc>
        <w:tc>
          <w:tcPr>
            <w:tcW w:w="4876" w:type="dxa"/>
            <w:tcBorders>
              <w:top w:val="nil"/>
              <w:left w:val="nil"/>
              <w:bottom w:val="nil"/>
              <w:right w:val="nil"/>
            </w:tcBorders>
          </w:tcPr>
          <w:p>
            <w:pPr>
              <w:pStyle w:val="Normal6a"/>
            </w:pPr>
            <w:r>
              <w:t>(4)</w:t>
            </w:r>
            <w:r>
              <w:tab/>
            </w:r>
            <w:r>
              <w:t>Na sequência de um mandato da Comissão, a Autoridade Europeia para a Segurança dos Alimentos («Autoridade») adotou, em 19 de junho de 2024, um parecer sobre a aplicação aos microrganismos de novos desenvolvimentos na área da biotecnologia</w:t>
            </w:r>
            <w:r>
              <w:rPr>
                <w:vertAlign w:val="superscript"/>
              </w:rPr>
              <w:t>5</w:t>
            </w:r>
            <w:r>
              <w:t xml:space="preserve">. A Autoridade concluiu que os possíveis perigos estão relacionados com as alterações introduzidas, independentemente do método utilizado, e que a avaliação dos riscos deve basear-se nas características do produto que contém ou é constituído por microrganismos.  </w:t>
            </w:r>
            <w:r>
              <w:rPr>
                <w:b/>
                <w:i/>
              </w:rPr>
              <w:t xml:space="preserve"> </w:t>
            </w:r>
            <w:r>
              <w:t xml:space="preserve">Concluiu igualmente que, </w:t>
            </w:r>
            <w:r>
              <w:rPr>
                <w:b/>
                <w:i/>
              </w:rPr>
              <w:t>no caso de certos MGM</w:t>
            </w:r>
            <w:r>
              <w:t xml:space="preserve"> com </w:t>
            </w:r>
            <w:r>
              <w:rPr>
                <w:b/>
                <w:i/>
              </w:rPr>
              <w:t>um perfil de baixo risco</w:t>
            </w:r>
            <w:r>
              <w:t xml:space="preserve">, </w:t>
            </w:r>
            <w:r>
              <w:rPr>
                <w:b/>
                <w:i/>
              </w:rPr>
              <w:t>poderá ser adequado aplicar</w:t>
            </w:r>
            <w:r>
              <w:t xml:space="preserve"> menos requisitos no que diz respeito à avaliação dos riscos, comparativamente com os OGM em geral</w:t>
            </w:r>
            <w:r>
              <w:rPr>
                <w:b/>
                <w:i/>
              </w:rPr>
              <w:t>, tendo em conta o perfil de risco mais baixo</w:t>
            </w:r>
            <w:r>
              <w:t>. Por último, a Autoridade considerou que, para determinados MGM, a necessidade de monitorização ambiental pós-comercialização pode ser dispensada com base na avaliação dos riscos ambientais.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4: https://doi.org/10.2903/j.efsa.192024.8895</w:t>
            </w:r>
          </w:p>
        </w:tc>
        <w:tc>
          <w:tcPr>
            <w:tcW w:w="4876" w:type="dxa"/>
            <w:tcBorders>
              <w:top w:val="nil"/>
              <w:left w:val="nil"/>
              <w:bottom w:val="nil"/>
              <w:right w:val="nil"/>
            </w:tcBorders>
          </w:tcPr>
          <w:p>
            <w:pPr>
              <w:pStyle w:val="Normal6a"/>
            </w:pPr>
            <w:r>
              <w:rPr>
                <w:vertAlign w:val="superscript"/>
              </w:rPr>
              <w:t>5</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4: https://doi.org/10.2903/j.efsa.192024.8895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Considerando que a Diretiva 2001/18/CE teve como principal objetivo regulamentar as plantas geneticamente modificadas obtidas com recurso a determinadas técnicas genómicas estabelecidas, em especial as técnicas que introduzem num organismo material genético proveniente de espécies não cruzáveis (transgénese), e tendo em conta as conclusões da Autoridade relativamente aos MGM, bem como as propriedades biológicas, capacidades e potenciais aplicações destes, que diferem significativamente das plantas, a Diretiva 2001/18/CE deve ser adaptada às especificidades dos MGM, a fim de permitir que os produtos inovadores cheguem ao mercado antes de se tornarem obsoletos, evitando custos de autorização desproporcionados e mantendo simultaneamente um elevado nível de segurança.</w:t>
            </w:r>
          </w:p>
        </w:tc>
        <w:tc>
          <w:tcPr>
            <w:tcW w:w="4876" w:type="dxa"/>
            <w:tcBorders>
              <w:top w:val="nil"/>
              <w:left w:val="nil"/>
              <w:bottom w:val="nil"/>
              <w:right w:val="nil"/>
            </w:tcBorders>
          </w:tcPr>
          <w:p>
            <w:pPr>
              <w:pStyle w:val="Normal6a"/>
            </w:pPr>
            <w:r>
              <w:t>(5)</w:t>
            </w:r>
            <w:r>
              <w:tab/>
            </w:r>
            <w:r>
              <w:t xml:space="preserve">Considerando que a Diretiva 2001/18/CE teve como principal objetivo regulamentar as plantas geneticamente modificadas obtidas com recurso a determinadas técnicas genómicas estabelecidas, em especial as técnicas que introduzem num organismo material genético proveniente de espécies não cruzáveis (transgénese), e tendo em conta as conclusões da Autoridade relativamente aos MGM, bem como as propriedades biológicas, capacidades e potenciais aplicações destes, que diferem significativamente das plantas, a Diretiva 2001/18/CE deve ser adaptada às especificidades dos MGM, a fim de permitir que os produtos inovadores cheguem ao mercado antes de se tornarem obsoletos, evitando custos de autorização desproporcionados e mantendo simultaneamente um elevado nível de segurança </w:t>
            </w:r>
            <w:r>
              <w:rPr>
                <w:b/>
                <w:i/>
              </w:rPr>
              <w:t>para o ambiente, a saúde humana e a saúde animal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 fim de refletir as propriedades específicas dos MGM, os requisitos de informação estabelecidos no anexo III da Diretiva 2001/18/CE a utilizar na avaliação dos riscos devem ser adaptados com base nas informações e dados disponíveis no que se refere aos MGM, respeitando simultaneamente os princípios aplicáveis à avaliação dos riscos ambientais dos OGM estabelecidos no anexo II da referida diretiva. A fim de efetuar essas adaptações, o poder de adotar atos delegados nos termos do artigo 290.º do Tratado sobre o Funcionamento da União Europeia deve ser delegado na Comissão no que diz respeito à alteração dos requisitos de informação estabelecidos no anexo III da diretiva.</w:t>
            </w:r>
          </w:p>
        </w:tc>
        <w:tc>
          <w:tcPr>
            <w:tcW w:w="4876" w:type="dxa"/>
            <w:tcBorders>
              <w:top w:val="nil"/>
              <w:left w:val="nil"/>
              <w:bottom w:val="nil"/>
              <w:right w:val="nil"/>
            </w:tcBorders>
          </w:tcPr>
          <w:p>
            <w:pPr>
              <w:pStyle w:val="Normal6a"/>
            </w:pPr>
            <w:r>
              <w:t>(8)</w:t>
            </w:r>
            <w:r>
              <w:tab/>
            </w:r>
            <w:r>
              <w:t xml:space="preserve">A fim de refletir as propriedades específicas dos MGM, os requisitos de informação estabelecidos no anexo III da Diretiva 2001/18/CE a utilizar na avaliação dos riscos </w:t>
            </w:r>
            <w:r>
              <w:rPr>
                <w:b/>
                <w:i/>
              </w:rPr>
              <w:t>ambientais (ARA)</w:t>
            </w:r>
            <w:r>
              <w:t xml:space="preserve"> devem ser adaptados com base nas informações e dados disponíveis no que se refere aos MGM, respeitando simultaneamente </w:t>
            </w:r>
            <w:r>
              <w:rPr>
                <w:b/>
                <w:i/>
              </w:rPr>
              <w:t>o princípio da precaução e</w:t>
            </w:r>
            <w:r>
              <w:t xml:space="preserve"> os princípios aplicáveis à avaliação dos riscos ambientais dos OGM estabelecidos no anexo II da referida diretiva. A fim de efetuar essas adaptações, o poder de adotar atos delegados nos termos do artigo 290.º do Tratado sobre o Funcionamento da União Europeia deve ser delegado na Comissão no que diz respeito à alteração dos requisitos de informação estabelecidos no anexo III da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Tendo em conta que</w:t>
            </w:r>
            <w:r>
              <w:t xml:space="preserve"> os MGM têm ciclos de produtos bastante curtos e </w:t>
            </w:r>
            <w:r>
              <w:rPr>
                <w:b/>
                <w:i/>
              </w:rPr>
              <w:t>que</w:t>
            </w:r>
            <w:r>
              <w:t xml:space="preserve"> os MGM de nova geração são desenvolvidos em prazos também eles curtos </w:t>
            </w:r>
            <w:r>
              <w:rPr>
                <w:b/>
                <w:i/>
              </w:rPr>
              <w:t>(</w:t>
            </w:r>
            <w:r>
              <w:t>baseando-se os novos produtos na experiência adquirida com os anteriores, nomeadamente no que toca à avaliação dos riscos</w:t>
            </w:r>
            <w:r>
              <w:rPr>
                <w:b/>
                <w:i/>
              </w:rPr>
              <w:t>), a limitação do prazo de validade da autorização previsto na Diretiva 2001/18/CE implica um encargo para os operadores e para as autoridades nacionais competentes e, ao mesmo tempo, proporciona ganhos limitados no atinente à segurança desses produtos, atendendo à reduzida vida útil dos mesmos</w:t>
            </w:r>
            <w:r>
              <w:t>. A Diretiva 2001/18/CE já estabelece medidas para garantir que o notificador forneça quaisquer informações novas pertinentes, bem como medidas de salvaguarda caso sejam identificados novos riscos. Assim sendo, a Diretiva 2001/18/CE deve dispor que as autorizações concedidas para a colocação de MGM no mercado sejam válidas por um período ilimitado. As medidas necessárias para proteger a saúde humana e o ambiente devem continuar a ser adotadas sempre que as autorizações concedidas deixem de satisfazer as condições de segurança estabelecidas nessa diretiva, tendo em conta o progresso científico e técnico, bem como informações novas que tenham surgido entretanto.</w:t>
            </w:r>
          </w:p>
        </w:tc>
        <w:tc>
          <w:tcPr>
            <w:tcW w:w="4876" w:type="dxa"/>
            <w:tcBorders>
              <w:top w:val="nil"/>
              <w:left w:val="nil"/>
              <w:bottom w:val="nil"/>
              <w:right w:val="nil"/>
            </w:tcBorders>
          </w:tcPr>
          <w:p>
            <w:pPr>
              <w:pStyle w:val="Normal6a"/>
            </w:pPr>
            <w:r>
              <w:t>(9)</w:t>
            </w:r>
            <w:r>
              <w:tab/>
            </w:r>
            <w:r>
              <w:t>Os MGM têm ciclos de produtos bastante curtos e os MGM de nova geração são desenvolvidos em prazos também eles curtos</w:t>
            </w:r>
            <w:r>
              <w:rPr>
                <w:b/>
                <w:i/>
              </w:rPr>
              <w:t>,</w:t>
            </w:r>
            <w:r>
              <w:t xml:space="preserve"> baseando-se os novos produtos na experiência adquirida com os anteriores, nomeadamente no que toca à avaliação dos riscos. A Diretiva 2001/18/CE já estabelece medidas para garantir que o notificador forneça quaisquer informações novas pertinentes, bem como medidas de salvaguarda caso sejam identificados novos riscos. Assim sendo, a Diretiva 2001/18/CE deve dispor que as autorizações concedidas para a colocação no mercado de MGM </w:t>
            </w:r>
            <w:r>
              <w:rPr>
                <w:b/>
                <w:i/>
              </w:rPr>
              <w:t>com perfil de baixo risco, após o primeiro período inicial de 10 anos,</w:t>
            </w:r>
            <w:r>
              <w:t xml:space="preserve"> sejam válidas por um período ilimitado. As medidas necessárias para proteger a saúde humana</w:t>
            </w:r>
            <w:r>
              <w:rPr>
                <w:b/>
                <w:i/>
              </w:rPr>
              <w:t>, a saúde animal</w:t>
            </w:r>
            <w:r>
              <w:t xml:space="preserve"> e o ambiente devem continuar a ser adotadas sempre que as autorizações concedidas deixem de satisfazer as condições de segurança estabelecidas nessa diretiva, tendo em conta o progresso científico e técnico, bem como informações novas que tenham surgido entretanto.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Em 2 de outubro de 2025, o grupo de trabalho sobre novas técnicas de mutagénese da Rede Europeia de Laboratórios para os OGM (ENGL) publicou um relatório sobre as possibilidades e os desafios analíticos relacionados com a deteção de microrganismos modificados com recurso a novas técnicas genómicas, no qual concluiu que os ensaios analíticos não são viáveis para determinados MGM obtidos através dessas técnicas, nomeadamente no contexto de controlos laboratoriais de rotina</w:t>
            </w:r>
            <w:r>
              <w:rPr>
                <w:vertAlign w:val="superscript"/>
              </w:rPr>
              <w:t>8</w:t>
            </w:r>
            <w:r>
              <w:t>. Por conseguinte, nos casos em que não seja viável prever um método analítico que assegure a deteção, a identificação e a quantificação, e se tal for devidamente justificado pelo notificador, as modalidades para dar cumprimento aos requisitos de desempenho do método analítico devem ser adaptadas por meio de atos de execução.</w:t>
            </w:r>
          </w:p>
        </w:tc>
        <w:tc>
          <w:tcPr>
            <w:tcW w:w="4876" w:type="dxa"/>
            <w:tcBorders>
              <w:top w:val="nil"/>
              <w:left w:val="nil"/>
              <w:bottom w:val="nil"/>
              <w:right w:val="nil"/>
            </w:tcBorders>
          </w:tcPr>
          <w:p>
            <w:pPr>
              <w:pStyle w:val="Normal6a"/>
            </w:pPr>
            <w:r>
              <w:t>(10)</w:t>
            </w:r>
            <w:r>
              <w:tab/>
            </w:r>
            <w:r>
              <w:t>Em 2 de outubro de 2025, o grupo de trabalho sobre novas técnicas de mutagénese da Rede Europeia de Laboratórios para os OGM (ENGL) publicou um relatório sobre as possibilidades e os desafios analíticos relacionados com a deteção de microrganismos modificados com recurso a novas técnicas genómicas, no qual concluiu que os ensaios analíticos não são viáveis para determinados MGM obtidos através dessas técnicas, nomeadamente no contexto de controlos laboratoriais de rotina</w:t>
            </w:r>
            <w:r>
              <w:rPr>
                <w:vertAlign w:val="superscript"/>
              </w:rPr>
              <w:t>8</w:t>
            </w:r>
            <w:r>
              <w:t xml:space="preserve">. Por conseguinte, nos casos em que não seja viável prever um método analítico que assegure a deteção, a identificação e a quantificação, e se tal for devidamente justificado pelo notificador, as modalidades para dar cumprimento aos requisitos de desempenho do método analítico devem ser adaptadas por meio de atos de execução. </w:t>
            </w:r>
            <w:r>
              <w:rPr>
                <w:b/>
                <w:i/>
              </w:rPr>
              <w:t>Deve igualmente prever-se que o laboratório de referência da União Europeia, assistido pela ENGL, adote orientações destinadas aos requerentes e às autoridades competentes sobre os requisitos mínimos de desempenho dos métodos analíticos.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Sowa, S., Broothaerts, W., Burns, M., De Loose, M., Debode, F., et al., Detection of microorganisms, obtained by new genomic techniques, in food and feed products [não traduzido para português], Serviço das Publicações da União Europeia, Luxemburgo, 2025, https://data.europa.eu/doi/10.2760/1846532, JRC143597.</w:t>
            </w:r>
          </w:p>
        </w:tc>
        <w:tc>
          <w:tcPr>
            <w:tcW w:w="4876" w:type="dxa"/>
            <w:tcBorders>
              <w:top w:val="nil"/>
              <w:left w:val="nil"/>
              <w:bottom w:val="nil"/>
              <w:right w:val="nil"/>
            </w:tcBorders>
          </w:tcPr>
          <w:p>
            <w:pPr>
              <w:pStyle w:val="Normal6a"/>
            </w:pPr>
            <w:r>
              <w:rPr>
                <w:vertAlign w:val="superscript"/>
              </w:rPr>
              <w:t>8</w:t>
            </w:r>
            <w:r>
              <w:t xml:space="preserve"> </w:t>
            </w:r>
            <w:r>
              <w:t>Sowa, S., Broothaerts, W., Burns, M., De Loose, M., Debode, F., et al., Detection of microorganisms, obtained by new genomic techniques, in food and feed products [não traduzido para português], Serviço das Publicações da União Europeia, Luxemburgo, 2025, https://data.europa.eu/doi/10.2760/1846532, JRC143597.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 Autoridade concluiu ainda que certos MGM exigem menos requisitos de dados no que respeita à avaliação dos riscos</w:t>
            </w:r>
            <w:r>
              <w:rPr>
                <w:vertAlign w:val="superscript"/>
              </w:rPr>
              <w:t>9</w:t>
            </w:r>
            <w:r>
              <w:t>, e apresentou alguns critérios para identificar esses MGM</w:t>
            </w:r>
            <w:r>
              <w:rPr>
                <w:vertAlign w:val="superscript"/>
              </w:rPr>
              <w:t>10</w:t>
            </w:r>
            <w:r>
              <w:t>. Assim, a Diretiva 2001/18/CE deve estabelecer requisitos específicos para os MGM com um perfil de risco intrinsecamente baixo, a fim de assegurar que a avaliação dos riscos e os procedimentos são proporcionados em relação aos riscos associados aos MGM. Essa adaptação deverá conduzir a uma redução do tempo para a colocação no mercado de MGM de baixo risco, possibilitando a inovação sem comprometer as normas de segurança.</w:t>
            </w:r>
          </w:p>
        </w:tc>
        <w:tc>
          <w:tcPr>
            <w:tcW w:w="4876" w:type="dxa"/>
            <w:tcBorders>
              <w:top w:val="nil"/>
              <w:left w:val="nil"/>
              <w:bottom w:val="nil"/>
              <w:right w:val="nil"/>
            </w:tcBorders>
          </w:tcPr>
          <w:p>
            <w:pPr>
              <w:pStyle w:val="Normal6a"/>
            </w:pPr>
            <w:r>
              <w:t>(11)</w:t>
            </w:r>
            <w:r>
              <w:tab/>
            </w:r>
            <w:r>
              <w:t xml:space="preserve">A Autoridade concluiu ainda que certos MGM </w:t>
            </w:r>
            <w:r>
              <w:rPr>
                <w:b/>
                <w:i/>
              </w:rPr>
              <w:t>com perfil de baixo risco</w:t>
            </w:r>
            <w:r>
              <w:t xml:space="preserve"> exigem menos requisitos de dados no que respeita à avaliação dos riscos</w:t>
            </w:r>
            <w:r>
              <w:rPr>
                <w:vertAlign w:val="superscript"/>
              </w:rPr>
              <w:t>9</w:t>
            </w:r>
            <w:r>
              <w:t xml:space="preserve">, e apresentou alguns critérios para identificar esses MGM </w:t>
            </w:r>
            <w:r>
              <w:rPr>
                <w:b/>
                <w:i/>
              </w:rPr>
              <w:t>com perfil de baixo risco</w:t>
            </w:r>
            <w:r>
              <w:rPr>
                <w:vertAlign w:val="superscript"/>
              </w:rPr>
              <w:t>10</w:t>
            </w:r>
            <w:r>
              <w:t xml:space="preserve">. Assim, a Diretiva 2001/18/CE deve estabelecer requisitos específicos para os MGM com um perfil de risco intrinsecamente baixo, a fim de assegurar que a avaliação dos riscos e os procedimentos são proporcionados em relação aos riscos associados aos MGM. Essa adaptação deverá conduzir a uma redução do tempo para a colocação no mercado de MGM </w:t>
            </w:r>
            <w:r>
              <w:rPr>
                <w:b/>
                <w:i/>
              </w:rPr>
              <w:t>com perfil</w:t>
            </w:r>
            <w:r>
              <w:t xml:space="preserve"> de baixo risco, possibilitando a inovação sem comprometer as normas de segurança </w:t>
            </w:r>
            <w:r>
              <w:rPr>
                <w:b/>
                <w:i/>
              </w:rPr>
              <w:t>para a saúde humana, a saúde animal e o ambiente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3.3.2.9: https://doi.org/10.2903/j.efsa.2024.8895</w:t>
            </w:r>
          </w:p>
        </w:tc>
        <w:tc>
          <w:tcPr>
            <w:tcW w:w="4876" w:type="dxa"/>
            <w:tcBorders>
              <w:top w:val="nil"/>
              <w:left w:val="nil"/>
              <w:bottom w:val="nil"/>
              <w:right w:val="nil"/>
            </w:tcBorders>
          </w:tcPr>
          <w:p>
            <w:pPr>
              <w:pStyle w:val="Normal6a"/>
            </w:pPr>
            <w:r>
              <w:rPr>
                <w:vertAlign w:val="superscript"/>
              </w:rPr>
              <w:t>9</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3.3.2.9: https://doi.org/10.2903/j.efsa.2024.8895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Comité Científico da EFSA, Bennekou, S. H., Allende, A., Bearth, A., Casacuberta, J., Castle, L., Coja, T., Crépet, A., Halldorsson, T. I., Hoogenboom, R., Jokelainen, P., Knutsen, H. K., Lambré, C., Nielsen, S., Turck, D., Civera, A. V., Villa, R. E., Zorn, H., Gómez, M. A., … Glandorf, B., «Guidance on the characterisation of microorganisms in support of the risk assessment of products used in the food chain», EFSA Journal, vol. 23, n.º 11, artigo e9705, 2025, https://doi.org/10.2903/j.efsa.2025.9705</w:t>
            </w:r>
          </w:p>
        </w:tc>
        <w:tc>
          <w:tcPr>
            <w:tcW w:w="4876" w:type="dxa"/>
            <w:tcBorders>
              <w:top w:val="nil"/>
              <w:left w:val="nil"/>
              <w:bottom w:val="nil"/>
              <w:right w:val="nil"/>
            </w:tcBorders>
          </w:tcPr>
          <w:p>
            <w:pPr>
              <w:pStyle w:val="Normal6a"/>
            </w:pPr>
            <w:r>
              <w:rPr>
                <w:vertAlign w:val="superscript"/>
              </w:rPr>
              <w:t>10</w:t>
            </w:r>
            <w:r>
              <w:t xml:space="preserve"> </w:t>
            </w:r>
            <w:r>
              <w:t>Comité Científico da EFSA, Bennekou, S. H., Allende, A., Bearth, A., Casacuberta, J., Castle, L., Coja, T., Crépet, A., Halldorsson, T. I., Hoogenboom, R., Jokelainen, P., Knutsen, H. K., Lambré, C., Nielsen, S., Turck, D., Civera, A. V., Villa, R. E., Zorn, H., Gómez, M. A., … Glandorf, B., «Guidance on the characterisation of microorganisms in support of the risk assessment of products used in the food chain», EFSA Journal, vol. 23, n.º 11, artigo e9705, 2025, https://doi.org/10.2903/j.efsa.2025.9705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Em termos concretos, há que estabelecer os critérios para </w:t>
            </w:r>
            <w:r>
              <w:rPr>
                <w:b/>
                <w:i/>
              </w:rPr>
              <w:t>a definição</w:t>
            </w:r>
            <w:r>
              <w:t xml:space="preserve"> de </w:t>
            </w:r>
            <w:r>
              <w:rPr>
                <w:b/>
                <w:i/>
              </w:rPr>
              <w:t>MGM de</w:t>
            </w:r>
            <w:r>
              <w:t xml:space="preserve"> baixo </w:t>
            </w:r>
            <w:r>
              <w:rPr>
                <w:b/>
                <w:i/>
              </w:rPr>
              <w:t>risco</w:t>
            </w:r>
            <w:r>
              <w:t xml:space="preserve"> com base em normas gerais de segurança, </w:t>
            </w:r>
            <w:r>
              <w:rPr>
                <w:b/>
                <w:i/>
              </w:rPr>
              <w:t>tal como expresso no</w:t>
            </w:r>
            <w:r>
              <w:t xml:space="preserve"> conceito da Autoridade de «presunção de segurança reconhecida» (</w:t>
            </w:r>
            <w:r>
              <w:rPr>
                <w:b/>
                <w:i/>
              </w:rPr>
              <w:t>«QPS»</w:t>
            </w:r>
            <w:r>
              <w:t>)</w:t>
            </w:r>
            <w:r>
              <w:rPr>
                <w:vertAlign w:val="superscript"/>
              </w:rPr>
              <w:t>11</w:t>
            </w:r>
            <w:r>
              <w:t xml:space="preserve"> </w:t>
            </w:r>
            <w:r>
              <w:rPr>
                <w:b/>
                <w:i/>
              </w:rPr>
              <w:t>e na</w:t>
            </w:r>
            <w:r>
              <w:t xml:space="preserve"> ausência de genes que suscitam preocupação que não estejam naturalmente presentes no organismo parental, conforme descrito no glossário das orientações da Autoridade sobre a caracterização de microrganismos</w:t>
            </w:r>
            <w:r>
              <w:rPr>
                <w:vertAlign w:val="superscript"/>
              </w:rPr>
              <w:t>12</w:t>
            </w:r>
            <w:r>
              <w:t xml:space="preserve">, </w:t>
            </w:r>
            <w:r>
              <w:rPr>
                <w:b/>
                <w:i/>
              </w:rPr>
              <w:t>incluindo</w:t>
            </w:r>
            <w:r>
              <w:t xml:space="preserve"> genes de resistência adquirida aos antimicrobianos, fatores de virulência e genes que se sabe contribuírem para a produção de toxinas ou metabolitos nocivos.</w:t>
            </w:r>
          </w:p>
        </w:tc>
        <w:tc>
          <w:tcPr>
            <w:tcW w:w="4876" w:type="dxa"/>
            <w:tcBorders>
              <w:top w:val="nil"/>
              <w:left w:val="nil"/>
              <w:bottom w:val="nil"/>
              <w:right w:val="nil"/>
            </w:tcBorders>
          </w:tcPr>
          <w:p>
            <w:pPr>
              <w:pStyle w:val="Normal6a"/>
            </w:pPr>
            <w:r>
              <w:t>(12)</w:t>
            </w:r>
            <w:r>
              <w:tab/>
            </w:r>
            <w:r>
              <w:t xml:space="preserve">Em termos concretos, há que estabelecer os critérios para </w:t>
            </w:r>
            <w:r>
              <w:rPr>
                <w:b/>
                <w:i/>
              </w:rPr>
              <w:t>identificar MGM com um perfil</w:t>
            </w:r>
            <w:r>
              <w:t xml:space="preserve"> de </w:t>
            </w:r>
            <w:r>
              <w:rPr>
                <w:b/>
                <w:i/>
              </w:rPr>
              <w:t>risco potencialmente</w:t>
            </w:r>
            <w:r>
              <w:t xml:space="preserve"> baixo com base em normas gerais de segurança, </w:t>
            </w:r>
            <w:r>
              <w:rPr>
                <w:b/>
                <w:i/>
              </w:rPr>
              <w:t>nomeadamente o</w:t>
            </w:r>
            <w:r>
              <w:t xml:space="preserve"> conceito da Autoridade de «presunção de segurança reconhecida» (</w:t>
            </w:r>
            <w:r>
              <w:rPr>
                <w:b/>
                <w:i/>
              </w:rPr>
              <w:t>QPS</w:t>
            </w:r>
            <w:r>
              <w:t>)</w:t>
            </w:r>
            <w:r>
              <w:rPr>
                <w:vertAlign w:val="superscript"/>
              </w:rPr>
              <w:t>11</w:t>
            </w:r>
            <w:r>
              <w:rPr>
                <w:b/>
                <w:i/>
              </w:rPr>
              <w:t>, a</w:t>
            </w:r>
            <w:r>
              <w:t xml:space="preserve"> ausência de genes que suscitam preocupação que não estejam naturalmente presentes no organismo parental, </w:t>
            </w:r>
            <w:r>
              <w:rPr>
                <w:b/>
                <w:i/>
              </w:rPr>
              <w:t>nem tenham sido introduzidos através de ou resultantes de modificação genética</w:t>
            </w:r>
            <w:r>
              <w:t xml:space="preserve"> conforme descrito no glossário das orientações da Autoridade sobre a caracterização de microrganismos</w:t>
            </w:r>
            <w:r>
              <w:rPr>
                <w:vertAlign w:val="superscript"/>
              </w:rPr>
              <w:t>12</w:t>
            </w:r>
            <w:r>
              <w:t xml:space="preserve">, </w:t>
            </w:r>
            <w:r>
              <w:rPr>
                <w:b/>
                <w:i/>
              </w:rPr>
              <w:t>a ausência de</w:t>
            </w:r>
            <w:r>
              <w:t xml:space="preserve"> genes de resistência adquirida aos antimicrobianos, fatores de virulência e genes que se sabe contribuírem para a produção de toxinas ou metabolitos nocivos</w:t>
            </w:r>
            <w:r>
              <w:rPr>
                <w:b/>
                <w:i/>
              </w:rPr>
              <w:t>, garantindo ainda que tais critérios não substituem uma avaliação caso a caso a nível da estirpe.</w:t>
            </w:r>
            <w:r>
              <w:t xml:space="preserve"> </w:t>
            </w:r>
            <w:r>
              <w:rPr>
                <w:b/>
                <w:i/>
              </w:rPr>
              <w:t>Esses MGM devem também estar bem caracterizados do ponto de vista taxonómico e molecular, tendo em conta a sua identidade taxonómica, sequência genómica e propriedades biológicas básicas. A atribuição do estatuto de QPS deve constituir uma indicação científica preliminar de risco reduzido e não deve criar uma presunção automática de segurança do mercado nem isentar os operadores de demonstrarem a ausência de riscos inaceitáveis para a saúde humana, a saúde animal, os trabalhadores, a eficácia antimicrobiana ou o ambiente. Deve ser prestada especial atenção aos determinantes da resistência antimicrobiana, à transferência horizontal de genes, à persistência no ambiente, à toxigenicidade, à imunogenicidade e aos efeitos não intencionais resultantes da modificação genética.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https://doi.org/10.5281/zenodo.1146566</w:t>
            </w:r>
          </w:p>
        </w:tc>
        <w:tc>
          <w:tcPr>
            <w:tcW w:w="4876" w:type="dxa"/>
            <w:tcBorders>
              <w:top w:val="nil"/>
              <w:left w:val="nil"/>
              <w:bottom w:val="nil"/>
              <w:right w:val="nil"/>
            </w:tcBorders>
          </w:tcPr>
          <w:p>
            <w:pPr>
              <w:pStyle w:val="Normal6a"/>
            </w:pPr>
            <w:r>
              <w:rPr>
                <w:vertAlign w:val="superscript"/>
              </w:rPr>
              <w:t>11</w:t>
            </w:r>
            <w:r>
              <w:t xml:space="preserve"> </w:t>
            </w:r>
            <w:r>
              <w:t>https://doi.org/10.5281/zenodo.1146566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Comité Científico da EFSA, Bennekou, S. H., Allende, A., Bearth, A., Casacuberta, J., Castle, L., Coja, T., Crépet, A., Halldorsson, T. I., Hoogenboom, R., Jokelainen, P., Knutsen, H. K., Lambré, C., Nielsen, S., Turck, D., Civera, A. V., Villa, R. E., Zorn, H., Gómez, M. A., … Glandorf, B., «Guidance on the characterisation of microorganisms in support of the risk assessment of products used in the food chain», EFSA Journal, vol. 23, n.º 11, artigo e9705, 2025, página 22: https://doi.org/10.2903/j.efsa.2025.9705.</w:t>
            </w:r>
          </w:p>
        </w:tc>
        <w:tc>
          <w:tcPr>
            <w:tcW w:w="4876" w:type="dxa"/>
            <w:tcBorders>
              <w:top w:val="nil"/>
              <w:left w:val="nil"/>
              <w:bottom w:val="nil"/>
              <w:right w:val="nil"/>
            </w:tcBorders>
          </w:tcPr>
          <w:p>
            <w:pPr>
              <w:pStyle w:val="Normal6a"/>
            </w:pPr>
            <w:r>
              <w:rPr>
                <w:vertAlign w:val="superscript"/>
              </w:rPr>
              <w:t>12</w:t>
            </w:r>
            <w:r>
              <w:t xml:space="preserve"> </w:t>
            </w:r>
            <w:r>
              <w:t>Comité Científico da EFSA, Bennekou, S. H., Allende, A., Bearth, A., Casacuberta, J., Castle, L., Coja, T., Crépet, A., Halldorsson, T. I., Hoogenboom, R., Jokelainen, P., Knutsen, H. K., Lambré, C., Nielsen, S., Turck, D., Civera, A. V., Villa, R. E., Zorn, H., Gómez, M. A., … Glandorf, B., «Guidance on the characterisation of microorganisms in support of the risk assessment of products used in the food chain», EFSA Journal, vol. 23, n.º 11, artigo e9705, 2025, página 22: https://doi.org/10.2903/j.efsa.2025.9705.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Embora os critérios de base a cumprir para que um MGM seja considerado um MGM de baixo risco devam ser estabelecidos na Diretiva 2001/18/CE, a Comissão deve ficar habilitada, em conformidade com o artigo 290.º do Tratado sobre o Funcionamento da União Europeia, a completar a Diretiva 2001/18/CE especificando mais pormenorizadamente esses critérios e acrescentando novos critérios, se necessário. Além disso, a Comissão deve ficar habilitada, em conformidade com o artigo 290.º do Tratado sobre o Funcionamento da União Europeia, a alterar a Diretiva 2001/18/CE a fim de adaptar os requisitos relativos à avaliação dos riscos e o procedimento de autorização, de modo a prever a demonstração do estatuto de baixo risco, simplificar determinados elementos processuais e acelerar os prazos, refletindo os requisitos adaptados relativos à avaliação dos riscos.</w:t>
            </w:r>
          </w:p>
        </w:tc>
        <w:tc>
          <w:tcPr>
            <w:tcW w:w="4876" w:type="dxa"/>
            <w:tcBorders>
              <w:top w:val="nil"/>
              <w:left w:val="nil"/>
              <w:bottom w:val="nil"/>
              <w:right w:val="nil"/>
            </w:tcBorders>
          </w:tcPr>
          <w:p>
            <w:pPr>
              <w:pStyle w:val="Normal6a"/>
            </w:pPr>
            <w:r>
              <w:t>(13)</w:t>
            </w:r>
            <w:r>
              <w:tab/>
            </w:r>
            <w:r>
              <w:t xml:space="preserve">Embora os critérios de base a cumprir para que um MGM seja considerado um MGM </w:t>
            </w:r>
            <w:r>
              <w:rPr>
                <w:b/>
                <w:i/>
              </w:rPr>
              <w:t>com perfil</w:t>
            </w:r>
            <w:r>
              <w:t xml:space="preserve"> de baixo risco devam ser estabelecidos na Diretiva 2001/18/CE, a Comissão deve ficar habilitada, em conformidade com o artigo 290.º do Tratado sobre o Funcionamento da União Europeia, a completar a Diretiva 2001/18/CE especificando mais pormenorizadamente esses critérios e acrescentando novos critérios, se necessário. Além disso, a Comissão deve ficar habilitada, em conformidade com o artigo 290.º do Tratado sobre o Funcionamento da União Europeia, a alterar a Diretiva 2001/18/CE a fim de adaptar os requisitos relativos à avaliação dos riscos e o procedimento de autorização, de modo a prever a demonstração do estatuto de </w:t>
            </w:r>
            <w:r>
              <w:rPr>
                <w:b/>
                <w:i/>
              </w:rPr>
              <w:t>perfil de</w:t>
            </w:r>
            <w:r>
              <w:t xml:space="preserve"> baixo risco </w:t>
            </w:r>
            <w:r>
              <w:rPr>
                <w:b/>
                <w:i/>
              </w:rPr>
              <w:t>sempre que tal se justifique do ponto de vista científico</w:t>
            </w:r>
            <w:r>
              <w:t>, simplificar determinados elementos processuais e acelerar os prazos, refletindo os requisitos adaptados relativos à avaliação dos riscos.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Em consonância com as recomendações da Autoridade</w:t>
            </w:r>
            <w:r>
              <w:rPr>
                <w:vertAlign w:val="superscript"/>
              </w:rPr>
              <w:t>13</w:t>
            </w:r>
            <w:r>
              <w:t>, e a fim de não impor encargos administrativos desproporcionados, os MGM de baixo risco não devem ficar sujeitos à obrigação de estabelecer um plano de monitorização ambiental pós-comercialização, caso o MGM em causa não suscite preocupações que justifiquem uma monitorização, tais como efeitos indiretos, a longo prazo ou imprevistos sobre a saúde humana ou sobre o ambiente.</w:t>
            </w:r>
          </w:p>
        </w:tc>
        <w:tc>
          <w:tcPr>
            <w:tcW w:w="4876" w:type="dxa"/>
            <w:tcBorders>
              <w:top w:val="nil"/>
              <w:left w:val="nil"/>
              <w:bottom w:val="nil"/>
              <w:right w:val="nil"/>
            </w:tcBorders>
          </w:tcPr>
          <w:p>
            <w:pPr>
              <w:pStyle w:val="Normal6a"/>
            </w:pPr>
            <w:r>
              <w:t>(14)</w:t>
            </w:r>
            <w:r>
              <w:tab/>
            </w:r>
            <w:r>
              <w:t>Em consonância com as recomendações da Autoridade</w:t>
            </w:r>
            <w:r>
              <w:rPr>
                <w:vertAlign w:val="superscript"/>
              </w:rPr>
              <w:t>13</w:t>
            </w:r>
            <w:r>
              <w:t xml:space="preserve">, e a fim de não impor encargos administrativos desproporcionados, os MGM </w:t>
            </w:r>
            <w:r>
              <w:rPr>
                <w:b/>
                <w:i/>
              </w:rPr>
              <w:t>com perfil</w:t>
            </w:r>
            <w:r>
              <w:t xml:space="preserve"> de baixo risco não devem ficar sujeitos à obrigação de estabelecer um plano de monitorização ambiental pós-comercialização, caso o MGM em causa não suscite preocupações que justifiquem uma monitorização, tais como efeitos indiretos, a longo prazo ou imprevistos sobre a saúde humana ou sobre o ambiente.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3.3.2.9: https://doi.org/10.2903/j.efsa.2024.8895</w:t>
            </w:r>
          </w:p>
        </w:tc>
        <w:tc>
          <w:tcPr>
            <w:tcW w:w="4876" w:type="dxa"/>
            <w:tcBorders>
              <w:top w:val="nil"/>
              <w:left w:val="nil"/>
              <w:bottom w:val="nil"/>
              <w:right w:val="nil"/>
            </w:tcBorders>
          </w:tcPr>
          <w:p>
            <w:pPr>
              <w:pStyle w:val="Normal6a"/>
            </w:pPr>
            <w:r>
              <w:rPr>
                <w:vertAlign w:val="superscript"/>
              </w:rPr>
              <w:t>13</w:t>
            </w:r>
            <w:r>
              <w:t xml:space="preserve"> </w:t>
            </w:r>
            <w:r>
              <w:t>Painel OGM da EFSA (Painel dos Organismos Geneticamente Modificados), Mullins, E., Bresson, J.-L., Dewhurst, I. C., Epstein, M. M., Firbank, L. G., Guerche, P., Hejatko, J., Moreno, F. J., Naegeli, H., Nogué, F., Rostoks, N., Sánchez Serrano, J. J., Savoini, G., Veromann, E., Veronesi, F., Cocconcelli, P. S., Glandorf, D., Herman, L., Dalmay, T., «New developments in biotechnology applied to microorganisms», EFSA Journal, vol. 22, n.º 7, artigo e8895, 2024, ponto 3.3.2.9: https://doi.org/10.2903/j.efsa.2024.8895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 processamento de órgãos tem potencial para aumentar a disponibilidade de órgãos e, consequentemente, melhorar o acesso dos doentes às transplantações, o que pode salvar vidas ou melhorar a qualidade de vida através de uma melhor preservação dos órgãos, de uma janela temporal mais alargada para a transplantação, de um maior número de órgãos adequados para transplantação e da melhoria da qualidade dos órgãos, o que reduz o risco de rejeição, complicações ou futura falência de órgãos. O quadro legislativo da União em matéria de transplantação de órgãos deve abordar os procedimentos e a supervisão do processamento de órgãos, com vista a apoiar a aplicação segura e ética do processamento de órgãos através de uma maior segurança jurídica, previsibilidade e transparência.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As disposições de proteção previstas na Diretiva 2010/53/CE continuarão a aplicar-se na íntegra ao processamento de órgãos, o que deverá contribuir para garantir a confiança dos cidadãos tanto na transplantação de órgãos como na nova técnica de processamento de órgãos. Um órgão que seja objeto de processamento, inclusive através da utilização de medicamentos, dispositivos médicos ou preparações de SoHO, deve ficar sujeito às normas de qualidade e segurança dos órgãos estabelecidas na presente diretiva, bem como à legislação nacional e da UE aplicável em matéria de colheita, atribuição e transplantação de órgãos.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 adoção dessas tecnologias de preservação e processamento possibilita não só uma estrutura organizacional mais eficiente, mas também a melhoria dos órgãos humanos durante a janela temporal ex vivo alargada, aumentando as opções de tratamento para os doentes </w:t>
            </w:r>
            <w:r>
              <w:rPr>
                <w:b/>
                <w:i/>
              </w:rPr>
              <w:t>em listas de espera</w:t>
            </w:r>
            <w:r>
              <w:t>. Essas atividades devem estar sujeitas a supervisão pelas autoridades competentes, a fim de garantir a sua qualidade, otimizar a eficácia das transplantações e proteger a saúde dos recetores.</w:t>
            </w:r>
          </w:p>
        </w:tc>
        <w:tc>
          <w:tcPr>
            <w:tcW w:w="4876" w:type="dxa"/>
            <w:tcBorders>
              <w:top w:val="nil"/>
              <w:left w:val="nil"/>
              <w:bottom w:val="nil"/>
              <w:right w:val="nil"/>
            </w:tcBorders>
          </w:tcPr>
          <w:p>
            <w:pPr>
              <w:pStyle w:val="Normal6a"/>
            </w:pPr>
            <w:r>
              <w:t>(16)</w:t>
            </w:r>
            <w:r>
              <w:tab/>
            </w:r>
            <w:r>
              <w:t xml:space="preserve">A adoção dessas tecnologias de preservação e processamento possibilita não só uma estrutura organizacional mais eficiente, mas também a melhoria dos órgãos humanos durante a janela temporal ex vivo alargada, aumentando </w:t>
            </w:r>
            <w:r>
              <w:rPr>
                <w:b/>
                <w:i/>
              </w:rPr>
              <w:t>e melhorando</w:t>
            </w:r>
            <w:r>
              <w:t xml:space="preserve"> as opções de tratamento para os doentes. Essas atividades devem estar sujeitas a supervisão pelas autoridades competentes, a fim de garantir a sua qualidade, otimizar a eficácia das transplantações e proteger a saúde dos recetores</w:t>
            </w:r>
            <w:r>
              <w:rPr>
                <w:b/>
                <w:i/>
              </w:rPr>
              <w:t>, sem sobrecarregar os centros de transplantação com encargos administrativos nem correr o risco de atrasos decorrentes de obrigações administrativas adicionais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Nos casos em que a autorização do processamento de órgãos implique a transferência de dados sobre órgãos para países terceiros, aplica-se o disposto no capítulo V do Regulamento 2016/679.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presente alteração baseia‑se no contributo do parecer da AEPD, ponto 18.</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fim de assegurar condições uniformes para a execução da presente diretiva, deverão ser atribuídas competências de execução à Comissão. Essas competências deverão abranger, em especial, as modalidades adaptadas para cumprir os requisitos relativos ao método analítico e as informações de apoio a apresentar para demonstrar o cumprimento dos critérios para que um MGM seja considerado um MGM de baixo risco, no que se refere à Diretiva 2001/18/CE, bem como o estabelecimento de regras pormenorizadas para a autorização do processamento de órgãos, no que se refere à Diretiva 2010/53/UE. Esses atos de execução deverão ser adotados nos termos do Regulamento (UE) n.º 182/2011 do Parlamento Europeu e do Conselho</w:t>
            </w:r>
            <w:r>
              <w:rPr>
                <w:vertAlign w:val="superscript"/>
              </w:rPr>
              <w:t>18</w:t>
            </w:r>
            <w:r>
              <w:t>.</w:t>
            </w:r>
          </w:p>
        </w:tc>
        <w:tc>
          <w:tcPr>
            <w:tcW w:w="4876" w:type="dxa"/>
            <w:tcBorders>
              <w:top w:val="nil"/>
              <w:left w:val="nil"/>
              <w:bottom w:val="nil"/>
              <w:right w:val="nil"/>
            </w:tcBorders>
          </w:tcPr>
          <w:p>
            <w:pPr>
              <w:pStyle w:val="Normal6a"/>
            </w:pPr>
            <w:r>
              <w:t>(18)</w:t>
            </w:r>
            <w:r>
              <w:tab/>
            </w:r>
            <w:r>
              <w:t>A fim de assegurar condições uniformes para a execução da presente diretiva, deverão ser atribuídas competências de execução à Comissão. Essas competências deverão abranger, em especial, as modalidades adaptadas para cumprir os requisitos relativos ao método analítico e as informações de apoio a apresentar para demonstrar o cumprimento dos critérios para que um MGM seja considerado um MGM de baixo risco, no que se refere à Diretiva 2001/18/CE, bem como o estabelecimento de regras pormenorizadas para a autorização do processamento de órgãos, no que se refere à Diretiva 2010/53/UE. Esses atos de execução deverão ser adotados nos termos do Regulamento (UE) n.º 182/2011 do Parlamento Europeu e do Conselho</w:t>
            </w:r>
            <w:r>
              <w:rPr>
                <w:vertAlign w:val="superscript"/>
              </w:rPr>
              <w:t>18</w:t>
            </w:r>
            <w:r>
              <w:t xml:space="preserve">. </w:t>
            </w:r>
            <w:r>
              <w:rPr>
                <w:b/>
                <w:i/>
              </w:rPr>
              <w:t>Sempre que esses atos de execução prevejam o tratamento de dados pessoais, a AEPD deverá ser consultada nos termos do artigo 42.º, n.º 1, do RPDUE.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c>
          <w:tcPr>
            <w:tcW w:w="4876" w:type="dxa"/>
            <w:tcBorders>
              <w:top w:val="nil"/>
              <w:left w:val="nil"/>
              <w:bottom w:val="nil"/>
              <w:right w:val="nil"/>
            </w:tcBorders>
          </w:tcPr>
          <w:p>
            <w:pPr>
              <w:pStyle w:val="Normal6a"/>
            </w:pPr>
            <w:r>
              <w:rPr>
                <w:vertAlign w:val="superscript"/>
              </w:rPr>
              <w:t>18</w:t>
            </w:r>
            <w:r>
              <w:t xml:space="preserve"> </w:t>
            </w:r>
            <w: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Alteração baseada no parecer da AEPD, ponto 18.</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fim de assegurar condições uniformes para a execução da presente diretiva, deverão ser atribuídas competências de execução à Comissão. Essas competências deverão abranger, em especial, as modalidades adaptadas para cumprir os requisitos relativos ao método analítico e as informações de apoio a apresentar para demonstrar o cumprimento dos critérios para que um MGM seja considerado um MGM de baixo risco, no que se refere à Diretiva 2001/18/CE, bem como o estabelecimento de regras pormenorizadas para a autorização do processamento de órgãos, no que se refere à Diretiva 2010/53/UE. Esses atos de execução deverão ser adotados nos termos do Regulamento (UE) n.º 182/2011 do Parlamento Europeu e do Conselho</w:t>
            </w:r>
            <w:r>
              <w:rPr>
                <w:vertAlign w:val="superscript"/>
              </w:rPr>
              <w:t>18</w:t>
            </w:r>
            <w:r>
              <w:t>.</w:t>
            </w:r>
          </w:p>
        </w:tc>
        <w:tc>
          <w:tcPr>
            <w:tcW w:w="4876" w:type="dxa"/>
            <w:tcBorders>
              <w:top w:val="nil"/>
              <w:left w:val="nil"/>
              <w:bottom w:val="nil"/>
              <w:right w:val="nil"/>
            </w:tcBorders>
          </w:tcPr>
          <w:p>
            <w:pPr>
              <w:pStyle w:val="Normal6a"/>
            </w:pPr>
            <w:r>
              <w:t>(18)</w:t>
            </w:r>
            <w:r>
              <w:tab/>
            </w:r>
            <w:r>
              <w:t xml:space="preserve">A fim de assegurar condições uniformes para a execução da presente diretiva, deverão ser atribuídas competências de execução à Comissão. Essas competências deverão abranger, em especial, as modalidades adaptadas para cumprir os requisitos relativos ao método analítico e as informações de apoio a apresentar para demonstrar o cumprimento dos critérios para que um MGM seja considerado um MGM </w:t>
            </w:r>
            <w:r>
              <w:rPr>
                <w:b/>
                <w:i/>
              </w:rPr>
              <w:t>com perfil</w:t>
            </w:r>
            <w:r>
              <w:t xml:space="preserve"> de baixo risco, no que se refere à Diretiva 2001/18/CE</w:t>
            </w:r>
            <w:r>
              <w:rPr>
                <w:b/>
                <w:i/>
              </w:rPr>
              <w:t xml:space="preserve"> e no âmbito do plano de monitorização pós‑comercialização</w:t>
            </w:r>
            <w:r>
              <w:t>, bem como o estabelecimento de regras pormenorizadas para a autorização do processamento de órgãos, no que se refere à Diretiva 2010/53/UE. Esses atos de execução deverão ser adotados nos termos do Regulamento (UE) n.º 182/2011 do Parlamento Europeu e do Conselho</w:t>
            </w:r>
            <w:r>
              <w:rPr>
                <w:vertAlign w:val="superscript"/>
              </w:rPr>
              <w:t>18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c>
          <w:tcPr>
            <w:tcW w:w="4876" w:type="dxa"/>
            <w:tcBorders>
              <w:top w:val="nil"/>
              <w:left w:val="nil"/>
              <w:bottom w:val="nil"/>
              <w:right w:val="nil"/>
            </w:tcBorders>
          </w:tcPr>
          <w:p>
            <w:pPr>
              <w:pStyle w:val="Normal6a"/>
            </w:pPr>
            <w:r>
              <w:rPr>
                <w:vertAlign w:val="superscript"/>
              </w:rPr>
              <w:t>18</w:t>
            </w:r>
            <w:r>
              <w:t xml:space="preserve"> </w:t>
            </w:r>
            <w: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Considerando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 Autoridade Europeia para a Proteção de Dados foi consultada nos termos do artigo 42.º, n.º 1, do Regulamento (UE) 2018/1725</w:t>
            </w:r>
            <w:r>
              <w:rPr>
                <w:b/>
                <w:i/>
                <w:vertAlign w:val="superscript"/>
              </w:rPr>
              <w:t>1-A</w:t>
            </w:r>
            <w:r>
              <w:rPr>
                <w:b/>
                <w:i/>
              </w:rPr>
              <w:t xml:space="preserve"> e emitiu parecer em 27 de maio de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1</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 – ponto 11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“Estatuto de presunção de segurança reconhecida”, o estatuto de segurança atribuído pela Autoridade a grupos selecionados de microrganismos, </w:t>
            </w:r>
            <w:r>
              <w:rPr>
                <w:b/>
                <w:i/>
              </w:rPr>
              <w:t>com base numa avaliação que demonstre não existirem</w:t>
            </w:r>
            <w:r>
              <w:t xml:space="preserve"> preocupações de segurança.</w:t>
            </w:r>
          </w:p>
        </w:tc>
        <w:tc>
          <w:tcPr>
            <w:tcW w:w="4876" w:type="dxa"/>
            <w:tcBorders>
              <w:top w:val="nil"/>
              <w:left w:val="nil"/>
              <w:bottom w:val="nil"/>
              <w:right w:val="nil"/>
            </w:tcBorders>
          </w:tcPr>
          <w:p>
            <w:pPr>
              <w:pStyle w:val="Normal6a"/>
            </w:pPr>
            <w:r>
              <w:t>11)</w:t>
            </w:r>
            <w:r>
              <w:tab/>
            </w:r>
            <w:r>
              <w:t xml:space="preserve">“Estatuto de presunção de segurança reconhecida”, o estatuto de segurança atribuído pela Autoridade a grupos selecionados de microrganismos </w:t>
            </w:r>
            <w:r>
              <w:rPr>
                <w:b/>
                <w:i/>
              </w:rPr>
              <w:t>numa avaliação caso a caso da identidade taxonómica do microorganismo</w:t>
            </w:r>
            <w:r>
              <w:t xml:space="preserve">, </w:t>
            </w:r>
            <w:r>
              <w:rPr>
                <w:b/>
                <w:i/>
              </w:rPr>
              <w:t>do conjunto de conhecimentos conexos e das potenciais</w:t>
            </w:r>
            <w:r>
              <w:t xml:space="preserve"> preocupações de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24-A – n.º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Os artigos 24.º-E e 24.º-F aplicam-se apenas à colocação no mercado de produtos que contenham ou sejam constituídos por MGM com um perfil de baixo risco.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24-B – parágrafo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Comissão fica habilitada a adotar atos delegados em conformidade com o artigo 29.º-A para alterar o anexo III, a fim de prever requisitos de informação específicos para as notificações relativas à colocação de MGM no mercado, </w:t>
            </w:r>
            <w:r>
              <w:rPr>
                <w:b/>
                <w:i/>
              </w:rPr>
              <w:t>de modo a adaptar esses requisitos aos progressos</w:t>
            </w:r>
            <w:r>
              <w:t xml:space="preserve"> científicos e </w:t>
            </w:r>
            <w:r>
              <w:rPr>
                <w:b/>
                <w:i/>
              </w:rPr>
              <w:t>técnicos</w:t>
            </w:r>
            <w:r>
              <w:t>.</w:t>
            </w:r>
          </w:p>
        </w:tc>
        <w:tc>
          <w:tcPr>
            <w:tcW w:w="4876" w:type="dxa"/>
            <w:tcBorders>
              <w:top w:val="nil"/>
              <w:left w:val="nil"/>
              <w:bottom w:val="nil"/>
              <w:right w:val="nil"/>
            </w:tcBorders>
          </w:tcPr>
          <w:p>
            <w:pPr>
              <w:pStyle w:val="Normal6a"/>
            </w:pPr>
            <w:r>
              <w:t xml:space="preserve">A Comissão fica habilitada a adotar atos delegados em conformidade com o artigo 29.º-A para alterar o anexo III, a fim de prever requisitos de informação específicos para as notificações relativas à colocação de MGM no mercado, </w:t>
            </w:r>
            <w:r>
              <w:rPr>
                <w:b/>
                <w:i/>
              </w:rPr>
              <w:t>sempre que tal se justifique com base em dados</w:t>
            </w:r>
            <w:r>
              <w:t xml:space="preserve"> científicos </w:t>
            </w:r>
            <w:r>
              <w:rPr>
                <w:b/>
                <w:i/>
              </w:rPr>
              <w:t>relacionados com as características de segurança</w:t>
            </w:r>
            <w:r>
              <w:t xml:space="preserve"> e </w:t>
            </w:r>
            <w:r>
              <w:rPr>
                <w:b/>
                <w:i/>
              </w:rPr>
              <w:t>de risco dos MGM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24-C – parágrafo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Sem prejuízo</w:t>
            </w:r>
            <w:r>
              <w:t xml:space="preserve"> do </w:t>
            </w:r>
            <w:r>
              <w:rPr>
                <w:b/>
                <w:i/>
              </w:rPr>
              <w:t>disposto no</w:t>
            </w:r>
            <w:r>
              <w:t xml:space="preserve"> artigo </w:t>
            </w:r>
            <w:r>
              <w:rPr>
                <w:b/>
                <w:i/>
              </w:rPr>
              <w:t>20</w:t>
            </w:r>
            <w:r>
              <w:t>.º, n.</w:t>
            </w:r>
            <w:r>
              <w:rPr>
                <w:b/>
                <w:i/>
              </w:rPr>
              <w:t>os 2</w:t>
            </w:r>
            <w:r>
              <w:t xml:space="preserve"> e </w:t>
            </w:r>
            <w:r>
              <w:rPr>
                <w:b/>
                <w:i/>
              </w:rPr>
              <w:t>3</w:t>
            </w:r>
            <w:r>
              <w:t xml:space="preserve">, </w:t>
            </w:r>
            <w:r>
              <w:rPr>
                <w:b/>
                <w:i/>
              </w:rPr>
              <w:t>e no</w:t>
            </w:r>
            <w:r>
              <w:t xml:space="preserve"> artigo </w:t>
            </w:r>
            <w:r>
              <w:rPr>
                <w:b/>
                <w:i/>
              </w:rPr>
              <w:t>23</w:t>
            </w:r>
            <w:r>
              <w:t xml:space="preserve">.º, a </w:t>
            </w:r>
            <w:r>
              <w:rPr>
                <w:b/>
                <w:i/>
              </w:rPr>
              <w:t>autorização concedida</w:t>
            </w:r>
            <w:r>
              <w:t xml:space="preserve"> nos termos da </w:t>
            </w:r>
            <w:r>
              <w:rPr>
                <w:b/>
                <w:i/>
              </w:rPr>
              <w:t>parte C é válida por um período ilimitado</w:t>
            </w:r>
            <w:r>
              <w:t xml:space="preserve">, </w:t>
            </w:r>
            <w:r>
              <w:rPr>
                <w:b/>
                <w:i/>
              </w:rPr>
              <w:t>não sendo aplicável o artigo 17.º</w:t>
            </w:r>
            <w:r>
              <w:t>.</w:t>
            </w:r>
          </w:p>
        </w:tc>
        <w:tc>
          <w:tcPr>
            <w:tcW w:w="4876" w:type="dxa"/>
            <w:tcBorders>
              <w:top w:val="nil"/>
              <w:left w:val="nil"/>
              <w:bottom w:val="nil"/>
              <w:right w:val="nil"/>
            </w:tcBorders>
          </w:tcPr>
          <w:p>
            <w:pPr>
              <w:pStyle w:val="Normal6a"/>
            </w:pPr>
            <w:r>
              <w:rPr>
                <w:b/>
                <w:i/>
              </w:rPr>
              <w:t>A autorização para a colocação de MGM no mercado é válida por um período ilimitado aquando da sua primeira renovação nos termos</w:t>
            </w:r>
            <w:r>
              <w:t xml:space="preserve"> do </w:t>
            </w:r>
            <w:r>
              <w:rPr>
                <w:b/>
                <w:i/>
              </w:rPr>
              <w:t>artigo 17.º, a menos que a decisão a que se refere a primeira secção do</w:t>
            </w:r>
            <w:r>
              <w:t xml:space="preserve"> artigo </w:t>
            </w:r>
            <w:r>
              <w:rPr>
                <w:b/>
                <w:i/>
              </w:rPr>
              <w:t>17</w:t>
            </w:r>
            <w:r>
              <w:t>.º, n.</w:t>
            </w:r>
            <w:r>
              <w:rPr>
                <w:b/>
                <w:i/>
              </w:rPr>
              <w:t>ºs 6</w:t>
            </w:r>
            <w:r>
              <w:t xml:space="preserve"> e </w:t>
            </w:r>
            <w:r>
              <w:rPr>
                <w:b/>
                <w:i/>
              </w:rPr>
              <w:t>8</w:t>
            </w:r>
            <w:r>
              <w:t xml:space="preserve">, </w:t>
            </w:r>
            <w:r>
              <w:rPr>
                <w:b/>
                <w:i/>
              </w:rPr>
              <w:t>ou o</w:t>
            </w:r>
            <w:r>
              <w:t xml:space="preserve"> artigo </w:t>
            </w:r>
            <w:r>
              <w:rPr>
                <w:b/>
                <w:i/>
              </w:rPr>
              <w:t>18</w:t>
            </w:r>
            <w:r>
              <w:t xml:space="preserve">.º, </w:t>
            </w:r>
            <w:r>
              <w:rPr>
                <w:b/>
                <w:i/>
              </w:rPr>
              <w:t>n.º 2, preveja que</w:t>
            </w:r>
            <w:r>
              <w:t xml:space="preserve"> a </w:t>
            </w:r>
            <w:r>
              <w:rPr>
                <w:b/>
                <w:i/>
              </w:rPr>
              <w:t>renovação é limitada, por motivos justificados com base nas conclusões da avaliação dos riscos ambientais efetuada</w:t>
            </w:r>
            <w:r>
              <w:t xml:space="preserve"> nos termos da </w:t>
            </w:r>
            <w:r>
              <w:rPr>
                <w:b/>
                <w:i/>
              </w:rPr>
              <w:t>presente diretiva e na experiência adquirida com a utilização, incluindo os resultados da monitorização</w:t>
            </w:r>
            <w:r>
              <w:t xml:space="preserve">, </w:t>
            </w:r>
            <w:r>
              <w:rPr>
                <w:b/>
                <w:i/>
              </w:rPr>
              <w:t>se assim especificado na autorização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24-D – título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Métodos </w:t>
            </w:r>
            <w:r>
              <w:rPr>
                <w:b/>
                <w:i/>
              </w:rPr>
              <w:t>de deteção</w:t>
            </w:r>
          </w:p>
        </w:tc>
        <w:tc>
          <w:tcPr>
            <w:tcW w:w="4876" w:type="dxa"/>
            <w:tcBorders>
              <w:top w:val="nil"/>
              <w:left w:val="nil"/>
              <w:bottom w:val="nil"/>
              <w:right w:val="nil"/>
            </w:tcBorders>
          </w:tcPr>
          <w:p>
            <w:pPr>
              <w:pStyle w:val="Normal6a"/>
            </w:pPr>
            <w:r>
              <w:t xml:space="preserve">Métodos </w:t>
            </w:r>
            <w:r>
              <w:rPr>
                <w:b/>
                <w:i/>
              </w:rPr>
              <w:t>analíticos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24-D – n.º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autoridade competente avalia se as informações sobre o método analítico fornecidas pelo notificador justificam a aplicação de modalidades adaptadas para dar cumprimento aos requisitos relativos ao método de deteção, em conformidade com o n.º 1.</w:t>
            </w:r>
          </w:p>
        </w:tc>
        <w:tc>
          <w:tcPr>
            <w:tcW w:w="4876" w:type="dxa"/>
            <w:tcBorders>
              <w:top w:val="nil"/>
              <w:left w:val="nil"/>
              <w:bottom w:val="nil"/>
              <w:right w:val="nil"/>
            </w:tcBorders>
          </w:tcPr>
          <w:p>
            <w:pPr>
              <w:pStyle w:val="Normal6a"/>
            </w:pPr>
            <w:r>
              <w:t>2.</w:t>
            </w:r>
            <w:r>
              <w:tab/>
            </w:r>
            <w:r>
              <w:t>A autoridade competente avalia se as informações sobre o método analítico fornecidas pelo notificador justificam a aplicação de modalidades adaptadas para dar cumprimento aos requisitos relativos ao método de deteção, em conformidade com o n.º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autoridade competente determina que o laboratório de referência da União Europeia, assistido pela ENGL, adote orientações destinadas aos requerentes e às autoridades competentes sobre os requisitos mínimos de desempenho para a identificação e quantificação dos métodos analíticos.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título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MGM de baixo risco</w:t>
            </w:r>
          </w:p>
        </w:tc>
        <w:tc>
          <w:tcPr>
            <w:tcW w:w="4876" w:type="dxa"/>
            <w:tcBorders>
              <w:top w:val="nil"/>
              <w:left w:val="nil"/>
              <w:bottom w:val="nil"/>
              <w:right w:val="nil"/>
            </w:tcBorders>
          </w:tcPr>
          <w:p>
            <w:pPr>
              <w:pStyle w:val="Normal6a"/>
            </w:pPr>
            <w:r>
              <w:t xml:space="preserve">MGM </w:t>
            </w:r>
            <w:r>
              <w:rPr>
                <w:b/>
                <w:i/>
              </w:rPr>
              <w:t>com perfil</w:t>
            </w:r>
            <w:r>
              <w:t xml:space="preserve"> de baixo risco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Um MGM é considerado um “MGM de baixo risco” se preencher todos os critérios seguintes:</w:t>
            </w:r>
          </w:p>
        </w:tc>
        <w:tc>
          <w:tcPr>
            <w:tcW w:w="4876" w:type="dxa"/>
            <w:tcBorders>
              <w:top w:val="nil"/>
              <w:left w:val="nil"/>
              <w:bottom w:val="nil"/>
              <w:right w:val="nil"/>
            </w:tcBorders>
          </w:tcPr>
          <w:p>
            <w:pPr>
              <w:pStyle w:val="Normal6a"/>
            </w:pPr>
            <w:r>
              <w:t xml:space="preserve">Um MGM é considerado um “MGM </w:t>
            </w:r>
            <w:r>
              <w:rPr>
                <w:b/>
                <w:i/>
              </w:rPr>
              <w:t>com perfil</w:t>
            </w:r>
            <w:r>
              <w:t xml:space="preserve"> de baixo risco” se preencher todos os critérios seguintes: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parágrafo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avaliação dos riscos dos MGM de baixo risco e os requisitos de informação específicos para as notificações relativas à sua colocação no mercado devem ser adaptados às características desses MGM.</w:t>
            </w:r>
          </w:p>
        </w:tc>
        <w:tc>
          <w:tcPr>
            <w:tcW w:w="4876" w:type="dxa"/>
            <w:tcBorders>
              <w:top w:val="nil"/>
              <w:left w:val="nil"/>
              <w:bottom w:val="nil"/>
              <w:right w:val="nil"/>
            </w:tcBorders>
          </w:tcPr>
          <w:p>
            <w:pPr>
              <w:pStyle w:val="Normal6a"/>
            </w:pPr>
            <w:r>
              <w:t xml:space="preserve">A avaliação dos riscos dos MGM </w:t>
            </w:r>
            <w:r>
              <w:rPr>
                <w:b/>
                <w:i/>
              </w:rPr>
              <w:t>com perfil</w:t>
            </w:r>
            <w:r>
              <w:t xml:space="preserve"> de baixo risco e os requisitos de informação específicos para as notificações relativas à sua colocação no mercado devem ser adaptados às características desses MGM</w:t>
            </w:r>
            <w:r>
              <w:rPr>
                <w:b/>
                <w:i/>
              </w:rPr>
              <w:t>, tendo em conta os princípios aplicáveis à avaliação dos riscos ambientais estabelecidos no anexo 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3 – alínea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Completar a presente diretiva especificando mais pormenorizadamente os critérios </w:t>
            </w:r>
            <w:r>
              <w:rPr>
                <w:b/>
                <w:i/>
              </w:rPr>
              <w:t>relativos ao estatuto de baixo risco dos</w:t>
            </w:r>
            <w:r>
              <w:t xml:space="preserve"> MGM </w:t>
            </w:r>
            <w:r>
              <w:rPr>
                <w:b/>
                <w:i/>
              </w:rPr>
              <w:t>a que se refere o</w:t>
            </w:r>
            <w:r>
              <w:t xml:space="preserve"> n.º 1, primeiro parágrafo, alíneas a), b) e c);</w:t>
            </w:r>
          </w:p>
        </w:tc>
        <w:tc>
          <w:tcPr>
            <w:tcW w:w="4876" w:type="dxa"/>
            <w:tcBorders>
              <w:top w:val="nil"/>
              <w:left w:val="nil"/>
              <w:bottom w:val="nil"/>
              <w:right w:val="nil"/>
            </w:tcBorders>
          </w:tcPr>
          <w:p>
            <w:pPr>
              <w:pStyle w:val="Normal6a"/>
            </w:pPr>
            <w:r>
              <w:t>a)</w:t>
            </w:r>
            <w:r>
              <w:tab/>
            </w:r>
            <w:r>
              <w:t xml:space="preserve">Completar a presente diretiva especificando mais pormenorizadamente os critérios </w:t>
            </w:r>
            <w:r>
              <w:rPr>
                <w:b/>
                <w:i/>
              </w:rPr>
              <w:t>a cumprir para que um MGM seja considerado um</w:t>
            </w:r>
            <w:r>
              <w:t xml:space="preserve"> MGM </w:t>
            </w:r>
            <w:r>
              <w:rPr>
                <w:b/>
                <w:i/>
              </w:rPr>
              <w:t>com perfil de baixo risco, referidos no</w:t>
            </w:r>
            <w:r>
              <w:t xml:space="preserve"> n.º 1, primeiro parágrafo, alíneas a), b) e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3 – alínea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Completar a presente diretiva, estabelecendo, se necessário, critérios adicionais </w:t>
            </w:r>
            <w:r>
              <w:rPr>
                <w:b/>
                <w:i/>
              </w:rPr>
              <w:t>relativos ao estatuto de baixo risco dos</w:t>
            </w:r>
            <w:r>
              <w:t xml:space="preserve"> MGM, conforme referido no n.º 1;</w:t>
            </w:r>
          </w:p>
        </w:tc>
        <w:tc>
          <w:tcPr>
            <w:tcW w:w="4876" w:type="dxa"/>
            <w:tcBorders>
              <w:top w:val="nil"/>
              <w:left w:val="nil"/>
              <w:bottom w:val="nil"/>
              <w:right w:val="nil"/>
            </w:tcBorders>
          </w:tcPr>
          <w:p>
            <w:pPr>
              <w:pStyle w:val="Normal6a"/>
            </w:pPr>
            <w:r>
              <w:t>b)</w:t>
            </w:r>
            <w:r>
              <w:tab/>
            </w:r>
            <w:r>
              <w:t xml:space="preserve">Completar a presente diretiva, estabelecendo, se necessário, critérios adicionais </w:t>
            </w:r>
            <w:r>
              <w:rPr>
                <w:b/>
                <w:i/>
              </w:rPr>
              <w:t>e cumulativos a cumprir para que um</w:t>
            </w:r>
            <w:r>
              <w:t xml:space="preserve"> MGM </w:t>
            </w:r>
            <w:r>
              <w:rPr>
                <w:b/>
                <w:i/>
              </w:rPr>
              <w:t>seja considerado um MGM com perfil de baixo risco</w:t>
            </w:r>
            <w:r>
              <w:t>, conforme referido no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3 – alínea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Alterar a presente diretiva, definindo, no anexo III, requisitos de informação específicos para as notificações relativas à colocação no mercado de MGM de baixo risco;</w:t>
            </w:r>
          </w:p>
        </w:tc>
        <w:tc>
          <w:tcPr>
            <w:tcW w:w="4876" w:type="dxa"/>
            <w:tcBorders>
              <w:top w:val="nil"/>
              <w:left w:val="nil"/>
              <w:bottom w:val="nil"/>
              <w:right w:val="nil"/>
            </w:tcBorders>
          </w:tcPr>
          <w:p>
            <w:pPr>
              <w:pStyle w:val="Normal6a"/>
            </w:pPr>
            <w:r>
              <w:t>c)</w:t>
            </w:r>
            <w:r>
              <w:tab/>
            </w:r>
            <w:r>
              <w:t xml:space="preserve">Alterar a presente diretiva, definindo, no anexo III, requisitos de informação específicos para as notificações relativas à colocação no mercado de MGM </w:t>
            </w:r>
            <w:r>
              <w:rPr>
                <w:b/>
                <w:i/>
              </w:rPr>
              <w:t>com perfil</w:t>
            </w:r>
            <w:r>
              <w:t xml:space="preserve"> de baixo risco </w:t>
            </w:r>
            <w:r>
              <w:rPr>
                <w:b/>
                <w:i/>
              </w:rPr>
              <w:t>e às consultas necessárias das autoridades competentes e do público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3 – alínea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Alterar a presente diretiva, estabelecendo requisitos processuais para a avaliação dos riscos dos MGM de baixo risco adaptados às respetivas características.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24-E – n.º 3-A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Aquando da adotação dos atos delegados previstos no n.º 3, alínea b), a Comissão publica um relatório que justifique os critérios de elegibilidade adicionais aplicáveis aos MGM com perfil de baixo risco, contemplando uma análise da literatura científica sobre a segurança dos MGM, a avaliação dos seus riscos ambientais e a sua caracterização. Estes atos delegados não alargam o âmbito de aplicação dos MGM com perfil de baixo risco.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24-F – título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Monitorização e comunicação de informações sobre MGM de baixo risco</w:t>
            </w:r>
          </w:p>
        </w:tc>
        <w:tc>
          <w:tcPr>
            <w:tcW w:w="4876" w:type="dxa"/>
            <w:tcBorders>
              <w:top w:val="nil"/>
              <w:left w:val="nil"/>
              <w:bottom w:val="nil"/>
              <w:right w:val="nil"/>
            </w:tcBorders>
          </w:tcPr>
          <w:p>
            <w:pPr>
              <w:pStyle w:val="Normal6a"/>
            </w:pPr>
            <w:r>
              <w:t xml:space="preserve">Monitorização e comunicação de informações sobre MGM </w:t>
            </w:r>
            <w:r>
              <w:rPr>
                <w:b/>
                <w:i/>
              </w:rPr>
              <w:t>com perfil</w:t>
            </w:r>
            <w:r>
              <w:t xml:space="preserve"> de baixo risco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24-F – n.º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 o notificador considerar que o plano de monitorização a que se refere o artigo 13.º, n.º 2, alínea e), não é necessário com base nos resultados de uma libertação notificada nos termos do artigo 6.º, nas conclusões da avaliação dos riscos ambientais efetuada nos termos do artigo 13.º, n.º 2, alínea b), nas características do MGM, nas características e escala da sua utilização prevista e nas características do meio recetor, pode propor a não apresentação desse plano de monitorização.</w:t>
            </w:r>
          </w:p>
        </w:tc>
        <w:tc>
          <w:tcPr>
            <w:tcW w:w="4876" w:type="dxa"/>
            <w:tcBorders>
              <w:top w:val="nil"/>
              <w:left w:val="nil"/>
              <w:bottom w:val="nil"/>
              <w:right w:val="nil"/>
            </w:tcBorders>
          </w:tcPr>
          <w:p>
            <w:pPr>
              <w:pStyle w:val="Normal6a"/>
            </w:pPr>
            <w:r>
              <w:t>1.</w:t>
            </w:r>
            <w:r>
              <w:tab/>
            </w:r>
            <w:r>
              <w:rPr>
                <w:b/>
                <w:i/>
              </w:rPr>
              <w:t>O plano de monitorização dos MGM com perfil de baixo risco abrange, se for caso disso, os seguintes aspetos: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Resistência antimicrobiana,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Persistência no ambiente,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Indicadores de transferência horizontal de genes,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Efeitos adversos inesperados para a saúde e o ambiente.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Se o notificador considerar que o plano de monitorização a que se refere o artigo 13.º, n.º 2, alínea e), não é necessário com base nos resultados de uma libertação notificada nos termos do artigo 6.º, nas conclusões da avaliação dos riscos ambientais efetuada nos termos do artigo 13.º, n.º 2, alínea b), nas características do MGM, nas características e escala da sua utilização prevista e nas características do meio recetor, pode propor a não apresentação desse plano de monitorização.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24-F – n.º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autorização por escrito referida no artigo 19.º deve especificar os requisitos de monitorização, tal como previstos no artigo 19.º, n.º 3, alínea f)</w:t>
            </w:r>
            <w:r>
              <w:rPr>
                <w:b/>
                <w:i/>
              </w:rPr>
              <w:t>, ou declarar que a monitorização não é exigida</w:t>
            </w:r>
            <w:r>
              <w:t>.</w:t>
            </w:r>
          </w:p>
        </w:tc>
        <w:tc>
          <w:tcPr>
            <w:tcW w:w="4876" w:type="dxa"/>
            <w:tcBorders>
              <w:top w:val="nil"/>
              <w:left w:val="nil"/>
              <w:bottom w:val="nil"/>
              <w:right w:val="nil"/>
            </w:tcBorders>
          </w:tcPr>
          <w:p>
            <w:pPr>
              <w:pStyle w:val="Normal6a"/>
            </w:pPr>
            <w:r>
              <w:t>2.</w:t>
            </w:r>
            <w:r>
              <w:tab/>
            </w:r>
            <w:r>
              <w:t xml:space="preserve">A autorização por escrito referida no artigo 19.º deve </w:t>
            </w:r>
            <w:r>
              <w:rPr>
                <w:b/>
                <w:i/>
              </w:rPr>
              <w:t>avaliar a proposta a que se refere o n.º 1 e determinar se é necessário um plano de monitorização.</w:t>
            </w:r>
            <w:r>
              <w:rPr>
                <w:b/>
                <w:i/>
              </w:rPr>
              <w:t xml:space="preserve"> </w:t>
            </w:r>
            <w:r>
              <w:rPr>
                <w:b/>
                <w:i/>
              </w:rPr>
              <w:t>Se o plano de monitorização for necessário, a autorização por escrito referida no artigo 19.º deve</w:t>
            </w:r>
            <w:r>
              <w:t xml:space="preserve"> especificar os requisitos de monitorização, tal como previstos no artigo 19.º, n.º 3, alínea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24-G – n.º 1 – alínea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Às informações de apoio a apresentar na notificação referida no artigo 13.º, n.º 2, para demonstrar o cumprimento dos critérios referidos no artigo 24.º-E, n.º 1, para que o MGM seja considerado um MGM de baixo risco.</w:t>
            </w:r>
          </w:p>
        </w:tc>
        <w:tc>
          <w:tcPr>
            <w:tcW w:w="4876" w:type="dxa"/>
            <w:tcBorders>
              <w:top w:val="nil"/>
              <w:left w:val="nil"/>
              <w:bottom w:val="nil"/>
              <w:right w:val="nil"/>
            </w:tcBorders>
          </w:tcPr>
          <w:p>
            <w:pPr>
              <w:pStyle w:val="Normal6a"/>
            </w:pPr>
            <w:r>
              <w:t>b)</w:t>
            </w:r>
            <w:r>
              <w:tab/>
            </w:r>
            <w:r>
              <w:t xml:space="preserve">Às informações de apoio a apresentar na notificação referida no artigo 13.º, n.º 2, para demonstrar o cumprimento dos critérios referidos no artigo 24.º-E, n.º 1, para que o MGM seja considerado um MGM </w:t>
            </w:r>
            <w:r>
              <w:rPr>
                <w:b/>
                <w:i/>
              </w:rPr>
              <w:t>com perfil</w:t>
            </w:r>
            <w:r>
              <w:t xml:space="preserve"> de baixo risco.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24-G – n.º 1 – alínea b-A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Às informações a incluir no artigo 13.º, n.º 2, caso exista uma proposta de não apresentação de um plano de monitorização, nos termos do artigo 24.º-F,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3</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24-G – n.º 1 – alínea b-B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Às informações referidas no artigo 24.º-F, n.º 2, relativas ao plano de monitorização ambiental pós-comercialização.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4</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29-A – n.º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O poder de adotar atos delegados referido no artigo 16.º, n.º 2, no artigo 21.º, n.ºs 2 e 3, no artigo 24.º-B, no artigo 24.º-E, n.º 3, no artigo 26.º, n.º 2, e no artigo 27.º é conferido à Comissão por um prazo de cinco anos a contar de [data de entrada em vigor da presente diretiva].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4</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29-A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 delegação de poderes referida no artigo 16.º, n.º 2, no artigo 21.º, n.ºs 2 e 3, no artigo 24.º-B, no artigo 24.º-E, n.º 3, no artigo 26.º, n.º 2, e no artigo 27.º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1 – parágrafo 1 – ponto 4</w:t>
      </w:r>
      <w:r>
        <w:rPr>
          <w:rStyle w:val="HideTWBExt"/>
        </w:rPr>
        <w:t>&lt;/Article&gt;</w:t>
      </w:r>
    </w:p>
    <w:p>
      <w:r>
        <w:rPr>
          <w:rStyle w:val="HideTWBExt"/>
        </w:rPr>
        <w:t>&lt;DocAmend2&gt;</w:t>
      </w:r>
      <w:r>
        <w:t>Diretiva 2001/18/CE</w:t>
      </w:r>
      <w:r>
        <w:rPr>
          <w:rStyle w:val="HideTWBExt"/>
        </w:rPr>
        <w:t>&lt;/DocAmend2&gt;</w:t>
      </w:r>
    </w:p>
    <w:p>
      <w:r>
        <w:rPr>
          <w:rStyle w:val="HideTWBExt"/>
        </w:rPr>
        <w:t>&lt;Article2&gt;</w:t>
      </w:r>
      <w:r>
        <w:t>Artigo 31-A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 Na parte D, a seguir ao artigo 31.º, é inserido o seguinte artigo 31.º-A: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«Artigo 31.º-A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Apresentação de relatórios e avaliação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Até ... [cinco anos a contar da data de entrada em vigor da presente diretiva], a Comissão apresenta ao Parlamento Europeu e ao Conselho um relatório sobre a aplicação e o funcionamento do título II relativo aos MGM.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O relatório avalia, em particular, o seguinte: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eficácia, proporcionalidade e eficiência dos procedimentos de autorização de MGM, incluindo MGM com perfil de baixo risco,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 impacto ambiental das medidas previstas no título 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 impacto do referido título no acesso ao mercado dos produtos biotecnológicos na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Se for o caso, o relatório é acompanhado de uma proposta legislativa.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 – alínea b</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3 – alínea k-A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w:t>
            </w:r>
            <w:r>
              <w:tab/>
            </w:r>
            <w:r>
              <w:t>“Processamento”,</w:t>
            </w:r>
            <w:r>
              <w:rPr>
                <w:b/>
                <w:i/>
              </w:rPr>
              <w:t xml:space="preserve"> qualquer operação que envolva</w:t>
            </w:r>
            <w:r>
              <w:t xml:space="preserve"> o manuseamento de </w:t>
            </w:r>
            <w:r>
              <w:rPr>
                <w:b/>
                <w:i/>
              </w:rPr>
              <w:t>órgãos, incluindo</w:t>
            </w:r>
            <w:r>
              <w:t xml:space="preserve">, </w:t>
            </w:r>
            <w:r>
              <w:rPr>
                <w:b/>
                <w:i/>
              </w:rPr>
              <w:t>entre outras,</w:t>
            </w:r>
            <w:r>
              <w:t xml:space="preserve"> a preservação, a aplicação de quimioterapia e a cirurgia, </w:t>
            </w:r>
            <w:r>
              <w:rPr>
                <w:b/>
                <w:i/>
              </w:rPr>
              <w:t>realizadas</w:t>
            </w:r>
            <w:r>
              <w:t xml:space="preserve"> com </w:t>
            </w:r>
            <w:r>
              <w:rPr>
                <w:b/>
                <w:i/>
              </w:rPr>
              <w:t>o intuito de</w:t>
            </w:r>
            <w:r>
              <w:t xml:space="preserve"> manter ou melhorar o estado funcional </w:t>
            </w:r>
            <w:r>
              <w:rPr>
                <w:b/>
                <w:i/>
              </w:rPr>
              <w:t>de um órgão</w:t>
            </w:r>
            <w:r>
              <w:t xml:space="preserve"> antes da transplantação, </w:t>
            </w:r>
            <w:r>
              <w:rPr>
                <w:b/>
                <w:i/>
              </w:rPr>
              <w:t>com exceção do manuseamento preparatório do órgão durante a intervenção cirúrgica de transplantação,</w:t>
            </w:r>
            <w:r>
              <w:t xml:space="preserve"> e excluindo </w:t>
            </w:r>
            <w:r>
              <w:rPr>
                <w:b/>
                <w:i/>
              </w:rPr>
              <w:t>as seguintes operações</w:t>
            </w:r>
            <w:r>
              <w:t>:</w:t>
            </w:r>
          </w:p>
        </w:tc>
        <w:tc>
          <w:tcPr>
            <w:tcW w:w="4876" w:type="dxa"/>
            <w:tcBorders>
              <w:top w:val="nil"/>
              <w:left w:val="nil"/>
              <w:bottom w:val="nil"/>
              <w:right w:val="nil"/>
            </w:tcBorders>
          </w:tcPr>
          <w:p>
            <w:pPr>
              <w:pStyle w:val="Normal6a"/>
            </w:pPr>
            <w:r>
              <w:t>k-A)</w:t>
            </w:r>
            <w:r>
              <w:tab/>
            </w:r>
            <w:r>
              <w:t xml:space="preserve">“Processamento </w:t>
            </w:r>
            <w:r>
              <w:rPr>
                <w:b/>
                <w:i/>
              </w:rPr>
              <w:t>de órgãos</w:t>
            </w:r>
            <w:r>
              <w:t xml:space="preserve">”, o manuseamento de </w:t>
            </w:r>
            <w:r>
              <w:rPr>
                <w:b/>
                <w:i/>
              </w:rPr>
              <w:t>um órgão</w:t>
            </w:r>
            <w:r>
              <w:t xml:space="preserve">, </w:t>
            </w:r>
            <w:r>
              <w:rPr>
                <w:b/>
                <w:i/>
              </w:rPr>
              <w:t>em particular</w:t>
            </w:r>
            <w:r>
              <w:t xml:space="preserve"> a preservação, a aplicação de quimioterapia e a cirurgia, com </w:t>
            </w:r>
            <w:r>
              <w:rPr>
                <w:b/>
                <w:i/>
              </w:rPr>
              <w:t>vista a</w:t>
            </w:r>
            <w:r>
              <w:t xml:space="preserve"> manter ou melhorar o </w:t>
            </w:r>
            <w:r>
              <w:rPr>
                <w:b/>
                <w:i/>
              </w:rPr>
              <w:t>seu</w:t>
            </w:r>
            <w:r>
              <w:t xml:space="preserve"> estado funcional antes da transplantação, e excluindo: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 – alínea b</w:t>
      </w:r>
      <w:r>
        <w:rPr>
          <w:rStyle w:val="HideTWBExt"/>
        </w:rPr>
        <w:t>&lt;/Article&gt;</w:t>
      </w:r>
    </w:p>
    <w:p>
      <w:r>
        <w:rPr>
          <w:rStyle w:val="HideTWBExt"/>
        </w:rPr>
        <w:t>&lt;DocAmend2&gt;</w:t>
      </w:r>
      <w:r>
        <w:t>Diretiva 2010/53/CE</w:t>
      </w:r>
      <w:r>
        <w:rPr>
          <w:rStyle w:val="HideTWBExt"/>
        </w:rPr>
        <w:t>&lt;/DocAmend2&gt;</w:t>
      </w:r>
    </w:p>
    <w:p>
      <w:r>
        <w:rPr>
          <w:rStyle w:val="HideTWBExt"/>
        </w:rPr>
        <w:t>&lt;Article2&gt;</w:t>
      </w:r>
      <w:r>
        <w:t>Artigo 3 – alínea k-A – subalínea -i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o manuseamento preparatório do órgão durante a intervenção cirúrgica de transplantação,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 – alínea b</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3 – alínea k-A – subalínea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a utilização de </w:t>
            </w:r>
            <w:r>
              <w:rPr>
                <w:b/>
                <w:i/>
              </w:rPr>
              <w:t>uma</w:t>
            </w:r>
            <w:r>
              <w:t xml:space="preserve"> substância com uma ação farmacológica, imunológica ou metabólica </w:t>
            </w:r>
            <w:r>
              <w:rPr>
                <w:b/>
                <w:i/>
              </w:rPr>
              <w:t>com o objetivo de</w:t>
            </w:r>
            <w:r>
              <w:t xml:space="preserve"> tratar ou prevenir uma doença no doente no qual o órgão será transplantado</w:t>
            </w:r>
            <w:r>
              <w:rPr>
                <w:b/>
                <w:i/>
              </w:rPr>
              <w:t>, caso essa utilização não constitua processamento do órgão</w:t>
            </w:r>
            <w:r>
              <w:t>.»</w:t>
            </w:r>
          </w:p>
        </w:tc>
        <w:tc>
          <w:tcPr>
            <w:tcW w:w="4876" w:type="dxa"/>
            <w:tcBorders>
              <w:top w:val="nil"/>
              <w:left w:val="nil"/>
              <w:bottom w:val="nil"/>
              <w:right w:val="nil"/>
            </w:tcBorders>
          </w:tcPr>
          <w:p>
            <w:pPr>
              <w:pStyle w:val="Normal6a"/>
            </w:pPr>
            <w:r>
              <w:t>ii)</w:t>
            </w:r>
            <w:r>
              <w:tab/>
            </w:r>
            <w:r>
              <w:t xml:space="preserve">a utilização de </w:t>
            </w:r>
            <w:r>
              <w:rPr>
                <w:b/>
                <w:i/>
              </w:rPr>
              <w:t>um medicamento na aceção do artigo 1.º da Diretiva 2001/83/CE</w:t>
            </w:r>
            <w:r>
              <w:rPr>
                <w:b/>
                <w:i/>
                <w:vertAlign w:val="superscript"/>
              </w:rPr>
              <w:t>2-A</w:t>
            </w:r>
            <w:r>
              <w:rPr>
                <w:b/>
                <w:i/>
              </w:rPr>
              <w:t>, incluindo qualquer</w:t>
            </w:r>
            <w:r>
              <w:t xml:space="preserve"> substância com uma ação farmacológica, imunológica ou metabólica </w:t>
            </w:r>
            <w:r>
              <w:rPr>
                <w:b/>
                <w:i/>
              </w:rPr>
              <w:t>que vise</w:t>
            </w:r>
            <w:r>
              <w:t xml:space="preserve"> tratar ou prevenir uma doença no doente no qual o órgão será transplantado.»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Diretiva 2001/83/CE do Parlamento Europeu e do Conselho, de 6 de novembro de 2001, que estabelece um código comunitário relativo aos medicamentos para uso humano (JO L 311 de 28.11.2001, p. 67, ELI: http://data.europa.eu/eli/dir/2001/83/oj).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 – alínea b-A (nova)</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3 – alínea b-A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«Plano de monitorização dos resultados clínicos», um programa destinado a recolher provas dos efeitos de um método de processamento de órgãos na qualidade dos órgãos e na segurança e eficácia da transplantação dos órgãos ou da utilização autóloga, conforme demonstrado pelos resultados obtidos nos recetores;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definição do plano de monitorização dos resultados clínicos ajudará a clarificar a utilização dos dados gerados no seu contexto. A definição está estreitamente alinhada com as expectativas dos Estados‑Membros.</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 – alínea b-B (nova)</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3 – alínea b-B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«Dados sobre os resultados clínicos», quaisquer dados tratados para efeitos do plano de monitorização dos resultados clínicos ou resultantes desse plano.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No seu parecer, a Autoridade Europeia para a Proteção de Dados sugeriu, no ponto 17, que se definisse o termo. Quaisquer dados pessoais tratados que integrem os dados sobre os resultados clínicos estão protegidos pela disposição geral de segurança em matéria de proteção de dados prevista no artigo 16.º do ato de base.</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2-A (novo)</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4 – n.º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em vigor</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 artigo 4.º, n.º 1, é alterado do seguinte modo: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Os Estados-Membros devem garantir o estabelecimento de um regime para a qualidade e a segurança que abranja todas as etapas do processo, desde a dádiva até à transplantação ou eliminação, de acordo com as regras fixadas na presente diretiva.</w:t>
            </w:r>
          </w:p>
        </w:tc>
        <w:tc>
          <w:tcPr>
            <w:tcW w:w="4876" w:type="dxa"/>
            <w:tcBorders>
              <w:top w:val="nil"/>
              <w:left w:val="nil"/>
              <w:bottom w:val="nil"/>
              <w:right w:val="nil"/>
            </w:tcBorders>
          </w:tcPr>
          <w:p>
            <w:pPr>
              <w:pStyle w:val="Normal6a"/>
            </w:pPr>
            <w:r>
              <w:t>«</w:t>
            </w:r>
            <w:r>
              <w:t>1. Os Estados-Membros devem garantir o estabelecimento de um regime para a qualidade e a segurança que abranja todas as etapas do processo, desde a dádiva</w:t>
            </w:r>
            <w:r>
              <w:rPr>
                <w:b/>
                <w:i/>
              </w:rPr>
              <w:t xml:space="preserve"> e do processamento de órgãos</w:t>
            </w:r>
            <w:r>
              <w:t xml:space="preserve"> até à transplantação ou eliminação, de acordo com as regras fixadas na presente diretiva.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(https://eur-lex.europa.eu/legal-content/pt/TXT/HTML/?uri=CELEX:02010L0053-20100806&amp;qid=1779799612116)</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2-B (novo)</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4 – n.º 2 – alínea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em vigor</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O artigo 4.º, n.º 2, alínea d), é alterado do seguinte modo: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 Colheita, preservação, embalagem e rotulagem de órgãos nos termos dos artigos 5.º, 6.º e 8.º;</w:t>
            </w:r>
          </w:p>
        </w:tc>
        <w:tc>
          <w:tcPr>
            <w:tcW w:w="4876" w:type="dxa"/>
            <w:tcBorders>
              <w:top w:val="nil"/>
              <w:left w:val="nil"/>
              <w:bottom w:val="nil"/>
              <w:right w:val="nil"/>
            </w:tcBorders>
          </w:tcPr>
          <w:p>
            <w:pPr>
              <w:pStyle w:val="Normal6a"/>
            </w:pPr>
            <w:r>
              <w:t>«</w:t>
            </w:r>
            <w:r>
              <w:t xml:space="preserve">d) Colheita, </w:t>
            </w:r>
            <w:r>
              <w:rPr>
                <w:b/>
                <w:i/>
              </w:rPr>
              <w:t>processamento,</w:t>
            </w:r>
            <w:r>
              <w:t xml:space="preserve"> preservação, embalagem e rotulagem de órgãos nos termos dos artigos 5.º, 6.º</w:t>
            </w:r>
            <w:r>
              <w:rPr>
                <w:b/>
                <w:i/>
              </w:rPr>
              <w:t>, 6.º-A</w:t>
            </w:r>
            <w:r>
              <w:t xml:space="preserve"> e 8.º;</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(https://eur-lex.europa.eu/legal-content/pt/TXT/HTML/?uri=CELEX:02010L0053-20100806&amp;qid=1779799612116)</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2-C (novo)</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4 – n.º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em vigor</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O artigo 4.º é alterado do seguinte modo: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 Além disso, o regime para a qualidade e a segurança deve assegurar que os profissionais de saúde envolvidos em todas as etapas do processo, desde a dádiva até à transplantação ou eliminação, sejam devidamente qualificados ou habilitados e competentes, e criar programas de formação específicos para estes profissionais.</w:t>
            </w:r>
          </w:p>
        </w:tc>
        <w:tc>
          <w:tcPr>
            <w:tcW w:w="4876" w:type="dxa"/>
            <w:tcBorders>
              <w:top w:val="nil"/>
              <w:left w:val="nil"/>
              <w:bottom w:val="nil"/>
              <w:right w:val="nil"/>
            </w:tcBorders>
          </w:tcPr>
          <w:p>
            <w:pPr>
              <w:pStyle w:val="Normal6a"/>
            </w:pPr>
            <w:r>
              <w:t>«</w:t>
            </w:r>
            <w:r>
              <w:t xml:space="preserve">3. Além disso, o regime para a qualidade e a segurança deve assegurar que os profissionais de saúde envolvidos em todas as etapas do processo, desde a dádiva </w:t>
            </w:r>
            <w:r>
              <w:rPr>
                <w:b/>
                <w:i/>
              </w:rPr>
              <w:t>e do processamento</w:t>
            </w:r>
            <w:r>
              <w:t xml:space="preserve"> até à transplantação ou eliminação, sejam devidamente qualificados ou habilitados e competentes, e criar programas de formação específicos para estes profissionais.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(https://eur-lex.europa.eu/legal-content/pt/TXT/HTML/?uri=CELEX:02010L0053-20100806&amp;qid=1779799612116)</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6-A – n.º -1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Um órgão que seja objeto de processamento, inclusive através da utilização de medicamentos, dispositivos médicos ou preparações de SoHO, é sujeito às regras em matéria de qualidade e segurança para os órgãos estabelecidas na presente diretiva, bem como à legislação nacional e da UE aplicável em matéria de colheita, atribuição e transplantação de órgãos.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Tendo em conta que o domínio em causa se situa na interseção de vários regulamentos, que por vezes se sobrepõem, importa evitar lacunas jurídicas, contradições ou possíveis novos domínios não regulamentados, a fim de destacar a validade da regulamentação existente a nível da UE e nacional.</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2010/54/UE</w:t>
      </w:r>
      <w:r>
        <w:rPr>
          <w:rStyle w:val="HideTWBExt"/>
        </w:rPr>
        <w:t>&lt;/DocAmend2&gt;</w:t>
      </w:r>
    </w:p>
    <w:p>
      <w:r>
        <w:rPr>
          <w:rStyle w:val="HideTWBExt"/>
        </w:rPr>
        <w:t>&lt;Article2&gt;</w:t>
      </w:r>
      <w:r>
        <w:t>Artigo 6-A – n.º 3-A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Sempre que os centros de transplantação justifiquem a existência de um caso médico urgente e a avaliação da relação benefício‑risco, realizada com base em evidências científicas e dados clínicos suficientes, não tenha identificado qualquer risco significativo, a autoridade competente trata o pedido de acordo com um procedimento simplificado acelerado.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relatores pretendem assegurar que, em casos médicos urgentes, os procedimentos administrativos não atrasem a autorização, pelo que sugerem que as administrações disponham de um procedimento simplificado acelerado.</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6-A – n.º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Sempre que o processamento de um órgão implique a utilização de um medicamento, cabe à autoridade competente verificar se o medicamento foi autorizado por uma autoridade competente de um Estado-Membro ou pela Comissão Europeia em conformidade com a Diretiva 2001/83/CE do Parlamento Europeu e do Conselho* ou com o Regulamento (CE) n.º 726/2004 do Parlamento Europeu e do Conselho**.</w:t>
            </w:r>
          </w:p>
        </w:tc>
        <w:tc>
          <w:tcPr>
            <w:tcW w:w="4876" w:type="dxa"/>
            <w:tcBorders>
              <w:top w:val="nil"/>
              <w:left w:val="nil"/>
              <w:bottom w:val="nil"/>
              <w:right w:val="nil"/>
            </w:tcBorders>
          </w:tcPr>
          <w:p>
            <w:pPr>
              <w:pStyle w:val="Normal6a"/>
            </w:pPr>
            <w:r>
              <w:t>4.</w:t>
            </w:r>
            <w:r>
              <w:tab/>
            </w:r>
            <w:r>
              <w:t xml:space="preserve">Sempre que o processamento de um órgão implique a utilização de um medicamento, cabe à autoridade competente verificar se o medicamento foi autorizado </w:t>
            </w:r>
            <w:r>
              <w:rPr>
                <w:b/>
                <w:i/>
              </w:rPr>
              <w:t>ou de outro modo aprovado para utilização</w:t>
            </w:r>
            <w:r>
              <w:t xml:space="preserve"> por uma autoridade competente de um Estado-Membro ou pela Comissão Europeia em conformidade com a Diretiva 2001/83/CE do Parlamento Europeu e do Conselho* ou com o Regulamento (CE) n.º 726/2004 do Parlamento Europeu e do Conselho**.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6-A – n.º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Sempre que o processamento de um órgão implique a utilização de um dispositivo médico, cabe à autoridade competente verificar se o dispositivo médico foi certificado por um organismo notificado em conformidade com o Regulamento (UE) 2017/745 do Parlamento Europeu e do Conselho***.</w:t>
            </w:r>
          </w:p>
        </w:tc>
        <w:tc>
          <w:tcPr>
            <w:tcW w:w="4876" w:type="dxa"/>
            <w:tcBorders>
              <w:top w:val="nil"/>
              <w:left w:val="nil"/>
              <w:bottom w:val="nil"/>
              <w:right w:val="nil"/>
            </w:tcBorders>
          </w:tcPr>
          <w:p>
            <w:pPr>
              <w:pStyle w:val="Normal6a"/>
            </w:pPr>
            <w:r>
              <w:t>6.</w:t>
            </w:r>
            <w:r>
              <w:tab/>
            </w:r>
            <w:r>
              <w:t xml:space="preserve">Sempre que o processamento de um órgão implique a utilização de um dispositivo médico, cabe à autoridade competente verificar se o dispositivo médico foi certificado </w:t>
            </w:r>
            <w:r>
              <w:rPr>
                <w:b/>
                <w:i/>
              </w:rPr>
              <w:t>ou de outro modo aprovado para utilização</w:t>
            </w:r>
            <w:r>
              <w:t xml:space="preserve"> por um organismo notificado em conformidade com o Regulamento (UE) 2017/745 do Parlamento Europeu e do Conselho***.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6-A – n.º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Sempre que o processamento de um órgão implique a utilização de uma preparação de SoHO, cabe à autoridade competente verificar se a preparação de SoHO foi autorizada pela autoridade competente em conformidade com o Regulamento (UE) 2024/1938 do Parlamento Europeu e do Conselho****.</w:t>
            </w:r>
          </w:p>
        </w:tc>
        <w:tc>
          <w:tcPr>
            <w:tcW w:w="4876" w:type="dxa"/>
            <w:tcBorders>
              <w:top w:val="nil"/>
              <w:left w:val="nil"/>
              <w:bottom w:val="nil"/>
              <w:right w:val="nil"/>
            </w:tcBorders>
          </w:tcPr>
          <w:p>
            <w:pPr>
              <w:pStyle w:val="Normal6a"/>
            </w:pPr>
            <w:r>
              <w:t>7.</w:t>
            </w:r>
            <w:r>
              <w:tab/>
            </w:r>
            <w:r>
              <w:t xml:space="preserve">Sempre que o processamento de um órgão implique a utilização de uma preparação de SoHO, cabe à autoridade competente verificar se a preparação de SoHO foi autorizada </w:t>
            </w:r>
            <w:r>
              <w:rPr>
                <w:b/>
                <w:i/>
              </w:rPr>
              <w:t>ou de outro modo aprovada para utilização</w:t>
            </w:r>
            <w:r>
              <w:t xml:space="preserve"> pela autoridade competente em conformidade com o Regulamento (UE) 2024/1938 do Parlamento Europeu e do Conselho****.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6-A – n.º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Se for caso disso, as autoridades competentes </w:t>
            </w:r>
            <w:r>
              <w:rPr>
                <w:b/>
                <w:i/>
              </w:rPr>
              <w:t>ao abrigo da</w:t>
            </w:r>
            <w:r>
              <w:t xml:space="preserve"> presente diretiva e as autoridades competentes </w:t>
            </w:r>
            <w:r>
              <w:rPr>
                <w:b/>
                <w:i/>
              </w:rPr>
              <w:t>ao abrigo da</w:t>
            </w:r>
            <w:r>
              <w:t xml:space="preserve"> Diretiva 2001/83/CE, do Regulamento (CE) n.º 726/2004, do Regulamento (UE) 2017/745 e do Regulamento (UE) 2024/1938 </w:t>
            </w:r>
            <w:r>
              <w:rPr>
                <w:b/>
                <w:i/>
              </w:rPr>
              <w:t>colaboram</w:t>
            </w:r>
            <w:r>
              <w:t xml:space="preserve"> a fim de proceder ao intercâmbio de dados sobre os resultados clínicos </w:t>
            </w:r>
            <w:r>
              <w:rPr>
                <w:b/>
                <w:i/>
              </w:rPr>
              <w:t>ao abrigo</w:t>
            </w:r>
            <w:r>
              <w:t xml:space="preserve"> desses quadros legislativos da União, incluindo o plano de monitorização dos resultados clínicos </w:t>
            </w:r>
            <w:r>
              <w:rPr>
                <w:b/>
                <w:i/>
              </w:rPr>
              <w:t>previsto</w:t>
            </w:r>
            <w:r>
              <w:t xml:space="preserve"> na presente diretiva.</w:t>
            </w:r>
          </w:p>
        </w:tc>
        <w:tc>
          <w:tcPr>
            <w:tcW w:w="4876" w:type="dxa"/>
            <w:tcBorders>
              <w:top w:val="nil"/>
              <w:left w:val="nil"/>
              <w:bottom w:val="nil"/>
              <w:right w:val="nil"/>
            </w:tcBorders>
          </w:tcPr>
          <w:p>
            <w:pPr>
              <w:pStyle w:val="Normal6a"/>
            </w:pPr>
            <w:r>
              <w:t>8.</w:t>
            </w:r>
            <w:r>
              <w:tab/>
            </w:r>
            <w:r>
              <w:t xml:space="preserve">Se for caso disso, as autoridades competentes </w:t>
            </w:r>
            <w:r>
              <w:rPr>
                <w:b/>
                <w:i/>
              </w:rPr>
              <w:t>a que se refere a</w:t>
            </w:r>
            <w:r>
              <w:t xml:space="preserve"> presente diretiva e as autoridades competentes </w:t>
            </w:r>
            <w:r>
              <w:rPr>
                <w:b/>
                <w:i/>
              </w:rPr>
              <w:t>referidas na</w:t>
            </w:r>
            <w:r>
              <w:t xml:space="preserve"> Diretiva 2001/83/CE, do Regulamento (CE) n.º 726/2004, do Regulamento (UE) 2017/745 e do Regulamento (UE) 2024/1938 </w:t>
            </w:r>
            <w:r>
              <w:rPr>
                <w:b/>
                <w:i/>
              </w:rPr>
              <w:t>cooperam</w:t>
            </w:r>
            <w:r>
              <w:t xml:space="preserve"> a fim de proceder ao intercâmbio de dados sobre os resultados clínicos </w:t>
            </w:r>
            <w:r>
              <w:rPr>
                <w:b/>
                <w:i/>
              </w:rPr>
              <w:t>no âmbito de competências</w:t>
            </w:r>
            <w:r>
              <w:t xml:space="preserve"> desses quadros legislativos da União, incluindo o plano de monitorização dos resultados clínicos </w:t>
            </w:r>
            <w:r>
              <w:rPr>
                <w:b/>
                <w:i/>
              </w:rPr>
              <w:t>referido</w:t>
            </w:r>
            <w:r>
              <w:t xml:space="preserve"> na presente diretiva. </w:t>
            </w:r>
            <w:r>
              <w:rPr>
                <w:b/>
                <w:i/>
              </w:rPr>
              <w:t>Esses dados sobre os resultados clínicos são tratados em plena conformidade com o Regulamento Geral sobre a Proteção de Dados ((UE) 2016/679) e o Regulamento relativo ao Espaço Europeu de Dados de Saúde ((UE) 2025/327).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3-A (novo)</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16 – parte introdutória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em vigor</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artigo 16.º é alterado do seguinte modo: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Os Estados-Membros devem assegurar a proteção plena e eficaz do direito fundamental à proteção dos dados pessoais no âmbito de todas as atividades de dádiva e transplantação de órgãos, nos termos das disposições da União relativas à proteção de dados pessoais, como </w:t>
            </w:r>
            <w:r>
              <w:rPr>
                <w:b/>
                <w:i/>
              </w:rPr>
              <w:t>a Diretiva 95/46</w:t>
            </w:r>
            <w:r>
              <w:t>/</w:t>
            </w:r>
            <w:r>
              <w:rPr>
                <w:b/>
                <w:i/>
              </w:rPr>
              <w:t>CE</w:t>
            </w:r>
            <w:r>
              <w:t xml:space="preserve">, nomeadamente o </w:t>
            </w:r>
            <w:r>
              <w:rPr>
                <w:b/>
                <w:i/>
              </w:rPr>
              <w:t>n</w:t>
            </w:r>
            <w:r>
              <w:t xml:space="preserve">.º </w:t>
            </w:r>
            <w:r>
              <w:rPr>
                <w:b/>
                <w:i/>
              </w:rPr>
              <w:t>3 do artigo 8</w:t>
            </w:r>
            <w:r>
              <w:t xml:space="preserve">.º, os artigos </w:t>
            </w:r>
            <w:r>
              <w:rPr>
                <w:b/>
                <w:i/>
              </w:rPr>
              <w:t>16</w:t>
            </w:r>
            <w:r>
              <w:t xml:space="preserve">.º e </w:t>
            </w:r>
            <w:r>
              <w:rPr>
                <w:b/>
                <w:i/>
              </w:rPr>
              <w:t>17</w:t>
            </w:r>
            <w:r>
              <w:t xml:space="preserve">.º e o </w:t>
            </w:r>
            <w:r>
              <w:rPr>
                <w:b/>
                <w:i/>
              </w:rPr>
              <w:t>n</w:t>
            </w:r>
            <w:r>
              <w:t xml:space="preserve">.º </w:t>
            </w:r>
            <w:r>
              <w:rPr>
                <w:b/>
                <w:i/>
              </w:rPr>
              <w:t>2 do artigo 28</w:t>
            </w:r>
            <w:r>
              <w:t xml:space="preserve">.º. Nos termos </w:t>
            </w:r>
            <w:r>
              <w:rPr>
                <w:b/>
                <w:i/>
              </w:rPr>
              <w:t>da Diretiva 95</w:t>
            </w:r>
            <w:r>
              <w:t>/</w:t>
            </w:r>
            <w:r>
              <w:rPr>
                <w:b/>
                <w:i/>
              </w:rPr>
              <w:t>46/CE</w:t>
            </w:r>
            <w:r>
              <w:t>, os Estados-Membros devem tomar as medidas necessárias para assegurar que:</w:t>
            </w:r>
          </w:p>
        </w:tc>
        <w:tc>
          <w:tcPr>
            <w:tcW w:w="4876" w:type="dxa"/>
            <w:tcBorders>
              <w:top w:val="nil"/>
              <w:left w:val="nil"/>
              <w:bottom w:val="nil"/>
              <w:right w:val="nil"/>
            </w:tcBorders>
          </w:tcPr>
          <w:p>
            <w:pPr>
              <w:pStyle w:val="Normal6a"/>
            </w:pPr>
            <w:r>
              <w:rPr>
                <w:b/>
                <w:i/>
              </w:rPr>
              <w:t>«</w:t>
            </w:r>
            <w:r>
              <w:t>Os Estados-Membros devem assegurar a proteção plena e eficaz do direito fundamental à proteção dos dados pessoais no âmbito de todas as atividades de dádiva</w:t>
            </w:r>
            <w:r>
              <w:rPr>
                <w:b/>
                <w:i/>
              </w:rPr>
              <w:t>, processamento</w:t>
            </w:r>
            <w:r>
              <w:t xml:space="preserve"> e transplantação de órgãos, nos termos das disposições da União relativas à proteção de dados pessoais, como </w:t>
            </w:r>
            <w:r>
              <w:rPr>
                <w:b/>
                <w:i/>
              </w:rPr>
              <w:t>o Regulamento (UE) 2016</w:t>
            </w:r>
            <w:r>
              <w:t>/</w:t>
            </w:r>
            <w:r>
              <w:rPr>
                <w:b/>
                <w:i/>
              </w:rPr>
              <w:t>679</w:t>
            </w:r>
            <w:r>
              <w:t xml:space="preserve">, nomeadamente o </w:t>
            </w:r>
            <w:r>
              <w:rPr>
                <w:b/>
                <w:i/>
              </w:rPr>
              <w:t>artigo 9</w:t>
            </w:r>
            <w:r>
              <w:t>.º</w:t>
            </w:r>
            <w:r>
              <w:rPr>
                <w:b/>
                <w:i/>
              </w:rPr>
              <w:t>, n</w:t>
            </w:r>
            <w:r>
              <w:t>.º </w:t>
            </w:r>
            <w:r>
              <w:rPr>
                <w:b/>
                <w:i/>
              </w:rPr>
              <w:t>3</w:t>
            </w:r>
            <w:r>
              <w:t>, os artigos </w:t>
            </w:r>
            <w:r>
              <w:rPr>
                <w:b/>
                <w:i/>
              </w:rPr>
              <w:t>29</w:t>
            </w:r>
            <w:r>
              <w:t xml:space="preserve">.º e </w:t>
            </w:r>
            <w:r>
              <w:rPr>
                <w:b/>
                <w:i/>
              </w:rPr>
              <w:t>32</w:t>
            </w:r>
            <w:r>
              <w:t>.º</w:t>
            </w:r>
            <w:r>
              <w:rPr>
                <w:b/>
                <w:i/>
              </w:rPr>
              <w:t>,</w:t>
            </w:r>
            <w:r>
              <w:t xml:space="preserve"> e o </w:t>
            </w:r>
            <w:r>
              <w:rPr>
                <w:b/>
                <w:i/>
              </w:rPr>
              <w:t>artigo 36</w:t>
            </w:r>
            <w:r>
              <w:t>.º</w:t>
            </w:r>
            <w:r>
              <w:rPr>
                <w:b/>
                <w:i/>
              </w:rPr>
              <w:t>, n</w:t>
            </w:r>
            <w:r>
              <w:t>.º </w:t>
            </w:r>
            <w:r>
              <w:rPr>
                <w:b/>
                <w:i/>
              </w:rPr>
              <w:t>4</w:t>
            </w:r>
            <w:r>
              <w:t xml:space="preserve">. Nos termos </w:t>
            </w:r>
            <w:r>
              <w:rPr>
                <w:b/>
                <w:i/>
              </w:rPr>
              <w:t>do Regulamento (UE)2016</w:t>
            </w:r>
            <w:r>
              <w:t>/</w:t>
            </w:r>
            <w:r>
              <w:rPr>
                <w:b/>
                <w:i/>
              </w:rPr>
              <w:t>679</w:t>
            </w:r>
            <w:r>
              <w:t>, os Estados-Membros devem tomar as medidas necessárias para assegurar que: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(https://eur-lex.europa.eu/legal-content/pt/TXT/HTML/?uri=CELEX:02010L0053-20100806&amp;qid=1779799612116)</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3-B (novo)</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16 – alínea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em vigor</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 artigo 16.º, alínea a), é alterado do seguinte modo: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Os dados processados permaneçam confidenciais e seguros, nos termos dos artigos </w:t>
            </w:r>
            <w:r>
              <w:rPr>
                <w:b/>
                <w:i/>
              </w:rPr>
              <w:t>16</w:t>
            </w:r>
            <w:r>
              <w:t xml:space="preserve">.º e </w:t>
            </w:r>
            <w:r>
              <w:rPr>
                <w:b/>
                <w:i/>
              </w:rPr>
              <w:t>17</w:t>
            </w:r>
            <w:r>
              <w:t xml:space="preserve">.º </w:t>
            </w:r>
            <w:r>
              <w:rPr>
                <w:b/>
                <w:i/>
              </w:rPr>
              <w:t>da Diretiva 95</w:t>
            </w:r>
            <w:r>
              <w:t>/</w:t>
            </w:r>
            <w:r>
              <w:rPr>
                <w:b/>
                <w:i/>
              </w:rPr>
              <w:t>46/CE</w:t>
            </w:r>
            <w:r>
              <w:t>. Qualquer acesso não autorizado a dados ou sistemas que torne possível a identificação do dador ou dos possíveis recetores deve ser sancionado nos termos do artigo 23.º da presente diretiva;</w:t>
            </w:r>
          </w:p>
        </w:tc>
        <w:tc>
          <w:tcPr>
            <w:tcW w:w="4876" w:type="dxa"/>
            <w:tcBorders>
              <w:top w:val="nil"/>
              <w:left w:val="nil"/>
              <w:bottom w:val="nil"/>
              <w:right w:val="nil"/>
            </w:tcBorders>
          </w:tcPr>
          <w:p>
            <w:pPr>
              <w:pStyle w:val="Normal6a"/>
            </w:pPr>
            <w:r>
              <w:t>«</w:t>
            </w:r>
            <w:r>
              <w:t>a) Os dados processados</w:t>
            </w:r>
            <w:r>
              <w:rPr>
                <w:b/>
                <w:i/>
              </w:rPr>
              <w:t>, incluindo os dados sobre os resultados clínicos que contenham dados pessoais,</w:t>
            </w:r>
            <w:r>
              <w:t xml:space="preserve"> permaneçam confidenciais e seguros, nos termos dos artigos </w:t>
            </w:r>
            <w:r>
              <w:rPr>
                <w:b/>
                <w:i/>
              </w:rPr>
              <w:t>29</w:t>
            </w:r>
            <w:r>
              <w:t xml:space="preserve">.º e </w:t>
            </w:r>
            <w:r>
              <w:rPr>
                <w:b/>
                <w:i/>
              </w:rPr>
              <w:t>32</w:t>
            </w:r>
            <w:r>
              <w:t xml:space="preserve">.º </w:t>
            </w:r>
            <w:r>
              <w:rPr>
                <w:b/>
                <w:i/>
              </w:rPr>
              <w:t>do Regulamento (UE) 2016</w:t>
            </w:r>
            <w:r>
              <w:t>/</w:t>
            </w:r>
            <w:r>
              <w:rPr>
                <w:b/>
                <w:i/>
              </w:rPr>
              <w:t>679</w:t>
            </w:r>
            <w:r>
              <w:t>. Qualquer acesso não autorizado a dados ou sistemas que torne possível a identificação do dador ou dos possíveis recetores deve ser sancionado nos termos do artigo 23.º da presente diretiva;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(https://eur-lex.europa.eu/legal-content/pt/TXT/HTML/?uri=CELEX:02010L0053-20100806&amp;qid=1779799612116)</w:t>
      </w:r>
    </w:p>
    <w:p>
      <w:pPr>
        <w:pStyle w:val="AmJustTitle"/>
      </w:pPr>
      <w:r>
        <w:rPr>
          <w:rStyle w:val="HideTWBExt"/>
        </w:rPr>
        <w:t>&lt;TitreJust&gt;</w:t>
      </w:r>
      <w:r>
        <w:t>Justificação</w:t>
      </w:r>
      <w:r>
        <w:rPr>
          <w:rStyle w:val="HideTWBExt"/>
        </w:rPr>
        <w:t>&lt;/TitreJust&gt;</w:t>
      </w:r>
    </w:p>
    <w:p>
      <w:pPr>
        <w:pStyle w:val="AmJustText"/>
      </w:pPr>
      <w:r>
        <w:t>A revisão introduz um novo tipo de dados recolhidos, os «dados sobre os resultados clínicos», que beneficiariam de uma menção na disposição de proteção.</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12b"/>
      </w:pPr>
      <w:r>
        <w:rPr>
          <w:rStyle w:val="HideTWBExt"/>
        </w:rPr>
        <w:t>&lt;DocAmend&gt;</w:t>
      </w:r>
      <w:r>
        <w:t>Proposta de diretiva</w:t>
      </w:r>
      <w:r>
        <w:rPr>
          <w:rStyle w:val="HideTWBExt"/>
        </w:rPr>
        <w:t>&lt;/DocAmend&gt;</w:t>
      </w:r>
    </w:p>
    <w:p>
      <w:pPr>
        <w:pStyle w:val="NormalBold"/>
      </w:pPr>
      <w:r>
        <w:rPr>
          <w:rStyle w:val="HideTWBExt"/>
        </w:rPr>
        <w:t>&lt;Article&gt;</w:t>
      </w:r>
      <w:r>
        <w:t>Artigo 2 – parágrafo 1 – ponto 4</w:t>
      </w:r>
      <w:r>
        <w:rPr>
          <w:rStyle w:val="HideTWBExt"/>
        </w:rPr>
        <w:t>&lt;/Article&gt;</w:t>
      </w:r>
    </w:p>
    <w:p>
      <w:r>
        <w:rPr>
          <w:rStyle w:val="HideTWBExt"/>
        </w:rPr>
        <w:t>&lt;DocAmend2&gt;</w:t>
      </w:r>
      <w:r>
        <w:t>Diretiva 2010/53/UE</w:t>
      </w:r>
      <w:r>
        <w:rPr>
          <w:rStyle w:val="HideTWBExt"/>
        </w:rPr>
        <w:t>&lt;/DocAmend2&gt;</w:t>
      </w:r>
    </w:p>
    <w:p>
      <w:r>
        <w:rPr>
          <w:rStyle w:val="HideTWBExt"/>
        </w:rPr>
        <w:t>&lt;Article2&gt;</w:t>
      </w:r>
      <w:r>
        <w:t>Artigo 22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 É inserido o seguinte artigo:</w:t>
            </w:r>
            <w:r>
              <w:br/>
            </w:r>
            <w:r>
              <w:rPr>
                <w:b/>
                <w:i/>
              </w:rPr>
              <w:t>Artigo 22.º</w:t>
            </w:r>
            <w:r>
              <w:br/>
            </w:r>
            <w:r>
              <w:rPr>
                <w:b/>
                <w:i/>
              </w:rPr>
              <w:t>Até ... [cinco anos a contar da data de aplicação da presente diretiva], a Comissão apresenta ao Parlamento Europeu e ao Conselho um relatório sobre a aplicação do artigo 2.º da presente diretiva no que concerne ao processamento de órgãos, incluindo uma avaliação do cumprimento dos seus objetivos.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4"/>
      <w:r>
        <w:t>EXPOSIÇÃO DE MOTIVOS</w:t>
      </w:r>
      <w:bookmarkEnd w:id="1"/>
    </w:p>
    <w:p>
      <w:pPr>
        <w:pStyle w:val="Normal12"/>
      </w:pPr>
      <w:r>
        <w:t xml:space="preserve">Os relatores da </w:t>
      </w:r>
      <w:r>
        <w:t>Comissão da Saúde Pública</w:t>
      </w:r>
      <w:r>
        <w:t xml:space="preserve"> (</w:t>
      </w:r>
      <w:r>
        <w:t>SANT</w:t>
      </w:r>
      <w:r>
        <w:t xml:space="preserve">) e da </w:t>
      </w:r>
      <w:r>
        <w:t>Comissão do Ambiente, do Clima e da Segurança Alimentar</w:t>
      </w:r>
      <w:r>
        <w:t xml:space="preserve"> (</w:t>
      </w:r>
      <w:r>
        <w:t>ENVI</w:t>
      </w:r>
      <w:r>
        <w:t>) apresentam alterações à proposta da Comissão no âmbito das respetivas competências. Embora ambos os conjuntos de alterações digam respeito à proposta da Comissão, abordam diferentes atos legislativos e perseguem objetivos que se inserem no âmbito de competências de cada comissão. As exposições de motivos separadas que se seguem apresentam a fundamentação das alterações propostas por cada um dos relatores.</w:t>
      </w:r>
    </w:p>
    <w:p>
      <w:pPr>
        <w:pStyle w:val="Normal12"/>
      </w:pPr>
      <w:r>
        <w:rPr>
          <w:b/>
        </w:rPr>
        <w:t>Exposição de motivos (</w:t>
      </w:r>
      <w:r>
        <w:rPr>
          <w:b/>
        </w:rPr>
        <w:t>SANT</w:t>
      </w:r>
      <w:r>
        <w:rPr>
          <w:b/>
        </w:rPr>
        <w:t>)</w:t>
      </w:r>
    </w:p>
    <w:p>
      <w:pPr>
        <w:pStyle w:val="Normal12"/>
      </w:pPr>
      <w:r>
        <w:t xml:space="preserve">O relator da </w:t>
      </w:r>
      <w:r>
        <w:t>Comissão da Saúde Pública</w:t>
      </w:r>
      <w:r>
        <w:t xml:space="preserve"> (</w:t>
      </w:r>
      <w:r>
        <w:t>SANT</w:t>
      </w:r>
      <w:r>
        <w:t>) saúda a proposta de alteração da Diretiva 2010/53/UE relativa a normas de qualidade e segurança dos órgãos humanos destinados a transplantação. Os progressos científicos e tecnológicos no processamento de órgãos criam novas oportunidades para melhorar a preservação de órgãos, aumentar a disponibilidade de órgãos para transplantação e melhorar os resultados da transplantação. Ao mesmo tempo, estes desenvolvimentos exigem um quadro regulamentar que garanta a segurança jurídica, mantenha elevados padrões de qualidade e segurança e respeite os princípios éticos subjacentes ao sistema da União em matéria de dádiva e transplantação de órgãos.</w:t>
      </w:r>
    </w:p>
    <w:p>
      <w:pPr>
        <w:pStyle w:val="Normal12"/>
      </w:pPr>
      <w:r>
        <w:t>As alterações visam, pois, reforçar a dimensão de saúde pública da proposta. Apesar de a proposta fazer parte do ato legislativo mais vasto sobre biotecnologia, as alterações à Diretiva 2010/53/UE devem refletir explicitamente o artigo 168.º, n.º 4, do Tratado sobre o Funcionamento da União Europeia, que exige um elevado nível de proteção da saúde humana nas medidas que estabelecem normas de qualidade e segurança dos órgãos de origem humana, assim como o artigo 35.º da Carta dos Direitos Fundamentais da União Europeia. Estas referências garantem que a diretiva se mantenha firmemente centrada no seu objetivo de saúde pública, proporcionando simultaneamente um quadro no qual o progresso científico e tecnológico possa ser integrado de forma segura.</w:t>
      </w:r>
    </w:p>
    <w:p>
      <w:pPr>
        <w:pStyle w:val="Normal12"/>
      </w:pPr>
      <w:r>
        <w:t>O relator considera adequado que a proposta reconheça mais claramente os potenciais benefícios das técnicas inovadoras de processamento de órgãos. Essas técnicas podem contribuir para melhorar a preservação de órgãos, aumentar o número de órgãos adequados para transplantação e melhorar a qualidade dos órgãos antes da transplantação. Por sua vez, tal pode ajudar a reduzir os tempos de espera e a melhorar os resultados clínicos para os doentes. O quadro regulamentar deve, por conseguinte, ser adaptado no sentido de permitir que estes desenvolvimentos sejam aplicados na prática clínica, mantendo simultaneamente a confiança do público no sistema de transplantação da União.</w:t>
      </w:r>
    </w:p>
    <w:p>
      <w:pPr>
        <w:pStyle w:val="Normal12"/>
      </w:pPr>
      <w:r>
        <w:t>Ao mesmo tempo, é necessária maior clareza jurídica no que diz respeito à interação entre a Diretiva 2010/53/UE e outra legislação pertinente da União, designadamente o quadro farmacêutico, a legislação relativa às substâncias de origem humana (SoHO) e, se for caso disso, o Regulamento Dispositivos Médicos. Sem uma delimitação clara das regras aplicáveis, pode surgir insegurança jurídica, o que pode conduzir a uma aplicação divergente entre os Estados‑Membros ou a atrasos no acesso a técnicas inovadoras. As alterações pretendem, assim, garantir um quadro regulamentar coerente que permita que o processamento de órgãos seja efetuado de forma segura e eficiente, respeitando plenamente a proibição de ganhos financeiros e a não comercialização de órgãos destinados a transplantação.</w:t>
      </w:r>
    </w:p>
    <w:p>
      <w:pPr>
        <w:pStyle w:val="Normal12"/>
      </w:pPr>
      <w:r>
        <w:t>O relator considera necessário incluir expressamente o processamento de órgãos no âmbito de aplicação da Diretiva 2010/53/UE. Tal assegurará que essas atividades estejam integralmente sujeitas aos requisitos de qualidade e segurança da diretiva, nomeadamente as disposições em matéria de rastreabilidade, vigilância e supervisão por parte das autoridades competentes, garantindo assim uma aplicação coerente em toda a União.</w:t>
      </w:r>
    </w:p>
    <w:p>
      <w:pPr>
        <w:pStyle w:val="Normal12"/>
      </w:pPr>
      <w:r>
        <w:t xml:space="preserve">A proteção dos dados pessoais reveste-se de especial importância neste contexto. O processamento e a transplantação de órgãos implicam o tratamento de dados relativos à saúde e dados genéticos altamente sensíveis. As alterações têm em conta as preocupações manifestadas pela </w:t>
      </w:r>
      <w:r>
        <w:t>Autoridade Europeia para a Proteção de Dados</w:t>
      </w:r>
      <w:r>
        <w:t xml:space="preserve"> no Parecer 11/2026 e reforçam o alinhamento com o Regulamento (UE) 2016/679 (RGPD). Estas garantias devem aplicar-se ao longo de toda a via de processamento e transplantação de órgãos. As alterações clarificam igualmente as disposições relativas aos planos de monitorização dos resultados clínicos e aos dados sobre os resultados clínicos, assegurando que a recolha e o tratamento de dados continuem a ser proporcionados, necessários e sujeitos a garantias adequadas.</w:t>
      </w:r>
    </w:p>
    <w:p>
      <w:pPr>
        <w:pStyle w:val="Normal12"/>
      </w:pPr>
      <w:r>
        <w:t>Por último, o relator apoia a introdução de obrigações mínimas de comunicação de informações nos termos do artigo 2.º relativo ao processamento de órgãos. Essa comunicação de informações reforçaria a transparência, apoiaria a supervisão regulamentar e contribuiria para a produção de elementos de prova sobre a segurança e a eficácia das técnicas inovadoras.</w:t>
      </w:r>
    </w:p>
    <w:p>
      <w:pPr>
        <w:pStyle w:val="Normal12"/>
      </w:pPr>
      <w:r>
        <w:t>De um modo geral, as alterações visam assegurar que a Diretiva 2010/53/UE continua a ser adequada à sua finalidade à luz da evolução científica e tecnológica. Estas alterações reforçam os fundamentos da diretiva em matéria de saúde pública, clarificam a sua interação com a legislação da União na matéria, reforçam as garantias em matéria de proteção de dados e introduzem requisitos proporcionados em matéria de comunicação de informações, prevendo assim um quadro coerente que propicia a inovação e mantendo elevados padrões de qualidade, segurança e proteção ética na transplantação de órgãos em toda a União Europeia.</w:t>
      </w:r>
    </w:p>
    <w:p>
      <w:pPr>
        <w:pStyle w:val="Normal12"/>
      </w:pPr>
      <w:r>
        <w:rPr>
          <w:b/>
        </w:rPr>
        <w:t>Exposição de motivos (</w:t>
      </w:r>
      <w:r>
        <w:rPr>
          <w:b/>
        </w:rPr>
        <w:t>ENVI</w:t>
      </w:r>
      <w:r>
        <w:rPr>
          <w:b/>
        </w:rPr>
        <w:t>)</w:t>
      </w:r>
    </w:p>
    <w:p>
      <w:pPr>
        <w:pStyle w:val="Normal12"/>
      </w:pPr>
      <w:r>
        <w:t xml:space="preserve">A relatora da </w:t>
      </w:r>
      <w:r>
        <w:t>Comissão do Ambiente, do Clima e da Segurança Alimentar</w:t>
      </w:r>
      <w:r>
        <w:t xml:space="preserve"> (</w:t>
      </w:r>
      <w:r>
        <w:t>ENVI</w:t>
      </w:r>
      <w:r>
        <w:t>) congratula-se com a proposta de adaptação da Diretiva 2001/18/CE ao ritmo acelerado do progresso científico no domínio da biotecnologia no que diz respeito aos microrganismos geneticamente modificados (MGM). A relatora realça que qualquer adaptação às novas realidades tecnológicas deve respeitar firmemente o princípio da precaução e garantir um elevado nível de proteção da saúde humana, da saúde animal e do ambiente. As alterações introduzem salvaguardas críticas no quadro regulamentar proposto para os MGM:</w:t>
      </w:r>
    </w:p>
    <w:p>
      <w:pPr>
        <w:pStyle w:val="Normal12"/>
      </w:pPr>
      <w:r>
        <w:t>Terminologia e perfil de risco: a relatora substitui o termo aberto «baixo risco» por «MGM com perfil de baixo risco» em todo o texto. Esta precisão linguística enfatiza que o estatuto QPS (presunção de segurança reconhecida) representa uma indicação científica preliminar de risco reduzido com base numa avaliação caso a caso da identidade taxonómica, e não uma presunção automática de segurança do mercado ou uma isenção da demonstração de segurança.</w:t>
      </w:r>
    </w:p>
    <w:p>
      <w:pPr>
        <w:pStyle w:val="Normal12"/>
      </w:pPr>
      <w:r>
        <w:t>Critérios de segurança rigorosos: as alterações esclarecem que eventuais procedimentos simplificados relativos a MGM com perfil de baixo risco devem ter em conta os princípios da avaliação dos riscos ambientais (ARA) constantes do anexo II. Os critérios devem assegurar que essas estirpes são bem caracterizadas do ponto de vista taxonómico e molecular, com uma ausência comprovada de genes que suscitem preocupação, genes de resistência antimicrobiana adquiridos, fatores de virulência ou toxinas.</w:t>
      </w:r>
    </w:p>
    <w:p>
      <w:pPr>
        <w:pStyle w:val="Normal12"/>
      </w:pPr>
      <w:r>
        <w:t>Autorização limitada no tempo e renovações: a relatora rejeita expressamente a proposta de um período de validade inicial ilimitado da autorização de introdução no mercado. As alterações restabelecem um período inicial obrigatório de 10 anos antes de poder ser concedida qualquer validade ilimitada aquando da primeira renovação. Desta forma, cada transição para um período ilimitado é rigorosamente fundamentada em dados concretos de monitorização pós-comercialização e em conclusões relativas à segurança ambiental.</w:t>
      </w:r>
    </w:p>
    <w:p>
      <w:pPr>
        <w:pStyle w:val="Normal12"/>
      </w:pPr>
      <w:r>
        <w:t>Métodos analíticos: refletindo as realidades técnicas, as alterações passam de «métodos de deteção» genéricos para «métodos analíticos» rigorosamente definidos. A fim de apoiar os operadores e as autoridades nacionais competentes, o laboratório de referência da União Europeia, assistido pela ENGL (Rede Europeia de Laboratórios para os OGM), é mandatado para adotar orientações claras sobre os requisitos mínimos de desempenho dos métodos de identificação e quantificação.</w:t>
      </w:r>
    </w:p>
    <w:p>
      <w:pPr>
        <w:pStyle w:val="Normal12"/>
      </w:pPr>
      <w:r>
        <w:t>Monitorização pós-comercialização reforçada: as propostas de derrogação de um plano de monitorização ambiental pós‑comercialização apresentadas por um notificador devem ser formalmente avaliadas e objeto de uma decisão por parte das autoridades competentes. Sempre que a monitorização seja realizada, deve abordar explicitamente indicadores como a vigilância da resistência antimicrobiana, a persistência no ambiente, a transferência horizontal de genes e os impactos ecológicos inesperados.</w:t>
      </w:r>
    </w:p>
    <w:p>
      <w:pPr>
        <w:pStyle w:val="Normal12"/>
      </w:pPr>
      <w:r>
        <w:t>Poderes delegados e apresentação de relatórios: o âmbito de aplicação dos atos delegados da Comissão para alterar os critérios não pode ser alargado arbitrariamente. Quando altera critérios, a Comissão deve publicar um relatório exaustivo que inclua uma análise da literatura científica. Além disso, uma nova cláusula de apresentação de relatórios e avaliação garante que, cinco anos após a aplicação e, posteriormente, de cinco em cinco anos, a Comissão tenha de apresentar um relatório formal de execução que avalie o impacto ambiental, a eficiência processual e a dinâmica de acesso ao mercado do quadro MGM.</w:t>
      </w:r>
    </w:p>
    <w:p>
      <w:pPr>
        <w:pStyle w:val="Normal12"/>
      </w:pPr>
      <w:r>
        <w:t>Através destas medidas, a relatora pretende assegurar que a atualização da Diretiva 2001/18/CE promova a inovação biotecnológica de forma segura e transparente, sem enfraquecer a sólida arquitetura de biossegurança da União.</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ANEXO: DECLARAÇÃO DE CONTRIBUTOS</w:t>
      </w:r>
      <w:bookmarkEnd w:id="2"/>
    </w:p>
    <w:p>
      <w:pPr>
        <w:pStyle w:val="Normal12a"/>
      </w:pPr>
      <w:r>
        <w:rPr>
          <w:rStyle w:val="HideTWBExt"/>
        </w:rPr>
        <w:t>&lt;FootprintIntro&gt;</w:t>
      </w:r>
      <w:r>
        <w:rPr>
          <w:rStyle w:val="HideTWBExt"/>
        </w:rPr>
        <w:t>&lt;/FootprintIntro&gt;</w:t>
      </w:r>
    </w:p>
    <w:p>
      <w:pPr>
        <w:pStyle w:val="Normal12a"/>
      </w:pPr>
      <w:r>
        <w:t>Em conformidade com o artigo 8.º do anexo I do Regimento, os relatores declaram ter incluído no seu projeto de relatório os contributos sobre questões relacionadas com o assunto do dossiê que receberam, aquando da elaboração do projeto de relatório, dos seguintes representantes de interesses abrangidos pelo âmbito de aplicação do Acordo Interinstitucional sobre um Registo de Transparência Obrigatório</w:t>
      </w:r>
      <w:r>
        <w:rPr>
          <w:rStyle w:val="FootnoteReference"/>
        </w:rPr>
        <w:footnoteReference w:customMarkFollows="1" w:id="4"/>
        <w:t xml:space="preserve">1</w:t>
      </w:r>
      <w:r>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Representantes de interesses abrangidos pelo âmbito de aplicação do Acordo Interinstitucional sobre um Registo de Transparência Obrigatório</w:t>
            </w:r>
          </w:p>
        </w:tc>
      </w:tr>
      <w:tr>
        <w:tblPrEx>
          <w:tblW w:w="0" w:type="auto"/>
          <w:tblLayout w:type="fixed"/>
          <w:tblCellMar>
            <w:left w:w="140" w:type="dxa"/>
            <w:right w:w="140" w:type="dxa"/>
          </w:tblCellMar>
        </w:tblPrEx>
        <w:tc>
          <w:tcPr>
            <w:tcW w:w="9080" w:type="dxa"/>
          </w:tcPr>
          <w:p>
            <w:r>
              <w:t>European Data Protection Supervisor (EDPS)</w:t>
            </w:r>
          </w:p>
        </w:tc>
      </w:tr>
      <w:tr>
        <w:tblPrEx>
          <w:tblW w:w="0" w:type="auto"/>
          <w:tblLayout w:type="fixed"/>
          <w:tblCellMar>
            <w:left w:w="140" w:type="dxa"/>
            <w:right w:w="140" w:type="dxa"/>
          </w:tblCellMar>
        </w:tblPrEx>
        <w:tc>
          <w:tcPr>
            <w:tcW w:w="9080" w:type="dxa"/>
          </w:tcPr>
          <w:p>
            <w:r>
              <w:t>Natividad Cuende Melero MD, MPH, PhD - Deputy Director of the Andalusian Transplant Coordination - Servicio Andaluz de Salud - Calle Imagen 12, 1º planta. 41003 Sevilla</w:t>
            </w:r>
          </w:p>
        </w:tc>
      </w:tr>
      <w:tr>
        <w:tblPrEx>
          <w:tblW w:w="0" w:type="auto"/>
          <w:tblLayout w:type="fixed"/>
          <w:tblCellMar>
            <w:left w:w="140" w:type="dxa"/>
            <w:right w:w="140" w:type="dxa"/>
          </w:tblCellMar>
        </w:tblPrEx>
        <w:tc>
          <w:tcPr>
            <w:tcW w:w="9080" w:type="dxa"/>
          </w:tcPr>
          <w:p>
            <w:r>
              <w:t>Testbiotech</w:t>
            </w:r>
          </w:p>
        </w:tc>
      </w:tr>
      <w:tr>
        <w:tblPrEx>
          <w:tblW w:w="0" w:type="auto"/>
          <w:tblLayout w:type="fixed"/>
          <w:tblCellMar>
            <w:left w:w="140" w:type="dxa"/>
            <w:right w:w="140" w:type="dxa"/>
          </w:tblCellMar>
        </w:tblPrEx>
        <w:tc>
          <w:tcPr>
            <w:tcW w:w="9080" w:type="dxa"/>
          </w:tcPr>
          <w:p>
            <w:pPr>
              <w:jc w:val="center"/>
            </w:pPr>
            <w:r>
              <w:rPr>
                <w:b/>
              </w:rPr>
              <w:t>2. Representantes das autoridades públicas de países terceiros, incluindo as respetivas missões diplomáticas e embaixadas</w:t>
            </w:r>
          </w:p>
        </w:tc>
      </w:tr>
      <w:tr>
        <w:tblPrEx>
          <w:tblW w:w="0" w:type="auto"/>
          <w:tblLayout w:type="fixed"/>
          <w:tblCellMar>
            <w:left w:w="140" w:type="dxa"/>
            <w:right w:w="140" w:type="dxa"/>
          </w:tblCellMar>
        </w:tblPrEx>
        <w:tc>
          <w:tcPr>
            <w:tcW w:w="9080" w:type="dxa"/>
          </w:tcPr>
          <w:p>
            <w:r>
              <w:t>Nenhum</w:t>
            </w:r>
          </w:p>
        </w:tc>
      </w:tr>
    </w:tbl>
    <w:p/>
    <w:p>
      <w:pPr>
        <w:pStyle w:val="Normal12a"/>
      </w:pPr>
      <w:r>
        <w:t>A lista acima é elaborada sob a responsabilidade exclusiva dos relatores.</w:t>
      </w:r>
    </w:p>
    <w:p>
      <w:pPr>
        <w:pStyle w:val="Normal12a"/>
      </w:pPr>
      <w:r>
        <w:t>Se as pessoas singulares forem identificadas na lista pelo nome, pela função, ou por ambos, os relatores declaram ter enviado às pessoas singulares em causa a Declaração relativa à proteção de dados n.º 484 do Parlamento Europeu (</w:t>
      </w:r>
      <w:hyperlink r:id="rId9" w:tgtFrame="https://www.europarl.europa.eu/data-protect/index.do" w:history="1">
        <w:r>
          <w:rPr>
            <w:rStyle w:val="Hyperlink"/>
          </w:rPr>
          <w:t>https://www.europarl.europa.eu/data-protect/index.do</w:t>
        </w:r>
      </w:hyperlink>
      <w:r>
        <w:t>), que estabelece as condições aplicáveis ao tratamento dos respetivos dados pessoais e os direitos associados a esse tratamento.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789.094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PR\1344685PT.docx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PR\1344685PT.docx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789.094</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PR\1344685PT.docx</w:t>
    </w:r>
    <w:r>
      <w:rPr>
        <w:rStyle w:val="HideTWBExt"/>
      </w:rPr>
      <w:t>&lt;/PathFdR&gt;</w:t>
    </w:r>
    <w:r>
      <w:tab/>
    </w:r>
    <w:r>
      <w:tab/>
    </w:r>
    <w:r>
      <w:t>PE</w:t>
    </w:r>
    <w:r>
      <w:rPr>
        <w:rStyle w:val="HideTWBExt"/>
      </w:rPr>
      <w:t>&lt;NoPE&gt;</w:t>
    </w:r>
    <w:r>
      <w:t>789.094</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[JO C 0, 00.00.0000, p. 0./Ainda não publicado no Jornal Oficial.]</w:t>
      </w:r>
    </w:p>
  </w:footnote>
  <w:footnote w:id="3">
    <w:p>
      <w:pPr>
        <w:pStyle w:val="FootnoteText"/>
      </w:pPr>
      <w:r>
        <w:rPr>
          <w:rStyle w:val="FootnoteReference"/>
        </w:rPr>
        <w:t>2</w:t>
      </w:r>
      <w:r>
        <w:t xml:space="preserve"> </w:t>
      </w:r>
      <w:r>
        <w:t xml:space="preserve"> </w:t>
      </w:r>
      <w:r>
        <w:t>[JO C 0, 00.00.0000, p. 0./Ainda não publicado no Jornal Oficial.]</w:t>
      </w:r>
    </w:p>
  </w:footnote>
  <w:footnote w:id="4">
    <w:p>
      <w:pPr>
        <w:pStyle w:val="FootnoteText"/>
      </w:pPr>
      <w:r>
        <w:rPr>
          <w:rStyle w:val="FootnoteReference"/>
        </w:rPr>
        <w:t>1</w:t>
      </w:r>
      <w:r>
        <w:t xml:space="preserve"> </w:t>
      </w:r>
      <w:r>
        <w:t xml:space="preserve"> </w:t>
      </w:r>
      <w:r>
        <w:t>Acordo Interinstitucional de 20 de maio de 2021 entre o Parlamento Europeu, o Conselho da União Europeia e a Comissão Europeia sobre um Registo de Transparência Obrigatório (JO L 207 de 11.6.2021, p. 1, ELI:</w:t>
      </w:r>
      <w:hyperlink r:id="rId1"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NormalBold12a">
    <w:name w:val="NormalBold12a"/>
    <w:basedOn w:val="Normal"/>
    <w:pPr>
      <w:widowControl/>
      <w:spacing w:after="240"/>
    </w:pPr>
    <w:rPr>
      <w:b/>
    </w:rPr>
  </w:style>
  <w:style w:type="paragraph" w:customStyle="1" w:styleId="CoverDocType">
    <w:name w:val="CoverDocType"/>
    <w:basedOn w:val="Normal"/>
    <w:pPr>
      <w:widowControl/>
      <w:ind w:left="1418"/>
    </w:pPr>
    <w:rPr>
      <w:rFonts w:ascii="Arial" w:hAnsi="Arial"/>
      <w:b/>
      <w:sz w:val="48"/>
    </w:rPr>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Normal12a">
    <w:name w:val="Normal12a"/>
    <w:basedOn w:val="Normal"/>
    <w:pPr>
      <w:widowControl/>
      <w:spacing w:after="240"/>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12138</Words>
  <Characters>68236</Characters>
  <Application>Microsoft Office Word</Application>
  <DocSecurity>0</DocSecurity>
  <Lines>1</Lines>
  <Paragraphs>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1344685</vt:lpwstr>
  </property>
  <property fmtid="{D5CDD505-2E9C-101B-9397-08002B2CF9AE}" pid="4" name="&lt;Model&gt;">
    <vt:lpwstr>PR_COD_1amCom</vt:lpwstr>
  </property>
  <property fmtid="{D5CDD505-2E9C-101B-9397-08002B2CF9AE}" pid="5" name="&lt;Type&gt;">
    <vt:lpwstr>PR</vt:lpwstr>
  </property>
  <property fmtid="{D5CDD505-2E9C-101B-9397-08002B2CF9AE}" pid="6" name="dmxml.render.id">
    <vt:lpwstr>585985</vt:lpwstr>
  </property>
  <property fmtid="{D5CDD505-2E9C-101B-9397-08002B2CF9AE}" pid="7" name="dmxml.render.traceId">
    <vt:lpwstr>6a63350e4ee563e6d404b3cb3878c9f7</vt:lpwstr>
  </property>
  <property fmtid="{D5CDD505-2E9C-101B-9397-08002B2CF9AE}" pid="8" name="FooterPath">
    <vt:lpwstr>PR\1344685PT.doc</vt:lpwstr>
  </property>
  <property fmtid="{D5CDD505-2E9C-101B-9397-08002B2CF9AE}" pid="9" name="PE Number">
    <vt:lpwstr>789.094</vt:lpwstr>
  </property>
  <property fmtid="{D5CDD505-2E9C-101B-9397-08002B2CF9AE}" pid="10" name="UID">
    <vt:lpwstr>eu.europa.europarl-DIN1-2026-0000154336_01.06-pt-01.00_text-xml</vt:lpwstr>
  </property>
</Properties>
</file>