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D1D8B" w:rsidRPr="00CB0A35" w14:paraId="6956FF6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115AC8" w14:textId="77777777" w:rsidR="009D1D8B" w:rsidRPr="00CB0A35" w:rsidRDefault="00436D50" w:rsidP="00C85D0F">
            <w:pPr>
              <w:pStyle w:val="EPName"/>
            </w:pPr>
            <w:bookmarkStart w:id="0" w:name="_GoBack"/>
            <w:bookmarkEnd w:id="0"/>
            <w:r w:rsidRPr="00CB0A35">
              <w:t>Evropský parlament</w:t>
            </w:r>
          </w:p>
          <w:p w14:paraId="79D463D3" w14:textId="77777777" w:rsidR="009D1D8B" w:rsidRPr="00CB0A35" w:rsidRDefault="005753A1" w:rsidP="005753A1">
            <w:pPr>
              <w:pStyle w:val="EPTerm"/>
            </w:pPr>
            <w:r w:rsidRPr="00CB0A3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4068631" w14:textId="77777777" w:rsidR="009D1D8B" w:rsidRPr="00CB0A35" w:rsidRDefault="009D1D8B" w:rsidP="00C85D0F">
            <w:pPr>
              <w:pStyle w:val="EPLogo"/>
            </w:pPr>
            <w:r w:rsidRPr="00CB0A35">
              <w:rPr>
                <w:noProof/>
              </w:rPr>
              <w:drawing>
                <wp:inline distT="0" distB="0" distL="0" distR="0" wp14:anchorId="663B3F20" wp14:editId="09F1A7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91316A" w14:textId="77777777" w:rsidR="00540DB0" w:rsidRPr="00CB0A35" w:rsidRDefault="00540DB0" w:rsidP="00540DB0">
      <w:pPr>
        <w:pStyle w:val="LineTop"/>
      </w:pPr>
    </w:p>
    <w:p w14:paraId="62219A47" w14:textId="77777777" w:rsidR="00540DB0" w:rsidRPr="00CB0A35" w:rsidRDefault="00540DB0" w:rsidP="00540DB0">
      <w:pPr>
        <w:pStyle w:val="EPBody"/>
      </w:pPr>
      <w:r w:rsidRPr="00CB0A35">
        <w:rPr>
          <w:rStyle w:val="HideTWBExt"/>
        </w:rPr>
        <w:t>&lt;</w:t>
      </w:r>
      <w:r w:rsidRPr="00CB0A35">
        <w:rPr>
          <w:rStyle w:val="HideTWBExt"/>
          <w:i w:val="0"/>
        </w:rPr>
        <w:t>Commission</w:t>
      </w:r>
      <w:r w:rsidRPr="00CB0A35">
        <w:rPr>
          <w:rStyle w:val="HideTWBExt"/>
        </w:rPr>
        <w:t>&gt;</w:t>
      </w:r>
      <w:r w:rsidRPr="00CB0A35">
        <w:rPr>
          <w:rStyle w:val="HideTWBInt"/>
          <w:i w:val="0"/>
        </w:rPr>
        <w:t>{CONT}</w:t>
      </w:r>
      <w:r w:rsidRPr="00CB0A35">
        <w:t>Výbor pro rozpočtovou kontrolu</w:t>
      </w:r>
      <w:r w:rsidRPr="00CB0A35">
        <w:rPr>
          <w:rStyle w:val="HideTWBExt"/>
        </w:rPr>
        <w:t>&lt;/</w:t>
      </w:r>
      <w:r w:rsidRPr="00CB0A35">
        <w:rPr>
          <w:rStyle w:val="HideTWBExt"/>
          <w:i w:val="0"/>
        </w:rPr>
        <w:t>Commission</w:t>
      </w:r>
      <w:r w:rsidRPr="00CB0A35">
        <w:rPr>
          <w:rStyle w:val="HideTWBExt"/>
        </w:rPr>
        <w:t>&gt;</w:t>
      </w:r>
    </w:p>
    <w:p w14:paraId="3E288FC7" w14:textId="77777777" w:rsidR="00540DB0" w:rsidRPr="00CB0A35" w:rsidRDefault="00540DB0" w:rsidP="00540DB0">
      <w:pPr>
        <w:pStyle w:val="LineBottom"/>
      </w:pPr>
    </w:p>
    <w:p w14:paraId="3520940B" w14:textId="77777777" w:rsidR="00C1531C" w:rsidRPr="00CB0A35" w:rsidRDefault="00C1531C">
      <w:pPr>
        <w:pStyle w:val="CoverReference"/>
      </w:pPr>
      <w:r w:rsidRPr="00CB0A35">
        <w:rPr>
          <w:rStyle w:val="HideTWBExt"/>
          <w:b w:val="0"/>
        </w:rPr>
        <w:t>&lt;RefProc&gt;</w:t>
      </w:r>
      <w:r w:rsidRPr="00CB0A35">
        <w:t>2023/2135</w:t>
      </w:r>
      <w:r w:rsidRPr="00CB0A35">
        <w:rPr>
          <w:rStyle w:val="HideTWBExt"/>
          <w:b w:val="0"/>
        </w:rPr>
        <w:t>&lt;/RefProc&gt;&lt;RefTypeProc&gt;</w:t>
      </w:r>
      <w:r w:rsidRPr="00CB0A35">
        <w:t>(DEC)</w:t>
      </w:r>
      <w:r w:rsidRPr="00CB0A35">
        <w:rPr>
          <w:rStyle w:val="HideTWBExt"/>
          <w:b w:val="0"/>
        </w:rPr>
        <w:t>&lt;/RefTypeProc&gt;</w:t>
      </w:r>
    </w:p>
    <w:p w14:paraId="3DDC402A" w14:textId="77777777" w:rsidR="00C1531C" w:rsidRPr="00CB0A35" w:rsidRDefault="00C1531C">
      <w:pPr>
        <w:pStyle w:val="CoverDate"/>
      </w:pPr>
      <w:r w:rsidRPr="00CB0A35">
        <w:rPr>
          <w:rStyle w:val="HideTWBExt"/>
        </w:rPr>
        <w:t>&lt;Date&gt;</w:t>
      </w:r>
      <w:r w:rsidRPr="00CB0A35">
        <w:rPr>
          <w:rStyle w:val="HideTWBInt"/>
        </w:rPr>
        <w:t>{13/12/2023}</w:t>
      </w:r>
      <w:r w:rsidRPr="00CB0A35">
        <w:t>13.12.2023</w:t>
      </w:r>
      <w:r w:rsidRPr="00CB0A35">
        <w:rPr>
          <w:rStyle w:val="HideTWBExt"/>
        </w:rPr>
        <w:t>&lt;/Date&gt;</w:t>
      </w:r>
    </w:p>
    <w:p w14:paraId="459660C0" w14:textId="77777777" w:rsidR="00C1531C" w:rsidRPr="00CB0A35" w:rsidRDefault="00C1531C">
      <w:pPr>
        <w:pStyle w:val="CoverDocType24a"/>
      </w:pPr>
      <w:r w:rsidRPr="00CB0A35">
        <w:rPr>
          <w:rStyle w:val="HideTWBExt"/>
          <w:b w:val="0"/>
        </w:rPr>
        <w:t>&lt;TitreType&gt;</w:t>
      </w:r>
      <w:r w:rsidRPr="00CB0A35">
        <w:t>NÁVRH ZPRÁVY</w:t>
      </w:r>
      <w:r w:rsidRPr="00CB0A35">
        <w:rPr>
          <w:rStyle w:val="HideTWBExt"/>
          <w:b w:val="0"/>
        </w:rPr>
        <w:t>&lt;/TitreType&gt;</w:t>
      </w:r>
    </w:p>
    <w:p w14:paraId="350A8941" w14:textId="77777777" w:rsidR="00C1531C" w:rsidRPr="00CB0A35" w:rsidRDefault="00C1531C">
      <w:pPr>
        <w:pStyle w:val="CoverNormal"/>
      </w:pPr>
      <w:r w:rsidRPr="00CB0A35">
        <w:rPr>
          <w:rStyle w:val="HideTWBExt"/>
        </w:rPr>
        <w:t>&lt;Titre&gt;</w:t>
      </w:r>
      <w:r w:rsidRPr="00CB0A35">
        <w:t>o udělení absolutoria za plnění souhrnného rozpočtu Evropské unie na rozpočtový rok 2022, oddíl VI – Evropský hospodářský a sociální výbor</w:t>
      </w:r>
      <w:r w:rsidRPr="00CB0A35">
        <w:rPr>
          <w:rStyle w:val="HideTWBExt"/>
        </w:rPr>
        <w:t>&lt;/Titre&gt;</w:t>
      </w:r>
    </w:p>
    <w:p w14:paraId="704064D7" w14:textId="77777777" w:rsidR="00C1531C" w:rsidRPr="00CB0A35" w:rsidRDefault="00C1531C" w:rsidP="008A4DC4">
      <w:pPr>
        <w:pStyle w:val="CoverNormal24a"/>
      </w:pPr>
      <w:r w:rsidRPr="00CB0A35">
        <w:rPr>
          <w:rStyle w:val="HideTWBExt"/>
        </w:rPr>
        <w:t>&lt;DocRef&gt;</w:t>
      </w:r>
      <w:r w:rsidRPr="00CB0A35">
        <w:t>(2023/2135(DEC))</w:t>
      </w:r>
      <w:r w:rsidRPr="00CB0A35">
        <w:rPr>
          <w:rStyle w:val="HideTWBExt"/>
        </w:rPr>
        <w:t>&lt;/DocRef&gt;</w:t>
      </w:r>
    </w:p>
    <w:p w14:paraId="71699153" w14:textId="77777777" w:rsidR="00C1531C" w:rsidRPr="00CB0A35" w:rsidRDefault="00C1531C">
      <w:pPr>
        <w:pStyle w:val="CoverNormal24a"/>
      </w:pPr>
      <w:r w:rsidRPr="00CB0A35">
        <w:rPr>
          <w:rStyle w:val="HideTWBExt"/>
        </w:rPr>
        <w:t>&lt;Commission&gt;</w:t>
      </w:r>
      <w:r w:rsidRPr="00CB0A35">
        <w:rPr>
          <w:rStyle w:val="HideTWBInt"/>
        </w:rPr>
        <w:t>{CONT}</w:t>
      </w:r>
      <w:r w:rsidRPr="00CB0A35">
        <w:t>Výbor pro rozpočtovou kontrolu</w:t>
      </w:r>
      <w:r w:rsidRPr="00CB0A35">
        <w:rPr>
          <w:rStyle w:val="HideTWBExt"/>
        </w:rPr>
        <w:t>&lt;/Commission&gt;</w:t>
      </w:r>
    </w:p>
    <w:p w14:paraId="79F91BDA" w14:textId="77777777" w:rsidR="00C1531C" w:rsidRPr="00CB0A35" w:rsidRDefault="00436D50">
      <w:pPr>
        <w:pStyle w:val="CoverNormal24a"/>
      </w:pPr>
      <w:r w:rsidRPr="00CB0A35">
        <w:t xml:space="preserve">Zpravodaj: </w:t>
      </w:r>
      <w:r w:rsidRPr="00CB0A35">
        <w:rPr>
          <w:rStyle w:val="HideTWBExt"/>
        </w:rPr>
        <w:t>&lt;Depute&gt;</w:t>
      </w:r>
      <w:r w:rsidRPr="00CB0A35">
        <w:t>Luke Ming Flanagan</w:t>
      </w:r>
      <w:r w:rsidRPr="00CB0A35">
        <w:rPr>
          <w:rStyle w:val="HideTWBExt"/>
        </w:rPr>
        <w:t>&lt;/Depute&gt;</w:t>
      </w:r>
    </w:p>
    <w:p w14:paraId="64AE8064" w14:textId="77777777" w:rsidR="007B23DE" w:rsidRPr="00CB0A35" w:rsidRDefault="007B23DE" w:rsidP="007B23DE">
      <w:pPr>
        <w:pStyle w:val="CoverNormal"/>
      </w:pPr>
    </w:p>
    <w:p w14:paraId="15806275" w14:textId="77777777" w:rsidR="00C1531C" w:rsidRPr="00CB0A35" w:rsidRDefault="00C1531C" w:rsidP="003B5094">
      <w:pPr>
        <w:widowControl/>
        <w:tabs>
          <w:tab w:val="center" w:pos="4677"/>
        </w:tabs>
      </w:pPr>
      <w:r w:rsidRPr="00CB0A35">
        <w:br w:type="page"/>
      </w:r>
      <w:r w:rsidRPr="00CB0A35">
        <w:lastRenderedPageBreak/>
        <w:t>PR_DEC_Other</w:t>
      </w:r>
    </w:p>
    <w:p w14:paraId="794DEC15" w14:textId="77777777" w:rsidR="00C1531C" w:rsidRPr="00CB0A35" w:rsidRDefault="00436D50">
      <w:pPr>
        <w:pStyle w:val="TOCHeading"/>
      </w:pPr>
      <w:r w:rsidRPr="00CB0A35">
        <w:t>OBSAH</w:t>
      </w:r>
    </w:p>
    <w:p w14:paraId="3D66C9B4" w14:textId="77777777" w:rsidR="00BD7AAA" w:rsidRPr="00CB0A35" w:rsidRDefault="00436D50" w:rsidP="00BD7AAA">
      <w:pPr>
        <w:pStyle w:val="TOCPage"/>
      </w:pPr>
      <w:r w:rsidRPr="00CB0A35">
        <w:t>Strana</w:t>
      </w:r>
    </w:p>
    <w:p w14:paraId="08BCE926" w14:textId="77818632" w:rsidR="00811A52" w:rsidRDefault="00BD7AA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B0A35">
        <w:rPr>
          <w:b/>
        </w:rPr>
        <w:fldChar w:fldCharType="begin"/>
      </w:r>
      <w:r w:rsidRPr="00CB0A35">
        <w:rPr>
          <w:b/>
        </w:rPr>
        <w:instrText xml:space="preserve"> TOC \t "PageHeading</w:instrText>
      </w:r>
      <w:r w:rsidR="00B5452C" w:rsidRPr="00CB0A35">
        <w:rPr>
          <w:b/>
        </w:rPr>
        <w:instrText>;</w:instrText>
      </w:r>
      <w:r w:rsidRPr="00CB0A35">
        <w:rPr>
          <w:b/>
        </w:rPr>
        <w:instrText xml:space="preserve">1" </w:instrText>
      </w:r>
      <w:r w:rsidRPr="00CB0A35">
        <w:rPr>
          <w:b/>
        </w:rPr>
        <w:fldChar w:fldCharType="separate"/>
      </w:r>
      <w:r w:rsidR="00811A52">
        <w:rPr>
          <w:noProof/>
        </w:rPr>
        <w:t>1. NÁVRH ROZHODNUTÍ EVROPSKÉHO PARLAMENTU</w:t>
      </w:r>
      <w:r w:rsidR="00811A52">
        <w:rPr>
          <w:noProof/>
        </w:rPr>
        <w:tab/>
      </w:r>
      <w:r w:rsidR="00811A52">
        <w:rPr>
          <w:noProof/>
        </w:rPr>
        <w:fldChar w:fldCharType="begin"/>
      </w:r>
      <w:r w:rsidR="00811A52">
        <w:rPr>
          <w:noProof/>
        </w:rPr>
        <w:instrText xml:space="preserve"> PAGEREF _Toc156468736 \h </w:instrText>
      </w:r>
      <w:r w:rsidR="00811A52">
        <w:rPr>
          <w:noProof/>
        </w:rPr>
      </w:r>
      <w:r w:rsidR="00811A52">
        <w:rPr>
          <w:noProof/>
        </w:rPr>
        <w:fldChar w:fldCharType="separate"/>
      </w:r>
      <w:r w:rsidR="00811A52">
        <w:rPr>
          <w:noProof/>
        </w:rPr>
        <w:t>3</w:t>
      </w:r>
      <w:r w:rsidR="00811A52">
        <w:rPr>
          <w:noProof/>
        </w:rPr>
        <w:fldChar w:fldCharType="end"/>
      </w:r>
    </w:p>
    <w:p w14:paraId="5248FB4B" w14:textId="6C0BD671" w:rsidR="00811A52" w:rsidRDefault="00811A5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2. NÁVRH USNESENÍ EVROPSKÉHO PARLAMENTU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_Toc156468737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5076955C" w14:textId="6E0674D4" w:rsidR="00C1531C" w:rsidRPr="00CB0A35" w:rsidRDefault="00BD7AAA" w:rsidP="00AC25A9">
      <w:r w:rsidRPr="00CB0A35">
        <w:fldChar w:fldCharType="end"/>
      </w:r>
    </w:p>
    <w:p w14:paraId="704CCC0D" w14:textId="77777777" w:rsidR="00C1531C" w:rsidRPr="00CB0A35" w:rsidRDefault="00C1531C" w:rsidP="004D13BA">
      <w:pPr>
        <w:pStyle w:val="PageHeading"/>
      </w:pPr>
      <w:r w:rsidRPr="00CB0A35">
        <w:br w:type="page"/>
      </w:r>
      <w:bookmarkStart w:id="1" w:name="_Toc26759888"/>
      <w:bookmarkStart w:id="2" w:name="_Toc86200285"/>
      <w:bookmarkStart w:id="3" w:name="_Toc156468736"/>
      <w:r w:rsidRPr="00CB0A35">
        <w:lastRenderedPageBreak/>
        <w:t>1. NÁVRH ROZHODNUTÍ EVROPSKÉHO PARLAMENTU</w:t>
      </w:r>
      <w:bookmarkEnd w:id="3"/>
    </w:p>
    <w:p w14:paraId="4D3D0290" w14:textId="77777777" w:rsidR="00D43DB3" w:rsidRPr="00CB0A35" w:rsidRDefault="00D43DB3" w:rsidP="00D43DB3">
      <w:pPr>
        <w:pStyle w:val="NormalBold"/>
        <w:rPr>
          <w:szCs w:val="24"/>
        </w:rPr>
      </w:pPr>
      <w:r w:rsidRPr="00CB0A35">
        <w:t>o udělení absolutoria za plnění souhrnného rozpočtu Evropské unie na rozpočtový rok 2022, oddíl VI – Evropský hospodářský a sociální výbor</w:t>
      </w:r>
    </w:p>
    <w:p w14:paraId="38982142" w14:textId="77777777" w:rsidR="00D43DB3" w:rsidRPr="00CB0A35" w:rsidRDefault="00D43DB3" w:rsidP="00D43DB3">
      <w:pPr>
        <w:pStyle w:val="NormalBold"/>
        <w:rPr>
          <w:szCs w:val="24"/>
        </w:rPr>
      </w:pPr>
      <w:r w:rsidRPr="00CB0A35">
        <w:t>(2023/2135(DEC))</w:t>
      </w:r>
    </w:p>
    <w:p w14:paraId="3F40BDBD" w14:textId="77777777" w:rsidR="00D43DB3" w:rsidRPr="00CB0A35" w:rsidRDefault="00D43DB3" w:rsidP="00D43DB3">
      <w:pPr>
        <w:pStyle w:val="EPComma"/>
        <w:rPr>
          <w:szCs w:val="24"/>
        </w:rPr>
      </w:pPr>
      <w:r w:rsidRPr="00CB0A35">
        <w:rPr>
          <w:i/>
          <w:iCs/>
        </w:rPr>
        <w:t>Evropský parlament,</w:t>
      </w:r>
    </w:p>
    <w:p w14:paraId="31BBD08E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souhrnný rozpočet Evropské unie na rozpočtový rok 2022</w:t>
      </w:r>
      <w:r w:rsidRPr="00CB0A35">
        <w:rPr>
          <w:rStyle w:val="FootnoteReference"/>
        </w:rPr>
        <w:footnoteReference w:id="1"/>
      </w:r>
      <w:r w:rsidRPr="00CB0A35">
        <w:t>,</w:t>
      </w:r>
    </w:p>
    <w:p w14:paraId="0D3CA9B6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 ohledem na konsolidovanou účetní závěrku Evropské unie za rozpočtový rok 2022 (COM(2023)0391 – C9</w:t>
      </w:r>
      <w:r w:rsidRPr="00CB0A35">
        <w:noBreakHyphen/>
        <w:t>0254/2023)</w:t>
      </w:r>
      <w:r w:rsidRPr="00CB0A35">
        <w:rPr>
          <w:rStyle w:val="FootnoteReference"/>
        </w:rPr>
        <w:footnoteReference w:id="2"/>
      </w:r>
      <w:r w:rsidRPr="00CB0A35">
        <w:t>,</w:t>
      </w:r>
    </w:p>
    <w:p w14:paraId="6B476196" w14:textId="6527087B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výroční zprávu o činnosti Evropského hospodářského a sociálního výboru za rok 2022 a na jeho výroční zprávu orgánu příslušnému pro udělení absolutoria o provedených interních auditech v roce 2022,</w:t>
      </w:r>
    </w:p>
    <w:p w14:paraId="2C77B9B8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výroční zprávu Účetního dvora o plnění rozpočtu na rozpočtový rok 2022 spolu s odpověďmi orgánů</w:t>
      </w:r>
      <w:r w:rsidRPr="00CB0A35">
        <w:rPr>
          <w:rStyle w:val="FootnoteReference"/>
        </w:rPr>
        <w:footnoteReference w:id="3"/>
      </w:r>
      <w:r w:rsidRPr="00CB0A35">
        <w:t>,</w:t>
      </w:r>
    </w:p>
    <w:p w14:paraId="081C95FF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prohlášení o věrohodnosti</w:t>
      </w:r>
      <w:r w:rsidRPr="00CB0A35">
        <w:rPr>
          <w:rStyle w:val="FootnoteReference"/>
        </w:rPr>
        <w:footnoteReference w:id="4"/>
      </w:r>
      <w:r w:rsidRPr="00CB0A35">
        <w:t xml:space="preserve"> účetnictví a o legalitě a správnosti uskutečněných operací, které předložil Účetní dvůr za rozpočtový rok 2022 podle článku 287 Smlouvy o fungování Evropské unie,</w:t>
      </w:r>
    </w:p>
    <w:p w14:paraId="4BB31C6C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čl. 314 odst. 10 a články 317, 318 a 319 Smlouvy o fungování Evropské unie,</w:t>
      </w:r>
    </w:p>
    <w:p w14:paraId="31562B55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 (EU) č. 283/2014 a rozhodnutí č. 541/2014/EU a zrušuje nařízení (EU, Euratom) č. 966/2012</w:t>
      </w:r>
      <w:r w:rsidRPr="00CB0A35">
        <w:rPr>
          <w:rStyle w:val="FootnoteReference"/>
        </w:rPr>
        <w:footnoteReference w:id="5"/>
      </w:r>
      <w:r w:rsidRPr="00CB0A35">
        <w:t>, a zejména na články 59, 118, 260, 261 a 262 tohoto nařízení,</w:t>
      </w:r>
    </w:p>
    <w:p w14:paraId="51C93C63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článek 100 a přílohu V jednacího řádu,</w:t>
      </w:r>
    </w:p>
    <w:p w14:paraId="301E7A02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zprávu Výboru pro rozpočtovou kontrolu (A9</w:t>
      </w:r>
      <w:r w:rsidRPr="00CB0A35">
        <w:noBreakHyphen/>
        <w:t>0000/2024),</w:t>
      </w:r>
    </w:p>
    <w:p w14:paraId="1C3B629D" w14:textId="77777777" w:rsidR="00D43DB3" w:rsidRPr="00CB0A35" w:rsidRDefault="00D43DB3" w:rsidP="00D43DB3">
      <w:pPr>
        <w:pStyle w:val="NormalHanging12a"/>
      </w:pPr>
      <w:r w:rsidRPr="00CB0A35">
        <w:t>1.</w:t>
      </w:r>
      <w:r w:rsidRPr="00CB0A35">
        <w:tab/>
        <w:t>uděluje absolutorium generálnímu tajemníkovi Evropského hospodářského a sociálního výboru za plnění rozpočtu Evropského hospodářského a sociálního výboru na rozpočtový rok 2022 / odkládá rozhodnutí o udělení absolutoria generálnímu tajemníkovi Evropského hospodářského a sociálního výboru za plnění rozpočtu Evropského hospodářského a sociálního výboru na rozpočtový rok 2022;</w:t>
      </w:r>
    </w:p>
    <w:p w14:paraId="2D42EA3E" w14:textId="77777777" w:rsidR="00D43DB3" w:rsidRPr="00CB0A35" w:rsidRDefault="00D43DB3" w:rsidP="00D43DB3">
      <w:pPr>
        <w:pStyle w:val="NormalHanging12a"/>
      </w:pPr>
      <w:r w:rsidRPr="00CB0A35">
        <w:lastRenderedPageBreak/>
        <w:t>2.</w:t>
      </w:r>
      <w:r w:rsidRPr="00CB0A35">
        <w:tab/>
        <w:t>předkládá své připomínky v dále uvedeném usnesení;</w:t>
      </w:r>
    </w:p>
    <w:p w14:paraId="7B2111C1" w14:textId="77777777" w:rsidR="00D43DB3" w:rsidRPr="00CB0A35" w:rsidRDefault="00D43DB3" w:rsidP="00D43DB3">
      <w:pPr>
        <w:pStyle w:val="NormalHanging12a"/>
      </w:pPr>
      <w:r w:rsidRPr="00CB0A35">
        <w:t>3.</w:t>
      </w:r>
      <w:r w:rsidRPr="00CB0A35">
        <w:tab/>
        <w:t>pověřuje svou předsedkyni, aby předala toto rozhodnutí a usnesení, které je jeho nedílnou součástí, generálnímu tajemníkovi Evropského hospodářského a sociálního výboru, Radě, Komisi a Účetnímu dvoru a aby zajistila jejich zveřejnění v </w:t>
      </w:r>
      <w:r w:rsidRPr="00CB0A35">
        <w:rPr>
          <w:i/>
          <w:iCs/>
        </w:rPr>
        <w:t>Úředním věstníku Evropské unie</w:t>
      </w:r>
      <w:r w:rsidRPr="00CB0A35">
        <w:t xml:space="preserve"> (řada L). </w:t>
      </w:r>
    </w:p>
    <w:p w14:paraId="3EB31306" w14:textId="77777777" w:rsidR="00266373" w:rsidRPr="00CB0A35" w:rsidRDefault="00266373" w:rsidP="003E3994"/>
    <w:p w14:paraId="76ED9508" w14:textId="77777777" w:rsidR="00266373" w:rsidRPr="00CB0A35" w:rsidRDefault="00266373" w:rsidP="004D13BA">
      <w:pPr>
        <w:pStyle w:val="PageHeading"/>
        <w:sectPr w:rsidR="00266373" w:rsidRPr="00CB0A35" w:rsidSect="00CB0A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137B5B88" w14:textId="77777777" w:rsidR="00C1531C" w:rsidRPr="00CB0A35" w:rsidRDefault="00436D50" w:rsidP="004D13BA">
      <w:pPr>
        <w:pStyle w:val="PageHeading"/>
      </w:pPr>
      <w:bookmarkStart w:id="4" w:name="_Toc156468737"/>
      <w:bookmarkEnd w:id="1"/>
      <w:bookmarkEnd w:id="2"/>
      <w:r w:rsidRPr="00CB0A35">
        <w:lastRenderedPageBreak/>
        <w:t>2. NÁVRH USNESENÍ EVROPSKÉHO PARLAMENTU</w:t>
      </w:r>
      <w:bookmarkEnd w:id="4"/>
    </w:p>
    <w:p w14:paraId="7E731B30" w14:textId="77777777" w:rsidR="00D43DB3" w:rsidRPr="00CB0A35" w:rsidRDefault="00D43DB3" w:rsidP="00D43DB3">
      <w:pPr>
        <w:pStyle w:val="NormalBold"/>
        <w:rPr>
          <w:szCs w:val="24"/>
        </w:rPr>
      </w:pPr>
      <w:r w:rsidRPr="00CB0A35">
        <w:t>obsahujícího připomínky, které jsou nedílnou součástí rozhodnutí o udělení absolutoria za plnění souhrnného rozpočtu Evropské unie na rozpočtový rok 2022, oddíl VI – Evropský hospodářský a sociální výbor</w:t>
      </w:r>
    </w:p>
    <w:p w14:paraId="20E6F5C7" w14:textId="77777777" w:rsidR="00D43DB3" w:rsidRPr="00CB0A35" w:rsidRDefault="00D43DB3" w:rsidP="00D43DB3">
      <w:pPr>
        <w:pStyle w:val="NormalBold"/>
        <w:rPr>
          <w:szCs w:val="24"/>
        </w:rPr>
      </w:pPr>
      <w:r w:rsidRPr="00CB0A35">
        <w:t>(2023/2135(DEC))</w:t>
      </w:r>
    </w:p>
    <w:p w14:paraId="576F9827" w14:textId="77777777" w:rsidR="00D43DB3" w:rsidRPr="00CB0A35" w:rsidRDefault="00D43DB3" w:rsidP="00D43DB3">
      <w:pPr>
        <w:pStyle w:val="EPComma"/>
        <w:rPr>
          <w:szCs w:val="24"/>
        </w:rPr>
      </w:pPr>
      <w:r w:rsidRPr="00CB0A35">
        <w:rPr>
          <w:i/>
          <w:iCs/>
        </w:rPr>
        <w:t>Evropský parlament,</w:t>
      </w:r>
    </w:p>
    <w:p w14:paraId="6F2CE73B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své rozhodnutí o udělení absolutoria za plnění souhrnného rozpočtu Evropské unie na rozpočtový rok 2022, oddíl VI – Evropský hospodářský a sociální výbor,</w:t>
      </w:r>
    </w:p>
    <w:p w14:paraId="28AFC52F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článek 100 a přílohu V jednacího řádu,</w:t>
      </w:r>
    </w:p>
    <w:p w14:paraId="7A2C7490" w14:textId="77777777" w:rsidR="00D43DB3" w:rsidRPr="00CB0A35" w:rsidRDefault="00D43DB3" w:rsidP="00D43DB3">
      <w:pPr>
        <w:pStyle w:val="NormalHanging12a"/>
      </w:pPr>
      <w:r w:rsidRPr="00CB0A35">
        <w:t>–</w:t>
      </w:r>
      <w:r w:rsidRPr="00CB0A35">
        <w:tab/>
        <w:t>s ohledem na zprávu Výboru pro rozpočtovou kontrolu (A9</w:t>
      </w:r>
      <w:r w:rsidRPr="00CB0A35">
        <w:noBreakHyphen/>
        <w:t>0000/2024),</w:t>
      </w:r>
    </w:p>
    <w:p w14:paraId="1680A603" w14:textId="77777777" w:rsidR="00D43DB3" w:rsidRPr="00CB0A35" w:rsidRDefault="00D43DB3" w:rsidP="00D43DB3">
      <w:pPr>
        <w:pStyle w:val="NormalHanging12a"/>
      </w:pPr>
      <w:r w:rsidRPr="00CB0A35">
        <w:t>A.</w:t>
      </w:r>
      <w:r w:rsidRPr="00CB0A35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14:paraId="606D7191" w14:textId="77777777" w:rsidR="00D43DB3" w:rsidRPr="00CB0A35" w:rsidRDefault="00D43DB3" w:rsidP="00D43DB3">
      <w:pPr>
        <w:pStyle w:val="NormalHanging12a"/>
      </w:pPr>
      <w:r w:rsidRPr="00CB0A35">
        <w:t>B.</w:t>
      </w:r>
      <w:r w:rsidRPr="00CB0A35">
        <w:tab/>
        <w:t>vzhledem k tomu, že Evropský hospodářský a sociální výbor (dále jen „Výbor“) je poradním orgánem Unie, který poskytuje fórum pro konzultace, dialog a konsensus mezi zástupci různých hospodářských, sociálních a občanských složek organizované občanské společnosti členských států;</w:t>
      </w:r>
    </w:p>
    <w:p w14:paraId="61AAB585" w14:textId="3ACC8375" w:rsidR="00D43DB3" w:rsidRPr="00CB0A35" w:rsidRDefault="00D43DB3" w:rsidP="00D43DB3">
      <w:pPr>
        <w:pStyle w:val="NormalHanging12a"/>
      </w:pPr>
      <w:r w:rsidRPr="00CB0A35">
        <w:t>C.</w:t>
      </w:r>
      <w:r w:rsidRPr="00CB0A35">
        <w:tab/>
        <w:t>vzhledem k tomu, že Výbor přispívá k rozhodovacímu procesu Unie a tím, že zajišťuje propojení politik Unie s hospodářskými, sociálními a občanskými okolnostmi, současně plní své poslání zlepšovat právní úpravu a prosazovat participativní demokracii zdola a hodnoty EU;</w:t>
      </w:r>
    </w:p>
    <w:p w14:paraId="6D029418" w14:textId="5B1770FE" w:rsidR="00D43DB3" w:rsidRPr="00CB0A35" w:rsidRDefault="00D43DB3" w:rsidP="00D43DB3">
      <w:pPr>
        <w:pStyle w:val="NormalHanging12a"/>
      </w:pPr>
      <w:r w:rsidRPr="00CB0A35">
        <w:t>D.</w:t>
      </w:r>
      <w:r w:rsidRPr="00CB0A35">
        <w:tab/>
        <w:t>vzhledem k tomu, že konzultace s Výborem ze strany Komise nebo Rady jsou v určitých případech povinné a že Výbor může přijímat stanoviska i z vlastního podnětu a Smlouvy mu dávají široký prostor pro postoupení, přičemž konzultovat jej může i Parlament;</w:t>
      </w:r>
    </w:p>
    <w:p w14:paraId="16F84253" w14:textId="2D569492" w:rsidR="00D43DB3" w:rsidRPr="00CB0A35" w:rsidRDefault="00D43DB3" w:rsidP="00D43DB3">
      <w:pPr>
        <w:pStyle w:val="NormalHanging12a"/>
      </w:pPr>
      <w:r w:rsidRPr="00CB0A35">
        <w:t>E.</w:t>
      </w:r>
      <w:r w:rsidRPr="00CB0A35">
        <w:tab/>
        <w:t>vzhledem k tomu, že kontrolním orgánem Výboru pro všechny rozpočtové postupy, a zejména pro stanovení odhadů rozpočtu, plnění rozpočtu, výroční zprávu o činnosti, absolutorium a následná opatření navazující na výroční zprávu Účetního dvora, je Komise pro finanční a rozpočtové záležitosti Výboru;</w:t>
      </w:r>
    </w:p>
    <w:p w14:paraId="4D152951" w14:textId="582AFE87" w:rsidR="00D43DB3" w:rsidRPr="00CB0A35" w:rsidRDefault="00D43DB3" w:rsidP="00D43DB3">
      <w:pPr>
        <w:pStyle w:val="NormalHanging12a"/>
      </w:pPr>
      <w:r w:rsidRPr="00CB0A35">
        <w:t>1.</w:t>
      </w:r>
      <w:r w:rsidRPr="00CB0A35">
        <w:tab/>
        <w:t>konstatuje, že rozpočet Výboru spadá do okruhu 7 VFR „Evropská veřejná správa“, který v roce 2022 činil celkem 11,6 miliardy EUR, tj. 5,9 % rozpočtových výdajů Unie; konstatuje, že v roce 2022 představoval rozpočet Výboru 1,31 % prostředků okruhu 7 VFR;</w:t>
      </w:r>
    </w:p>
    <w:p w14:paraId="3FDEE6FC" w14:textId="074854DE" w:rsidR="00D43DB3" w:rsidRPr="00CB0A35" w:rsidRDefault="00D43DB3" w:rsidP="00D43DB3">
      <w:pPr>
        <w:pStyle w:val="NormalHanging12a"/>
      </w:pPr>
      <w:r w:rsidRPr="00CB0A35">
        <w:t>2.</w:t>
      </w:r>
      <w:r w:rsidRPr="00CB0A35">
        <w:tab/>
        <w:t xml:space="preserve">konstatuje, že Evropský účetní dvůr (dále jen „Účetní dvůr“) ve výroční zprávě za rozpočtový rok 2022 zkoumal vzorek 60 transakcí v oddílu Správa, což je stejný počet jako v roce 2021; dále uvádí, že Účetní dvůr píše, že správní výdaje zahrnují výdaje na </w:t>
      </w:r>
      <w:r w:rsidRPr="00CB0A35">
        <w:lastRenderedPageBreak/>
        <w:t>lidské zdroje, včetně výdajů na důchody, které v roce 2022 představovaly přibližně 70 % celkových správních výdajů, a výdaje na budovy, vybavení, energie, komunikační a informační technologie, a že z jeho dlouholeté práce vyplývá, že tyto výdaje celkově vykazují nízké riziko;</w:t>
      </w:r>
    </w:p>
    <w:p w14:paraId="6550343A" w14:textId="7CEC700F" w:rsidR="00D43DB3" w:rsidRPr="00CB0A35" w:rsidRDefault="00D43DB3" w:rsidP="00D43DB3">
      <w:pPr>
        <w:pStyle w:val="NormalHanging12a"/>
      </w:pPr>
      <w:r w:rsidRPr="00CB0A35">
        <w:t>3.</w:t>
      </w:r>
      <w:r w:rsidRPr="00CB0A35">
        <w:tab/>
        <w:t xml:space="preserve">konstatuje, že Účetní dvůr v rámci svého auditu za rok 2022 prověřil systémy dohledu a kontroly Výboru, zejména provádění norem vnitřní kontroly, řízení rizik a fungování klíčových kontrol definovaných ve finančním nařízení, včetně kontrol </w:t>
      </w:r>
      <w:r w:rsidRPr="00CB0A35">
        <w:rPr>
          <w:i/>
        </w:rPr>
        <w:t>ex ante</w:t>
      </w:r>
      <w:r w:rsidRPr="00CB0A35">
        <w:t xml:space="preserve"> a </w:t>
      </w:r>
      <w:r w:rsidRPr="00CB0A35">
        <w:rPr>
          <w:i/>
        </w:rPr>
        <w:t>ex post</w:t>
      </w:r>
      <w:r w:rsidRPr="00CB0A35">
        <w:t xml:space="preserve"> u plateb;</w:t>
      </w:r>
    </w:p>
    <w:p w14:paraId="50F07760" w14:textId="1593DE1F" w:rsidR="00D43DB3" w:rsidRPr="00CB0A35" w:rsidRDefault="00D43DB3" w:rsidP="00D43DB3">
      <w:pPr>
        <w:pStyle w:val="NormalHanging12a"/>
      </w:pPr>
      <w:r w:rsidRPr="00CB0A35">
        <w:t>4.</w:t>
      </w:r>
      <w:r w:rsidRPr="00CB0A35">
        <w:tab/>
        <w:t>konstatuje, že čtrnáct (23 %) z 60 transakcí obsahovalo chyby, ale že Účetní dvůr na základě pěti chyb, které byly vyčísleny, odhaduje míru chyb pod prahem významnosti;</w:t>
      </w:r>
    </w:p>
    <w:p w14:paraId="342083B4" w14:textId="43291773" w:rsidR="00D43DB3" w:rsidRPr="00CB0A35" w:rsidRDefault="00D43DB3" w:rsidP="00D43DB3">
      <w:pPr>
        <w:pStyle w:val="NormalHanging12a"/>
      </w:pPr>
      <w:r w:rsidRPr="00CB0A35">
        <w:t>5.</w:t>
      </w:r>
      <w:r w:rsidRPr="00CB0A35">
        <w:tab/>
        <w:t>s uspokojením konstatuje, že Účetní dvůr ve výroční zprávě za rozpočtový rok 2022 uvádí, že nezjistil žádné specifické problémy týkající se Výboru; dále konstatuje, že Účetní dvůr při svém následném přezkumu usoudil, že doporučení, které bylo Výboru předloženo ve výroční zprávě za rozpočtový rok 2019 a které se týkalo potřeby Výboru vypracovat politiku citlivých funkcí v souladu s jeho standardy vnitřní kontroly, bylo v některých ohledech provedeno;</w:t>
      </w:r>
    </w:p>
    <w:p w14:paraId="5E696475" w14:textId="77777777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Rozpočtové a finanční řízení</w:t>
      </w:r>
    </w:p>
    <w:p w14:paraId="0C3FD511" w14:textId="1DE08C60" w:rsidR="00D43DB3" w:rsidRPr="00CB0A35" w:rsidRDefault="00D43DB3" w:rsidP="00D43DB3">
      <w:pPr>
        <w:pStyle w:val="NormalHanging12a"/>
      </w:pPr>
      <w:r w:rsidRPr="00CB0A35">
        <w:t>6.</w:t>
      </w:r>
      <w:r w:rsidRPr="00CB0A35">
        <w:tab/>
        <w:t>konstatuje, že v roce 2022 činil konečný schválený rozpočet Výboru 152 451 643 EUR, což představuje celkové zvýšení o 5,1 % oproti roku 2021; konstatuje, že rozpočtová položka odměny a příspěvky se v letech 2021–2022 zvýšila o 5 % v důsledku každoroční valorizace platů; konstatuje, že rozpočtová položka na vybavení prostor se mezi lety 2021 a 2022 snížila o 77 % a po provedení důležitých rekonstrukčních prací v roce 2021 se vrátila na obvyklou úroveň; konstatuje, že jinak zůstalo rozdělení prostředků v rozpočtových položkách v rozpočtu na rok 2022 srovnatelné s rozdělením v předchozích letech;</w:t>
      </w:r>
    </w:p>
    <w:p w14:paraId="07DDAA9F" w14:textId="298EBBFD" w:rsidR="00D43DB3" w:rsidRPr="00CB0A35" w:rsidRDefault="00D43DB3" w:rsidP="00D43DB3">
      <w:pPr>
        <w:pStyle w:val="NormalHanging12a"/>
      </w:pPr>
      <w:r w:rsidRPr="00CB0A35">
        <w:t>7.</w:t>
      </w:r>
      <w:r w:rsidRPr="00CB0A35">
        <w:tab/>
        <w:t>konstatuje, že míra plnění rozpočtu v roce 2022 činila 96,12 %, a to po dvou letech nižšího plnění rozpočtu v důsledku pandemie COVID-19 a souvisejících cestovních omezení; konstatuje, že míra provádění plateb vykazovala stejný trend a v roce 2022 dosáhla 88,12 %;</w:t>
      </w:r>
    </w:p>
    <w:p w14:paraId="5DE74723" w14:textId="128418F3" w:rsidR="00D43DB3" w:rsidRPr="00CB0A35" w:rsidRDefault="00D43DB3" w:rsidP="00D43DB3">
      <w:pPr>
        <w:pStyle w:val="NormalHanging12a"/>
      </w:pPr>
      <w:r w:rsidRPr="00CB0A35">
        <w:t>8.</w:t>
      </w:r>
      <w:r w:rsidRPr="00CB0A35">
        <w:tab/>
        <w:t>konstatuje, že prostředky přenesené do roku 2022 činily 20 162 518 EUR, tj. přibližně 13 % ročního rozpočtu na rok 2022, což je podstatně více, než byl průměr v předchozích letech; chápe, že tento přenos souvisí s odkladem stavebních prací v letech 2020 a 2021;</w:t>
      </w:r>
    </w:p>
    <w:p w14:paraId="0CA0FE75" w14:textId="1F18BD93" w:rsidR="00D43DB3" w:rsidRPr="00CB0A35" w:rsidRDefault="00D43DB3" w:rsidP="00D43DB3">
      <w:pPr>
        <w:pStyle w:val="NormalHanging12a"/>
      </w:pPr>
      <w:r w:rsidRPr="00CB0A35">
        <w:t>9.</w:t>
      </w:r>
      <w:r w:rsidRPr="00CB0A35">
        <w:tab/>
        <w:t>konstatuje, že průměrná doba splatnosti v roce 2022 činila 18 dní, což představuje výrazný pokles oproti roku 2019, kdy činila 30,19 dne; oceňuje, že současně vzrostlo využívání elektronické fakturace z 58,54 % v roce 2018 na 88,84 % v roce 2022, což pravděpodobně přispělo ke zkrácení doby splatnosti v tomto období; vítá, že Výbor změnil své postupy v důsledku doporučení interního auditu týkajícího se lhůt splatnosti, který byl zahájen a uzavřen v roce 2022 a přispěl ke snížení podílu opožděných plateb na přibližně 10 % v roce 2022;</w:t>
      </w:r>
    </w:p>
    <w:p w14:paraId="174E81D5" w14:textId="2B4986E6" w:rsidR="00D43DB3" w:rsidRPr="00CB0A35" w:rsidRDefault="00D43DB3" w:rsidP="00D43DB3">
      <w:pPr>
        <w:pStyle w:val="NormalHanging12a"/>
      </w:pPr>
      <w:r w:rsidRPr="00CB0A35">
        <w:t>10.</w:t>
      </w:r>
      <w:r w:rsidRPr="00CB0A35">
        <w:tab/>
        <w:t xml:space="preserve">konstatuje, že vlastní útvary Výboru zahájily v roce 2022 patnáct jednacích řízení s hodnotou nižší než 60 000 EUR, a to zejména na odborné posudky, studie a logistickou </w:t>
      </w:r>
      <w:r w:rsidRPr="00CB0A35">
        <w:lastRenderedPageBreak/>
        <w:t>podporu; konstatuje, že zadávací řízení v oblasti logistiky byla zahájena společnými útvary, které Výbor sdílí s Výborem regionů (VR);</w:t>
      </w:r>
    </w:p>
    <w:p w14:paraId="39D78C1D" w14:textId="020C836A" w:rsidR="00D43DB3" w:rsidRPr="00CB0A35" w:rsidRDefault="00D43DB3" w:rsidP="00D43DB3">
      <w:pPr>
        <w:pStyle w:val="NormalHanging12a"/>
      </w:pPr>
      <w:r w:rsidRPr="00CB0A35">
        <w:t>11.</w:t>
      </w:r>
      <w:r w:rsidRPr="00CB0A35">
        <w:tab/>
        <w:t>konstatuje, že v roce 2022 Výbor pokračoval ve zlepšování nákladové efektivity svých pracovních metod, zejména díky hybridní práci, úplné dematerializaci finančních okruhů a snížení spotřeby energie; dále konstatuje, že rozpočtové a administrativní úspory byly dosaženy díky interinstitucionální spolupráci, zejména prostřednictvím společných služeb s VR a externího zadávání zvláštních služeb Komisi (za roční poplatek) v oblasti vyřizování záležitostí lidských zdrojů a využívání různých IT platforem pro finanční řízení a lidské zdroje, jakož i účastí v interinstitucionálních zadávacích řízeních vedených jinými orgány;</w:t>
      </w:r>
    </w:p>
    <w:p w14:paraId="1D27162B" w14:textId="1F8828EF" w:rsidR="00D43DB3" w:rsidRPr="00CB0A35" w:rsidRDefault="00D43DB3" w:rsidP="00D43DB3">
      <w:pPr>
        <w:pStyle w:val="NormalHanging12a"/>
      </w:pPr>
      <w:r w:rsidRPr="00CB0A35">
        <w:t>12.</w:t>
      </w:r>
      <w:r w:rsidRPr="00CB0A35">
        <w:tab/>
        <w:t>je si vědom toho, že o příspěvcích pro členy Výboru za účast na schůzích a o jejich výši rozhoduje Rada; konstatuje, že v návaznosti na postupné rušení cestovních omezení v souvislosti s pandemií COVID-19 se Rada rozhodla nezrušit dočasné rozhodnutí z roku 2021 o přiznání příspěvku ve výši 145 EUR na dálkovou účast členů na schůzích, které zůstalo v platnosti do 25. května 2023, kdy bylo přijato nové rozhodnutí Rady s paušální sazbou 145 EUR na den za dálkovou účast na schůzích; má za to, že účast na dálku je pro moderní instituce důležitým nástrojem, neboť mimo jiné snižuje náklady na schůze a umožňuje širší účast, zejména v krizových situacích, jak se ukázalo během pandemie COVID-19; domnívá se však, že příspěvek na vzdálenou účast, přestože je snížen, je pro veřejnost těžko pochopitelný, a to tím spíše, když se vezme v úvahu rozdíl, který je vyplácen členům Výboru a členům VR za účast na dálku;</w:t>
      </w:r>
      <w:r w:rsidRPr="00CB0A35">
        <w:rPr>
          <w:rStyle w:val="normaltextrun"/>
          <w:rFonts w:asciiTheme="minorHAnsi" w:hAnsiTheme="minorHAnsi"/>
        </w:rPr>
        <w:t xml:space="preserve"> </w:t>
      </w:r>
      <w:r w:rsidRPr="00CB0A35">
        <w:t>konstatuje, že před vyplacením příspěvku se provádí kontrola na několika úrovních, aby se prokázalo, že se člen schůze na dálku účastní; chápe, že účast na schůzích na dálku umožnila Výboru fungovat během pandemie COVID-19 a že čas, který členové věnují přípravě a účasti na schůzích na dálku, je stejný jako čas věnovaný přípravě a účasti na fyzických schůzích;</w:t>
      </w:r>
    </w:p>
    <w:p w14:paraId="7F8A3D18" w14:textId="2E03203A" w:rsidR="00D43DB3" w:rsidRPr="00CB0A35" w:rsidRDefault="00D43DB3" w:rsidP="00D43DB3">
      <w:pPr>
        <w:pStyle w:val="NormalHanging12a"/>
      </w:pPr>
      <w:r w:rsidRPr="00CB0A35">
        <w:t>13.</w:t>
      </w:r>
      <w:r w:rsidRPr="00CB0A35">
        <w:tab/>
        <w:t xml:space="preserve">konstatuje, že ruská útočná válka proti Ukrajině vytvořila na Výbor rozpočtový tlak, mimo jiné v důsledku rostoucí inflace a úpravy platů, silně rostoucích nákladů na energie a nákladů na stavební práce a suroviny; zejména konstatuje, že náklady na energii mezi lety 2021 a 2022 vzrostly ze 726 000 EUR na 3 125 000 EUR, tj. o 330 %; konstatuje, že kvůli </w:t>
      </w:r>
      <w:r w:rsidRPr="00CB0A35">
        <w:rPr>
          <w:i/>
          <w:iCs/>
        </w:rPr>
        <w:t>ad hoc</w:t>
      </w:r>
      <w:r w:rsidRPr="00CB0A35">
        <w:t xml:space="preserve"> činnostem na podporu ukrajinské občanské společnosti vznikly přímé i nepřímé náklady, jako jsou náklady na překlady a tlumočení z ukrajinštiny a do ukrajinštiny, hostování ukrajinských nevládních organizací a bezpečnostní služby a školení pro služební cesty na Ukrajinu;</w:t>
      </w:r>
    </w:p>
    <w:p w14:paraId="7556BAE0" w14:textId="48384C5B" w:rsidR="00D43DB3" w:rsidRPr="00CB0A35" w:rsidRDefault="00D43DB3" w:rsidP="00D43DB3">
      <w:pPr>
        <w:pStyle w:val="NormalHanging12a"/>
        <w:rPr>
          <w:b/>
          <w:i/>
        </w:rPr>
      </w:pPr>
      <w:r w:rsidRPr="00CB0A35">
        <w:t>14.</w:t>
      </w:r>
      <w:r w:rsidRPr="00CB0A35">
        <w:tab/>
        <w:t>konstatuje, že rozpočet na služební cesty zaměstnanců na rok 2022 se oproti roku 2021 zvýšil o 25 000 EUR, což bylo financováno rozpočtovým převodem, aby se pokryly vyšší výdaje v důsledku zvýšení cen letenek a hotelů v roce 2022, a činil celkem 398 974 EUR; konstatuje, že v roce 2022 se předsedkyně Výboru zúčastnila 26 služebních cest s celkovými náklady 38 042 EUR oproti 12 služebním cestám s celkovými náklady 15 327 EUR v roce 2021, a to v důsledku zrušení cestovních omezení po skončení pandemie COVID-19;</w:t>
      </w:r>
    </w:p>
    <w:p w14:paraId="1B4C18A4" w14:textId="77777777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Vnitřní řízení, výkonnost a vnitřní kontrola</w:t>
      </w:r>
    </w:p>
    <w:p w14:paraId="515A0965" w14:textId="0AE50B15" w:rsidR="00D43DB3" w:rsidRPr="00CB0A35" w:rsidRDefault="00D43DB3" w:rsidP="00D43DB3">
      <w:pPr>
        <w:pStyle w:val="NormalHanging12a"/>
      </w:pPr>
      <w:r w:rsidRPr="00CB0A35">
        <w:t>15.</w:t>
      </w:r>
      <w:r w:rsidRPr="00CB0A35">
        <w:tab/>
        <w:t xml:space="preserve">konstatuje, že Výbor plní své poslání prostřednictvím stanovisek, která se týkají legislativních návrhů předložených Komisí (žádosti o vypracování stanoviska), </w:t>
      </w:r>
      <w:r w:rsidRPr="00CB0A35">
        <w:lastRenderedPageBreak/>
        <w:t>stanovisek vypracovaných z vlastního podnětu, ve kterých vyzývá orgány Unie, aby přijaly opatření, a průzkumných stanovisek, která přispívají k práci Komise na jejích plánovaných iniciativách, a že postoje Výboru mohou být zdůrazněny v usneseních nebo zahrnuty do hodnotících a informačních zpráv; konstatuje, že v roce 2022 přijal Výbor 202 stanovisek a zpráv, což odpovídá jeho průměrné roční výkonnosti, s výjimkou let 2019 a 2020, kdy byla činnost Výboru nižší; konstatuje, že Výbor rovněž posílil své zapojení do politického a legislativního cyklu tím, že se zúčastnil 345 vnitrostátních, unijních a mezinárodních setkání na vysoké úrovni, summitů a konferencí a uspořádal 116 slyšení a 29 konferencí;</w:t>
      </w:r>
    </w:p>
    <w:p w14:paraId="06273BEA" w14:textId="5FEBB18B" w:rsidR="00D43DB3" w:rsidRPr="00CB0A35" w:rsidRDefault="00D43DB3" w:rsidP="00D43DB3">
      <w:pPr>
        <w:pStyle w:val="NormalHanging12a"/>
      </w:pPr>
      <w:r w:rsidRPr="00CB0A35">
        <w:t>16.</w:t>
      </w:r>
      <w:r w:rsidRPr="00CB0A35">
        <w:tab/>
        <w:t>kladně hodnotí projekty zahájené v roce 2022, pokud jde o posílená následná stanoviska s cílem zvýšit dosah a dopad vybraných stanovisek a zlepšit schopnost Výboru stanovit priority své práce a pokud jde o zlepšení včasnosti vydávání stanovisek Výboru; konstatuje, že tyto iniciativy byly na konci roku 2022 doplněny úvahami o podobě stanovisek, jejichž cílem je podpořit účinnější a efektivnější využívání stanovisek Výboru v legislativním rozhodovacím procesu;</w:t>
      </w:r>
    </w:p>
    <w:p w14:paraId="2A3239C7" w14:textId="4AC4FF96" w:rsidR="00D43DB3" w:rsidRPr="00CB0A35" w:rsidRDefault="00D43DB3" w:rsidP="00D43DB3">
      <w:pPr>
        <w:pStyle w:val="NormalHanging12a"/>
      </w:pPr>
      <w:r w:rsidRPr="00CB0A35">
        <w:t>17.</w:t>
      </w:r>
      <w:r w:rsidRPr="00CB0A35">
        <w:tab/>
        <w:t>konstatuje, že v roce 2022 se poslanci Evropského parlamentu zúčastnili schůzí nebo akcí pořádaných Výborem v 68 případech, tedy stejně často jako v roce 2021, zatímco účast členů Výboru na akcích pořádaných Parlamentem se ve stejném období téměř zdvojnásobila; vítá, že se Výbor v roce 2022 zaměřil na zintenzivnění svých vztahů s Parlamentem a na propagaci přidané hodnoty Výboru, čímž podpořil ještě užší vazby mezi sekcemi Výboru a parlamentními výbory;</w:t>
      </w:r>
    </w:p>
    <w:p w14:paraId="63DF62DA" w14:textId="7CBE03FB" w:rsidR="00D43DB3" w:rsidRPr="00CB0A35" w:rsidRDefault="00D43DB3" w:rsidP="00D43DB3">
      <w:pPr>
        <w:pStyle w:val="NormalHanging12a"/>
      </w:pPr>
      <w:r w:rsidRPr="00CB0A35">
        <w:t>18.</w:t>
      </w:r>
      <w:r w:rsidRPr="00CB0A35">
        <w:tab/>
        <w:t>konstatuje, že Výbor v roce 2022 pokračoval v posilování svého rámce vnitřní kontroly, a to zjednodušením finančních okruhů v rámci postupu „lehkého ověření“ u některých transakcí s nízkou hodnotou, a v rozvíjení své politiky týkající se citlivých pracovních míst, jak doporučil Účetní dvůr ve své výroční zprávě za rozpočtový rok 2019; na základě aktualizace seznamu citlivých pracovních míst v průběhu roku 2022 a v době zveřejnění aktualizovaného seznamu 36 pracovních míst na začátku roku 2023 konstatuje, že Výbor stále pracoval na revizi metodiky a systému řízení rizik, přičemž zohledňoval jak velikost orgánu, tak povahu jeho činnosti; žádá Výbor, aby informoval orgán příslušný k udělení absolutoria o pokroku dosaženém v souvislosti s prováděním metodiky citlivých pracovních míst v roce 2023;</w:t>
      </w:r>
    </w:p>
    <w:p w14:paraId="0BE0440D" w14:textId="10AA08CA" w:rsidR="00D43DB3" w:rsidRPr="00CB0A35" w:rsidRDefault="00D43DB3" w:rsidP="00D43DB3">
      <w:pPr>
        <w:pStyle w:val="NormalHanging12a"/>
      </w:pPr>
      <w:r w:rsidRPr="00CB0A35">
        <w:t>19.</w:t>
      </w:r>
      <w:r w:rsidRPr="00CB0A35">
        <w:tab/>
        <w:t>vítá úsilí Výboru o vytvoření lépe definovaného a konzistentnějšího rámce auditu prostřednictvím dokončení statutu interního auditu a statutu výboru pro audit zahrnujícího procesní pravidla, které byly schváleny výborem pro audit v prosinci 2022 a přijaty předsednictvem na začátku roku 2023; kladně hodnotí, že v roce 2022 byla posílena funkce interního auditu Výboru, zejména přijetím administrátora do útvaru interního auditu a úzkou koordinací s interním auditorem VR ve všech aspektech týkajících se auditu společných služeb; konstatuje, že v roce 2022 byly zahájeny čtyři audity týkající se těchto témat: platby v prodlení, schvalování schůzí, strategický cyklus a výběr delegátů do Poradní komise pro průmyslové změny;</w:t>
      </w:r>
    </w:p>
    <w:p w14:paraId="359F6E0E" w14:textId="77777777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Lidské zdroje, rovnost a pracovní podmínky zaměstnanců</w:t>
      </w:r>
    </w:p>
    <w:p w14:paraId="404DE5EE" w14:textId="14CD22DA" w:rsidR="00D43DB3" w:rsidRPr="00CB0A35" w:rsidRDefault="00D43DB3" w:rsidP="00D43DB3">
      <w:pPr>
        <w:pStyle w:val="NormalHanging12a"/>
      </w:pPr>
      <w:r w:rsidRPr="00CB0A35">
        <w:t>20.</w:t>
      </w:r>
      <w:r w:rsidRPr="00CB0A35">
        <w:tab/>
        <w:t xml:space="preserve">konstatuje, že na konci roku 2022 měl Výbor celkem 706 zaměstnanců, zatímco v roce 2021 jich bylo 699; konstatuje, že na konci roku 2022 bylo ve Výboru zaměstnáno 50 smluvních zaměstnanců a 128 dočasných zaměstnanců, z toho 19 smluvních </w:t>
      </w:r>
      <w:r w:rsidRPr="00CB0A35">
        <w:lastRenderedPageBreak/>
        <w:t>zaměstnanců a 3 dočasní zaměstnanci se smlouvou na dobu neurčitou; dále konstatuje, že Výbor zaměstnával 12 dočasných zaměstnanců a 7 externích pracovníků, kteří pracovali na místě, s výjimkou externích poskytovatelů služeb v oblasti logistiky a IT; konstatuje, že v roce 2022 byla obsazenost pracovních míst v plánu pracovních míst 95,1 %;</w:t>
      </w:r>
    </w:p>
    <w:p w14:paraId="077AA2F2" w14:textId="29451EAB" w:rsidR="00D43DB3" w:rsidRPr="00CB0A35" w:rsidRDefault="00D43DB3" w:rsidP="00D43DB3">
      <w:pPr>
        <w:pStyle w:val="NormalHanging12a"/>
      </w:pPr>
      <w:r w:rsidRPr="00CB0A35">
        <w:t>21.</w:t>
      </w:r>
      <w:r w:rsidRPr="00CB0A35">
        <w:tab/>
        <w:t>vítá neustálé úsilí Výboru o zlepšení jeho rámce lidských zdrojů s cílem stát se atraktivním zaměstnavatelem a plně inkluzivním pracovištěm, kde je každý jednotlivec ceněn a může plně rozvinout svůj potenciál; konstatuje, že integrovaná strategie lidských zdrojů přijatá v červnu 2022 je formulována na základě zásad začleňování, udržení zaměstnanců, kompetencí a výkonnosti; kladně hodnotí, že jedním z prvních následných opatření bylo zahájení průzkumu spokojenosti zaměstnanců v lednu 2023 se zaměřením na jejich zapojení;</w:t>
      </w:r>
    </w:p>
    <w:p w14:paraId="06C9DC55" w14:textId="77777777" w:rsidR="00D43DB3" w:rsidRPr="00CB0A35" w:rsidRDefault="00D43DB3" w:rsidP="00D43DB3">
      <w:pPr>
        <w:pStyle w:val="NormalHanging12a"/>
      </w:pPr>
      <w:r w:rsidRPr="00CB0A35">
        <w:t>22.</w:t>
      </w:r>
      <w:r w:rsidRPr="00CB0A35">
        <w:tab/>
        <w:t>zdůrazňuje, že přijímání nových zaměstnanců představuje důležitý faktor strategického sladění, neboť zajišťuje, že zaměstnanci jsou informováni o pravidlech a strategiích platných v daném orgánu; konstatuje, že v dubnu 2022 byla obnovena úvodní školení pro nové členy Výboru; kladně hodnotí skutečnost, že Výbor vytvořil systém mentoringu, v jehož rámci byla mentorům poskytována podpora a poradenství formou výměny osvědčených postupů, aby mohli své metody přizpůsobit hybridnímu pracovnímu prostředí;</w:t>
      </w:r>
    </w:p>
    <w:p w14:paraId="0916681F" w14:textId="16E612AC" w:rsidR="00D43DB3" w:rsidRPr="00CB0A35" w:rsidRDefault="00D43DB3" w:rsidP="00D43DB3">
      <w:pPr>
        <w:pStyle w:val="NormalHanging12a"/>
      </w:pPr>
      <w:r w:rsidRPr="00CB0A35">
        <w:t>23.</w:t>
      </w:r>
      <w:r w:rsidRPr="00CB0A35">
        <w:tab/>
        <w:t>konstatuje, že v zájmu lepšího rozdělení svých omezených zdrojů si Výbor v roce 2022 nechal vypracovat externí mapování lidských zdrojů, které potvrdilo velkou pracovní zátěž v mnoha různých útvarech Výboru vzhledem k nedostatku zdrojů po redukci plánu pracovních míst v roce 2013; konstatuje, že v návaznosti na externí audit mapování lidských zdrojů začal Výbor připravovat akční plán zahrnující opatření v rámci integrované strategie lidských zdrojů, jako je přezkum systému hodnocení a výkonnosti, vypracování strategie interní komunikace, přijetí nového rozhodnutí o pracovních podmínkách a organizace pravidelného sledování zapojení zaměstnanců; vyzývá Výbor, aby v roce 2023 poskytl aktuální informace o opatřeních navazujících na mapování lidských zdrojů;</w:t>
      </w:r>
    </w:p>
    <w:p w14:paraId="3BA52C6D" w14:textId="5648D8BD" w:rsidR="00D43DB3" w:rsidRPr="00CB0A35" w:rsidRDefault="00D43DB3" w:rsidP="00D43DB3">
      <w:pPr>
        <w:pStyle w:val="NormalHanging12a"/>
      </w:pPr>
      <w:r w:rsidRPr="00CB0A35">
        <w:t>24.</w:t>
      </w:r>
      <w:r w:rsidRPr="00CB0A35">
        <w:tab/>
        <w:t>oceňuje, že dne 1. dubna 2022 vstoupilo v platnost nové rozhodnutí o flexibilních pracovních režimech, které zakotvuje flexibilní a na důvěře založenou politiku pro hybridní pracovní režimy, a to formou pilotního projektu, který zaměstnancům poskytuje širokou škálu pracovních režimů na částečný úvazek a flexibilní denní a týdenní pracovní režimy; konstatuje, že v roce 2022 požádalo o nestandardní pracovní režim přibližně 25 % žen a 14,4 % mužů zaměstnaných ve Výboru; konstatuje, že rozhodnutí o pracovních podmínkách poskytuje zaměstnancům možnost pracovat na dálku až 60 % své pracovní doby, pokud je to v souladu se zájmem útvarů, a pracovat na dálku jinde než v místě zaměstnání 15 dní v kalendářním roce; konstatuje, že zaměstnanci Výboru mají k dispozici potřebné vybavení, aby měli při práci na dálku dobré pracovní podmínky;</w:t>
      </w:r>
    </w:p>
    <w:p w14:paraId="4AA63028" w14:textId="7DEB3FCD" w:rsidR="00D43DB3" w:rsidRPr="00CB0A35" w:rsidRDefault="00D43DB3" w:rsidP="00D43DB3">
      <w:pPr>
        <w:pStyle w:val="NormalHanging12a"/>
      </w:pPr>
      <w:r w:rsidRPr="00CB0A35">
        <w:t>25.</w:t>
      </w:r>
      <w:r w:rsidRPr="00CB0A35">
        <w:tab/>
        <w:t xml:space="preserve">vyjadřuje politování nad tím, že ani v roce 2022 nebyl Výbor schopen poskytnout údaje o případech syndromu vyhoření ve Výboru; respektuje omezení související s ochranou údajů, ale připomíná Výboru význam anonymizovaných statistických údajů v rámci organizace, které mají napomáhat manažerským rozhodnutím; znovu opakuje, že by měly být zohledněny akce na zvýšení povědomí i osvědčené postupy týkající se řízení </w:t>
      </w:r>
      <w:r w:rsidRPr="00CB0A35">
        <w:lastRenderedPageBreak/>
        <w:t>pracovní zátěže, komunikace a řešení konfliktů, stejně jako politiky návratu do práce; chápe, že přijetí nového pracovního režimu je pozitivním krokem k účinnější prevenci vyhoření na organizační úrovni, která by měla zohlednit i výsledky mapování lidských zdrojů;</w:t>
      </w:r>
    </w:p>
    <w:p w14:paraId="64925136" w14:textId="24D9471D" w:rsidR="00D43DB3" w:rsidRPr="00CB0A35" w:rsidRDefault="00D43DB3" w:rsidP="00D43DB3">
      <w:pPr>
        <w:pStyle w:val="NormalHanging12a"/>
      </w:pPr>
      <w:r w:rsidRPr="00CB0A35">
        <w:t>26.</w:t>
      </w:r>
      <w:r w:rsidRPr="00CB0A35">
        <w:tab/>
        <w:t>konstatuje, že v roce 2022 Výbor nadále zaměstnával vysoký podíl žen (64,6 % všech zaměstnanců), a to i na úrovni středního managementu (59 % všech vedoucích pracovníků); konstatuje, že zastoupení žen na vyšších manažerských pozicích je třeba ještě zlepšit, neboť na konci roku 2022 byly pouze tři ze sedmi vedoucích pracovníků ženy; vybízí Výbor, aby pokračoval ve svém úsilí o dosažení genderové vyváženosti, zejména prostřednictvím zvyšování povědomí o orgánu oprávněném ke jmenování a zajištění toho, aby složení různých orgánů, včetně komisí pro nábor a výběr lidských zdrojů, zůstalo genderově vyvážené;</w:t>
      </w:r>
    </w:p>
    <w:p w14:paraId="5C4266EC" w14:textId="23F3DBE5" w:rsidR="00D43DB3" w:rsidRPr="00CB0A35" w:rsidRDefault="00D43DB3" w:rsidP="00D43DB3">
      <w:pPr>
        <w:pStyle w:val="NormalHanging12a"/>
      </w:pPr>
      <w:r w:rsidRPr="00CB0A35">
        <w:t>27.</w:t>
      </w:r>
      <w:r w:rsidRPr="00CB0A35">
        <w:tab/>
        <w:t>vítá práci na přijetí nové politiky rozmanitosti a začleňování v letech 2022 až 2023, a to po konzultaci s vedením Výboru, Společným výborem pro rovné příležitosti a výborem zaměstnanců Výboru; konstatuje, že kromě interních komunikačních akcí byla v prosinci 2022 realizována zvláštní osvětová kampaň proti homofobii; vítá, že zvláštní školení o rozmanitosti a začleňování bylo povinné pro vedoucí pracovníky a doporučené pro zaměstnance a že členům Výboru byl v rámci jejich ročního vzdělávacího programu nabídnut specializovaný kurz o rozmanitosti a začleňování; vybízí Výbor, aby pokračoval v diskusích s Parlamentem s cílem připojit se k pozitivnímu akčnímu programu Parlamentu pro osoby se zdravotním postižením s cílem zaměstnat smluvní zaměstnance se zdravotním postižením; opakuje svou výzvu z absolutoria za rok 2021, aby byla dokončena aktualizovaná strategie a akční plán pro rozmanitost a začleňování;</w:t>
      </w:r>
    </w:p>
    <w:p w14:paraId="7A73518F" w14:textId="49E8A626" w:rsidR="00D43DB3" w:rsidRPr="00CB0A35" w:rsidRDefault="00D43DB3" w:rsidP="00D43DB3">
      <w:pPr>
        <w:pStyle w:val="NormalHanging12a"/>
      </w:pPr>
      <w:r w:rsidRPr="00CB0A35">
        <w:t>28.</w:t>
      </w:r>
      <w:r w:rsidRPr="00CB0A35">
        <w:tab/>
        <w:t>konstatuje, že ačkoli jsou mezi zaměstnanci Výboru zastoupeny všechny členské státy, zeměpisná vyváženost by se mohla ještě zlepšit, neboť některé státní příslušnosti jsou v porovnání s ostatními stále nadměrně zastoupeny; znovu vybízí Výbor, aby i nadále podnikal kroky k dosažení zeměpisné vyváženosti svých zaměstnanců, se zvláštním důrazem na vedoucí pozice;</w:t>
      </w:r>
    </w:p>
    <w:p w14:paraId="350CD562" w14:textId="3B8370A9" w:rsidR="00D43DB3" w:rsidRPr="00CB0A35" w:rsidRDefault="00D43DB3" w:rsidP="00D43DB3">
      <w:pPr>
        <w:pStyle w:val="NormalHanging12a"/>
      </w:pPr>
      <w:r w:rsidRPr="00CB0A35">
        <w:t>29.</w:t>
      </w:r>
      <w:r w:rsidRPr="00CB0A35">
        <w:tab/>
        <w:t>konstatuje, že v roce 2022 Výbor hostil celkem 52 stážistů na dobu pěti měsíců, čtyři stážisty na dobu tří měsíců a dva stážisty, kteří pobírali stipendium od externího veřejného orgánu; konstatuje, že všichni stážisté na pětiměsíční stáži obdrželi měsíční stipendia a příspěvky, zatímco stážisté na krátkodobé stáži neměli nárok na žádný finanční příspěvek; vítá, že i na základě výzvy Parlamentu během postupu udělování absolutoria za rok 2020 byla v roce 2022 zahájena revize rozhodnutí o stážích ve Výboru s cílem ukončit neplacené krátkodobé stáže a zajistit, aby všichni stážisté dostávali důstojnou odměnu; zdůrazňuje, že nové rozhodnutí o stážích vstoupilo v platnost v červenci 2023 a zajišťuje měsíční příjem, cestovní příspěvky a příspěvky na mobilitu a případně příspěvky pro osoby se zdravotním postižením jak pro dlouhodobé, tak pro krátkodobé stážisty;</w:t>
      </w:r>
    </w:p>
    <w:p w14:paraId="4862E2F3" w14:textId="2ABAE6D8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Etický rámec a transparentnost</w:t>
      </w:r>
    </w:p>
    <w:p w14:paraId="14A94FA8" w14:textId="0FDC812D" w:rsidR="00D43DB3" w:rsidRPr="00CB0A35" w:rsidRDefault="00D43DB3" w:rsidP="00D43DB3">
      <w:pPr>
        <w:pStyle w:val="NormalHanging12a"/>
      </w:pPr>
      <w:r w:rsidRPr="00CB0A35">
        <w:t>30.</w:t>
      </w:r>
      <w:r w:rsidRPr="00CB0A35">
        <w:rPr>
          <w:b/>
          <w:i/>
        </w:rPr>
        <w:tab/>
      </w:r>
      <w:r w:rsidRPr="00CB0A35">
        <w:t xml:space="preserve">konstatuje, že Výbor pokračoval v procesu vnitřní reformy přijetím nového jednacího řádu v březnu 2022 a jeho prováděcích ustanovení v listopadu 2022; stále lituje, že konkrétní vztahy mezi členy a úředníky nejsou v souvislosti s obtěžováním řešeny </w:t>
      </w:r>
      <w:r w:rsidRPr="00CB0A35">
        <w:lastRenderedPageBreak/>
        <w:t>samostatně; konstatuje, že v návaznosti na interní audit Výboru týkající se etiky a integrity je jednací řád nyní sjednocen s kodexem chování přijatým v roce 2021 a je s ním v souladu; žádá Výbor, aby Parlament informoval, zda bylo hodnocení provádění akčního plánu auditu etiky a integrity provedeno podle plánu a jaký byl výsledek tohoto hodnocení; vítá úvahy zahájené v roce 2022 v souvislosti s přípravou charty hodnot pro zaměstnance Výboru, a to na základě inkluzivního a participativního procesu, který byl dokončen a sdělen zaměstnancům v roce 2023;</w:t>
      </w:r>
    </w:p>
    <w:p w14:paraId="3E61AF88" w14:textId="5204BD5E" w:rsidR="00D43DB3" w:rsidRPr="00CB0A35" w:rsidRDefault="00D43DB3" w:rsidP="00D43DB3">
      <w:pPr>
        <w:pStyle w:val="NormalHanging12a"/>
      </w:pPr>
      <w:r w:rsidRPr="00CB0A35">
        <w:t>31.</w:t>
      </w:r>
      <w:r w:rsidRPr="00CB0A35">
        <w:tab/>
        <w:t>poznamenává, že poté, co dne 15. prosince 2021 vstoupilo v platnost revidované rozhodnutí Výboru o whistleblowingu (rozhodnutí 297/21A) a revidované rozhodnutí o postupech pro prevenci a řešení psychického a sexuálního obtěžování na pracovišti (rozhodnutí 090/22A), přijaté dne 31. března 2022, očekává se, že obnovený etický právní rámec bude v roce 2023 doplněn revidovaným rozhodnutím, které stanoví obecná prováděcí ustanovení pro disciplinární řízení a správní šetření, v koordinaci s VR; konstatuje, že v roce 2022 bylo přijato nové rozhodnutí o úkolech a mimopracovních činnostech (rozhodnutí č. 141/22A), které se vztahuje na zaměstnance v pracovním poměru, dočasně přidělené zaměstnance a bývalé zaměstnance v souladu s ustanoveními služebního řádu platnými v době odchodu ze služby;</w:t>
      </w:r>
    </w:p>
    <w:p w14:paraId="4497C388" w14:textId="68E2E571" w:rsidR="00D43DB3" w:rsidRPr="00CB0A35" w:rsidRDefault="00D43DB3" w:rsidP="00D43DB3">
      <w:pPr>
        <w:pStyle w:val="NormalHanging12a"/>
      </w:pPr>
      <w:r w:rsidRPr="00CB0A35">
        <w:t>32.</w:t>
      </w:r>
      <w:r w:rsidRPr="00CB0A35">
        <w:tab/>
        <w:t>konstatuje, že v roce 2022 Výbor pokračoval ve školení zaměstnanců a zvyšování povědomí o platném etickém rámci, zejména o novém kodexu chování, obtěžování a whistleblowingu, a o úloze a povinnostech etických poradců, jejichž mandát začal v lednu 2022; konstatuje, že v roce 2022 se 116 zaměstnanců, včetně vedoucích pracovníků a nově přijatých zaměstnanců, zúčastnilo interních kurzů v oblasti etiky a 26 zaměstnanců absolvovalo kurzy v oblasti etiky poskytované Komisí a Evropskou správní školou; konstatuje, že pro tým etických poradců byl vypracován a poskytnut na míru šitý vzdělávací kurz; vítá, že 83 % respondentů průzkumu spokojenosti zaměstnanců, který byl zahájen v roce 2022, prokázalo silné povědomí o etickém chování a posíleném etickém rámci Výboru;</w:t>
      </w:r>
    </w:p>
    <w:p w14:paraId="0D350B0E" w14:textId="13E55D93" w:rsidR="00D43DB3" w:rsidRPr="00CB0A35" w:rsidRDefault="00D43DB3" w:rsidP="00D43DB3">
      <w:pPr>
        <w:pStyle w:val="NormalHanging12a"/>
        <w:rPr>
          <w:color w:val="000000" w:themeColor="text1"/>
        </w:rPr>
      </w:pPr>
      <w:r w:rsidRPr="00CB0A35">
        <w:t>33.</w:t>
      </w:r>
      <w:r w:rsidRPr="00CB0A35">
        <w:tab/>
        <w:t>pokud jde o případy obtěžování uvedené v minulých letech v rámci udělování absolutoria, konstatuje, že poslední dohoda o narovnání týkající se případu Evropského úřadu pro boj proti podvodům (OLAF) OC/2018/0666/A1 byla uzavřena dne 1. října 2022, což Výboru umožňuje zcela uzavřít všechny žádosti o pomoc související s tímto případem; vítá, že dne 13. dubna 2022 učinila tehdejší předsedkyně Výboru veřejné prohlášení, zveřejněné na internetových stránkách Výboru, v němž se jménem Výboru oficiálně omluvila všem obětem v daném případě, a to jak zaměstnancům, tak bývalému členovi;</w:t>
      </w:r>
      <w:r w:rsidRPr="00CB0A35">
        <w:rPr>
          <w:color w:val="000000" w:themeColor="text1"/>
        </w:rPr>
        <w:t xml:space="preserve"> vítá, že Soudní dvůr svým rozsudkem ze dne 6. října 2022 ve věci C-673/21</w:t>
      </w:r>
      <w:r w:rsidRPr="00CB0A35">
        <w:rPr>
          <w:rStyle w:val="FootnoteReference"/>
          <w:color w:val="000000" w:themeColor="text1"/>
        </w:rPr>
        <w:footnoteReference w:id="6"/>
      </w:r>
      <w:r w:rsidRPr="00CB0A35">
        <w:rPr>
          <w:color w:val="000000" w:themeColor="text1"/>
        </w:rPr>
        <w:t xml:space="preserve"> potvrdil legalitu opatření přijatých předsednictvem Výboru v jeho rozhodnutí ze dne 9. června 2020;</w:t>
      </w:r>
    </w:p>
    <w:p w14:paraId="46F5D8F9" w14:textId="313191CB" w:rsidR="00D43DB3" w:rsidRPr="00CB0A35" w:rsidRDefault="00D43DB3" w:rsidP="00D43DB3">
      <w:pPr>
        <w:pStyle w:val="NormalHanging12a"/>
      </w:pPr>
      <w:r w:rsidRPr="00CB0A35">
        <w:t>34.</w:t>
      </w:r>
      <w:r w:rsidRPr="00CB0A35">
        <w:tab/>
        <w:t xml:space="preserve">znovu vyzývá Výbor k provedení externího a nezávislého šetření, které by konkrétně přezkoumalo postupy Výboru v oblasti lidských zdrojů a jejich účinnost se zaměřením na určení odpovědnosti správní hierarchie při řešení stížností na obtěžování a zajištění dobrých pracovních podmínek zaměstnanců; odmítá, že Výbor i přes přijetí opatření v posledních letech za účelem posílení etického rámce Výboru zaujímá postoj, že takové vyšetřování není nutné, neboť zavedená opatření umožnila řešit případy obtěžování, a připomíná, že Parlament již vyjádřil obavy ohledně pomalé reakce Výboru v dotčených </w:t>
      </w:r>
      <w:r w:rsidRPr="00CB0A35">
        <w:lastRenderedPageBreak/>
        <w:t>případech;</w:t>
      </w:r>
    </w:p>
    <w:p w14:paraId="6091ADD5" w14:textId="1750B4B9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35.</w:t>
      </w:r>
      <w:r w:rsidRPr="00CB0A35">
        <w:tab/>
        <w:t>konstatuje, že v roce 2022 Výbor stále zkoumal čtyři aktuální případy údajného obtěžování; žádá Výbor, aby včas informoval Parlament o následných opatřeních v těchto případech; kladně hodnotí, že v roce 2022 nebyly v rámci Výboru nahlášeny žádné nové případy údajného obtěžování týkající se jeho zaměstnanců nebo členů; je si však vědom toho, že v roce 2022 bylo v jiném orgánu nahlášeno obvinění z obtěžování týkající se zaměstnance Výboru; žádá Výbor, aby Parlament informoval o následných krocích v tomto případě ve spolupráci s druhým dotčeným orgánem;</w:t>
      </w:r>
    </w:p>
    <w:p w14:paraId="4FC6BB5D" w14:textId="4363BECB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36.</w:t>
      </w:r>
      <w:r w:rsidRPr="00CB0A35">
        <w:tab/>
        <w:t>poznamenává, že Výbor je občanskoprávní stranou v probíhajícím soudním řízení zahájeném belgickými vnitrostátními orgány proti bývalému členovi obviněnému z pochybení, které v současné době čeká na rozhodnutí belgického soudu; žádá Výbor, aby Parlament o vývoji v této věci včas informoval;</w:t>
      </w:r>
    </w:p>
    <w:p w14:paraId="160EC9B6" w14:textId="79170015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37.</w:t>
      </w:r>
      <w:r w:rsidRPr="00CB0A35">
        <w:tab/>
        <w:t>konstatuje, že v roce 2022 členové nebo zaměstnanci formálně otevřeli tři případy whistleblowingu; konstatuje, že všechny tři případy byly řešeny a uzavřeny rychle a s náležitým ohledem na ochranu oznamovatelů v souladu s rozhodnutím Výboru o whistleblowingu (rozhodnutí 297/21A); dále konstatuje, že v roce 2022 byly poradcům pro etiku oznámeny dva případy možného whistleblowingu, ale ani jeden z nich nebyl potvrzen;</w:t>
      </w:r>
    </w:p>
    <w:p w14:paraId="505D064F" w14:textId="33ECE375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38.</w:t>
      </w:r>
      <w:r w:rsidRPr="00CB0A35">
        <w:tab/>
        <w:t>oceňuje ochotu Výboru spolupracovat s vyšetřovacími orgány Unie (OLAF a Úřadem evropského veřejného žalobce (EPPO)); konstatuje, že v roce 2022 úřad OLAF uzavřel dva případy údajného zneužití finančních prostředků Unie a možných nesrovnalostí a závažného pochybení týkající se dvou členů, a to kvůli chybějícím důkazům a zjištěním; konstatuje, že úřad OLAF zahájil v roce 2023 řízení ve třech nových případech proti členům týkající se možných podvodů, z nichž dva byly uzavřeny v témže roce a předány úřadu EPPO k prošetření; konstatuje, že úřad OLAF postoupil jeden případ údajného porušení kodexu chování jedním z členů etické komise Výboru; žádá Výbor, aby včas informoval Parlament o následných krocích v této záležitosti;</w:t>
      </w:r>
    </w:p>
    <w:p w14:paraId="1BC7F193" w14:textId="213326CB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39.</w:t>
      </w:r>
      <w:r w:rsidRPr="00CB0A35">
        <w:tab/>
        <w:t>blahopřeje Výboru k přijetí rozhodnutí připojit se od 1. června 2023 formálně k rejstříku transparentnosti EU zřízenému interinstitucionální dohodou ze dne 20. května 2021 mezi Evropským parlamentem, Radou Evropské unie a Evropskou komisí o povinném rejstříku transparentnosti</w:t>
      </w:r>
      <w:r w:rsidR="0078555E" w:rsidRPr="00CB0A35">
        <w:rPr>
          <w:szCs w:val="24"/>
          <w:vertAlign w:val="superscript"/>
        </w:rPr>
        <w:footnoteReference w:id="7"/>
      </w:r>
      <w:r w:rsidRPr="00CB0A35">
        <w:t>; konstatuje, že Výbor dne 21. března 2023 přijal několik opatření v oblasti transparentnosti v souladu se zásadami stanovenými v souvislosti s rejstříkem transparentnosti EU, jako je doporučení, aby se členové úřadu setkávali pouze s registrovanými zúčastněnými stranami, povinnost členů úřadu zveřejňovat seznamy svých schůzí a dobrovolná „legislativní stopa“ pro zpravodaje;</w:t>
      </w:r>
    </w:p>
    <w:p w14:paraId="608B44F4" w14:textId="0FE3A61F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40.</w:t>
      </w:r>
      <w:r w:rsidRPr="00CB0A35">
        <w:tab/>
        <w:t>vyjadřuje politování nad tím, že Výbor zavedl řadu opatření k předcházení podvodům, ale nezavedl integrovanou strategii boje proti podvodům; kladně hodnotí, že Výbor dokončil inventuru oblastí, které jsou relevantní pro zahájení vnitřní analýzy rizika podvodů, jako jsou politiky a postupy, školení zaměstnanců a spolupráce s jinými subjekty, s cílem zlepšit rámec pro boj proti podvodům;</w:t>
      </w:r>
    </w:p>
    <w:p w14:paraId="59E13974" w14:textId="77777777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Digitalizace, kybernetická bezpečnost a ochrana údajů</w:t>
      </w:r>
    </w:p>
    <w:p w14:paraId="3065F7CD" w14:textId="1F71068B" w:rsidR="00D43DB3" w:rsidRPr="00CB0A35" w:rsidRDefault="00D43DB3" w:rsidP="00D43DB3">
      <w:pPr>
        <w:pStyle w:val="NormalHanging12a"/>
      </w:pPr>
      <w:r w:rsidRPr="00CB0A35">
        <w:lastRenderedPageBreak/>
        <w:t>41.</w:t>
      </w:r>
      <w:r w:rsidRPr="00CB0A35">
        <w:tab/>
        <w:t>konstatuje, že společný rozpočet Výboru a VR na IT činil v roce 2022 11 712 000 EUR, včetně posílení o 750 000 EUR vnitřním rozpočtovým převodem v průběhu roku, ve srovnání s 12 860 000 EUR v roce 2021, což představuje pokles o 9 %;</w:t>
      </w:r>
    </w:p>
    <w:p w14:paraId="52E03316" w14:textId="4BC5F1F1" w:rsidR="00D43DB3" w:rsidRPr="00CB0A35" w:rsidRDefault="00D43DB3" w:rsidP="00D43DB3">
      <w:pPr>
        <w:pStyle w:val="NormalHanging12a"/>
      </w:pPr>
      <w:r w:rsidRPr="00CB0A35">
        <w:t>42.</w:t>
      </w:r>
      <w:r w:rsidRPr="00CB0A35">
        <w:tab/>
        <w:t>konstatuje, že Výbor má digitální strategii, jejímž cílem je poskytovat služby v oblasti IT v souladu s osvědčenými postupy řízení IT a zároveň optimalizovat využívání lidských a finančních zdrojů; konstatuje, že Výbor v průběhu roku 2022 pracoval na úpravě a vývoji několika strategických nástrojů IT, jejichž cílem je zvýšit účinnost a efektivitu politické práce Výboru a jeho administrativních procesů a pracovních postupů; konstatuje, že hlavní projekt infrastruktury IT v roce 2022 se týkal úpravy typologie sítě potřebné pro novou počítačovou místnost v budově Jacquesa Delorse (JDE) v souladu s plánem hybridního cloudového řešení;</w:t>
      </w:r>
    </w:p>
    <w:p w14:paraId="7E14B4FF" w14:textId="03DF9554" w:rsidR="00D43DB3" w:rsidRPr="00CB0A35" w:rsidRDefault="00D43DB3" w:rsidP="00D43DB3">
      <w:pPr>
        <w:pStyle w:val="NormalHanging12a"/>
      </w:pPr>
      <w:r w:rsidRPr="00CB0A35">
        <w:t>43.</w:t>
      </w:r>
      <w:r w:rsidRPr="00CB0A35">
        <w:tab/>
        <w:t>konstatuje, že Výbor v roce 2022 zvýšil počet hybridních schůzí, aby se přizpůsobil hybridní práci a optimalizoval své způsoby práce, zejména snížením počtu služebních cest; chápe, že tento nový způsob práce vyžaduje technickou modernizaci vybavení hybridních zasedacích místností;</w:t>
      </w:r>
    </w:p>
    <w:p w14:paraId="7B708AF3" w14:textId="3091C1E2" w:rsidR="00D43DB3" w:rsidRPr="00CB0A35" w:rsidRDefault="00D43DB3" w:rsidP="00D43DB3">
      <w:pPr>
        <w:pStyle w:val="NormalHanging12a"/>
      </w:pPr>
      <w:r w:rsidRPr="00CB0A35">
        <w:t>44.</w:t>
      </w:r>
      <w:r w:rsidRPr="00CB0A35">
        <w:tab/>
        <w:t>konstatuje, že v roce 2022 se Výbor nesetkal s žádnými kybernetickými útoky; konstatuje, že součástí nového společného ředitelství Výboru a EHSV pro inovace a informační technologie je oddělení pro digitální platformy, které je mimo jiné zodpovědné za kybernetickou bezpečnost; žádá Výbor, aby informoval orgán udělující absolutorium o tom, jak vytvoření této nové struktury přispělo ke zvýšení připravenosti jeho zaměstnanců v oblasti kybernetické bezpečnosti v souladu s rámcem kybernetické bezpečnosti NIST (</w:t>
      </w:r>
      <w:r w:rsidRPr="00CB0A35">
        <w:rPr>
          <w:i/>
          <w:iCs/>
        </w:rPr>
        <w:t>National Institute of Standards and Technology</w:t>
      </w:r>
      <w:r w:rsidRPr="00CB0A35">
        <w:t>) a ve spolupráci s týmem pro reakci na počítačové hrozby v orgánech, institucích a jiných subjektech EU (CERT-EU);</w:t>
      </w:r>
    </w:p>
    <w:p w14:paraId="278F9745" w14:textId="77777777" w:rsidR="00D43DB3" w:rsidRPr="00CB0A35" w:rsidRDefault="00D43DB3" w:rsidP="00D43DB3">
      <w:pPr>
        <w:pStyle w:val="NormalHanging12a"/>
      </w:pPr>
      <w:r w:rsidRPr="00CB0A35">
        <w:t>45.</w:t>
      </w:r>
      <w:r w:rsidRPr="00CB0A35">
        <w:tab/>
        <w:t>vítá úsilí Výboru o podporu technologií s otevřeným zdrojovým kódem v jeho vlastních systémech, zejména v hlavních provozních aplikacích používaných pro řízení politické činnosti Výboru („Agora“ a „Phoenix“); dále konstatuje, že Výbor sleduje využívání technologií s otevřeným zdrojovým kódem ve svém ročním portfoliu informačních technologií tak, aby byly použity v nových aplikacích;</w:t>
      </w:r>
    </w:p>
    <w:p w14:paraId="4AAB09CF" w14:textId="25902EA3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46.</w:t>
      </w:r>
      <w:r w:rsidRPr="00CB0A35">
        <w:tab/>
        <w:t>konstatuje, že v roce 2022 Výbor pokročil v přijímání nového rámce pro správu dokumentů s cílem zvýšit transparentnost a dostupnost; se zájmem konstatuje, že Výbor začal včas vyhodnocovat technickou proveditelnost a finanční důsledky používání elektronického systému správy záznamů Komise (Ares);</w:t>
      </w:r>
    </w:p>
    <w:p w14:paraId="1EA41894" w14:textId="77777777" w:rsidR="00D43DB3" w:rsidRPr="00CB0A35" w:rsidRDefault="00D43DB3" w:rsidP="00D43DB3">
      <w:pPr>
        <w:pStyle w:val="NormalHanging12a"/>
        <w:ind w:left="0" w:firstLine="0"/>
        <w:rPr>
          <w:b/>
          <w:i/>
        </w:rPr>
      </w:pPr>
      <w:r w:rsidRPr="00CB0A35">
        <w:rPr>
          <w:b/>
          <w:i/>
        </w:rPr>
        <w:t xml:space="preserve">Budovy </w:t>
      </w:r>
    </w:p>
    <w:p w14:paraId="184F9918" w14:textId="70AF95A2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47.</w:t>
      </w:r>
      <w:r w:rsidRPr="00CB0A35">
        <w:tab/>
        <w:t>konstatuje, že Výbor a VR přišly o 5 000 m² kancelářských prostor v důsledku převzetí nájemní smlouvy bývalé budovy ESVČ na adrese Belliard 100 (B100), které vstoupilo v platnost v září 2021, a výměny budov Výboru a VR na adrese Belliard 68 (B68) a Trèves 74 (TRE74) a budovy Komise Van Maerlant 2 (VMA), která vstoupila v platnost v září 2022; konstatuje, že zařizovací práce ve dvou nově získaných budovách byly nezbytné pro hustší využití kancelářských prostor; vítá, že v roce 2022 byla zřízena společná pracovní skupina pro nové způsoby práce, která se má zabývat možnou optimalizací způsobu organizace práce a využívání kancelářských prostor při současném snižování ekologické stopy;</w:t>
      </w:r>
    </w:p>
    <w:p w14:paraId="40B0F174" w14:textId="34630A35" w:rsidR="00D43DB3" w:rsidRPr="00CB0A35" w:rsidRDefault="00D43DB3" w:rsidP="00D43DB3">
      <w:pPr>
        <w:pStyle w:val="NormalHanging12a"/>
      </w:pPr>
      <w:r w:rsidRPr="00CB0A35">
        <w:lastRenderedPageBreak/>
        <w:t>48.</w:t>
      </w:r>
      <w:r w:rsidRPr="00CB0A35">
        <w:tab/>
        <w:t>konstatuje, že celkový rozpočet vyčleněný v letech 2021 a 2022 na rekonstrukci budovy VMA od třetího do devátého patra Výborem a VR činil 9,54 milionu EUR; konstatuje, že renovační práce, které Výbor a VR provedly, zahrnovaly využití inteligentních technologií pro úsporu energie s výrazným ekologickým prvkem; žádá Výbor, aby poskytl aktuální informace o návratnosti investic do těchto technologických zařízení;</w:t>
      </w:r>
    </w:p>
    <w:p w14:paraId="5F2BD0C5" w14:textId="04DB1CAE" w:rsidR="00D43DB3" w:rsidRPr="00CB0A35" w:rsidRDefault="00D43DB3" w:rsidP="00D43DB3">
      <w:pPr>
        <w:spacing w:after="240"/>
        <w:ind w:left="567" w:hanging="567"/>
        <w:rPr>
          <w:szCs w:val="24"/>
        </w:rPr>
      </w:pPr>
      <w:r w:rsidRPr="00CB0A35">
        <w:t>49.</w:t>
      </w:r>
      <w:r w:rsidRPr="00CB0A35">
        <w:tab/>
        <w:t>konstatuje, že v roce 2022 se strategie Výboru a VR v oblasti budov zaměřila na geografickou koncentraci budov, které bylo dosaženo fyzickým propojením všech budov využívaných oběma výbory s jejich hlavní budovou (JDE); vítá nové fyzické spojení s budovami Parlamentu, které bylo uvedeno do provozu v listopadu 2022 a které nabízí přímější, snazší a o 125 m kratší cestu mezi budovami Výboru a VR a budovami Parlamentu;</w:t>
      </w:r>
    </w:p>
    <w:p w14:paraId="2EF50968" w14:textId="29B6A176" w:rsidR="00D43DB3" w:rsidRPr="00CB0A35" w:rsidRDefault="00D43DB3" w:rsidP="00D43DB3">
      <w:pPr>
        <w:pStyle w:val="NormalHanging12a"/>
      </w:pPr>
      <w:r w:rsidRPr="00CB0A35">
        <w:t>50.</w:t>
      </w:r>
      <w:r w:rsidRPr="00CB0A35">
        <w:tab/>
        <w:t>vítá závazek Výboru a VR systematicky uplatňovat zásadu „design pro všechny“ ve své infrastruktuře a zajistit přístupnost svých budov již od návrhu; konstatuje, že Výbor a VR přijaly řadu různých opatření, aby zajistily přístupnost svých budov pro osoby s různými druhy zdravotního postižení;</w:t>
      </w:r>
    </w:p>
    <w:p w14:paraId="0976AD95" w14:textId="77777777" w:rsidR="00D43DB3" w:rsidRPr="00CB0A35" w:rsidRDefault="00D43DB3" w:rsidP="00D43DB3">
      <w:pPr>
        <w:pStyle w:val="NormalHanging12a"/>
        <w:ind w:left="0" w:firstLine="0"/>
        <w:rPr>
          <w:b/>
          <w:i/>
        </w:rPr>
      </w:pPr>
      <w:r w:rsidRPr="00CB0A35">
        <w:rPr>
          <w:b/>
          <w:i/>
        </w:rPr>
        <w:t>Životní prostředí a udržitelnost</w:t>
      </w:r>
    </w:p>
    <w:p w14:paraId="28EDD598" w14:textId="12915ADF" w:rsidR="00D43DB3" w:rsidRPr="00CB0A35" w:rsidRDefault="00D43DB3" w:rsidP="00D43DB3">
      <w:pPr>
        <w:pStyle w:val="NormalHanging12a"/>
      </w:pPr>
      <w:r w:rsidRPr="00CB0A35">
        <w:t>51.</w:t>
      </w:r>
      <w:r w:rsidRPr="00CB0A35">
        <w:tab/>
        <w:t>vítá ekologické postupy a zejména bezpapírový přístup Výboru a VR, které přispěly ke snížení jejich ekologické stopy v souladu s digitální strategií; blahopřeje oběma výborům k překročení cílů programu EMAS na období 2021–2025, s výjimkou cílů týkajících se spotřeby plynu; konstatuje, že na systém kompenzace uhlíku Výboru prostřednictvím nákupu vysoce kvalitních uhlíkových kreditů v roce 2023 byl vyčleněn rozpočet ve výši 60 000 EUR;</w:t>
      </w:r>
    </w:p>
    <w:p w14:paraId="4727DEFE" w14:textId="02A79484" w:rsidR="00D43DB3" w:rsidRPr="00CB0A35" w:rsidRDefault="00D43DB3" w:rsidP="00D43DB3">
      <w:pPr>
        <w:pStyle w:val="NormalHanging12a"/>
      </w:pPr>
      <w:r w:rsidRPr="00CB0A35">
        <w:t>52.</w:t>
      </w:r>
      <w:r w:rsidRPr="00CB0A35">
        <w:tab/>
        <w:t>konstatuje, že v roce 2022 činila celková výroba elektřiny ze solárních panelů na budovách Výboru a VR přibližně 15,5 MWh, což představuje 0,25 % celkové roční spotřeby Výboru a VR; konstatuje, že k 16. září 2022 byla solárními panely vybavena pouze budova JDE; je si vědom toho, že vzhledem k administrativním postupům se Výbor a VR setkají se zpožděním, než budou moci rozšířit instalaci solárních panelů;</w:t>
      </w:r>
    </w:p>
    <w:p w14:paraId="5FA287A5" w14:textId="6E084928" w:rsidR="00D43DB3" w:rsidRPr="00CB0A35" w:rsidRDefault="00D43DB3" w:rsidP="00D43DB3">
      <w:pPr>
        <w:pStyle w:val="NormalHanging12a"/>
      </w:pPr>
      <w:r w:rsidRPr="00CB0A35">
        <w:t>53.</w:t>
      </w:r>
      <w:r w:rsidRPr="00CB0A35">
        <w:tab/>
        <w:t>blahopřeje Výboru k vypracování plánu podnikové dopravy po dohodě s oddělením mobility regionu hlavního města Bruselu, v jehož návaznosti se Výbor zavazuje provádět každé tři roky povinný průzkum mobility svých zaměstnanců; konstatuje, že Výbor zavedl plán udržitelné mobility, jehož cílem je povzbudit zaměstnance k používání udržitelnějších dopravních prostředků, a to i prostřednictvím finančního příspěvku na předplatné veřejné dopravy pro zaměstnance nebo měsíčního finančního příspěvku pro zaměstnance, kteří jezdí do práce na kole; konstatuje, že Výbor zkoumá další řešení, jako je poskytování elektrokol a instalace dalších nabíječek pro elektromobily;</w:t>
      </w:r>
    </w:p>
    <w:p w14:paraId="793AA8D1" w14:textId="77777777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Interinstitucionální spolupráce</w:t>
      </w:r>
    </w:p>
    <w:p w14:paraId="5A6B5EFF" w14:textId="31BAA96D" w:rsidR="00D43DB3" w:rsidRPr="00CB0A35" w:rsidRDefault="00D43DB3" w:rsidP="00D43DB3">
      <w:pPr>
        <w:pStyle w:val="NormalHanging12a"/>
      </w:pPr>
      <w:r w:rsidRPr="00CB0A35">
        <w:t>54.</w:t>
      </w:r>
      <w:r w:rsidRPr="00CB0A35">
        <w:tab/>
        <w:t xml:space="preserve">vítá rozpočtové a administrativní úspory dosažené díky interinstitucionální spolupráci, zejména úzkou spolupráci na administrativní úrovni s VR, s nímž Výbor sdílí prostory a společné služby v oblasti překladů, infrastruktury, logistiky a IT, přičemž si zachovává plnou institucionální autonomii; konstatuje, že 1. října 2022 byla v rámci nové dohody o spolupráci podepsané s VR v roce 2022 vytvořena nová společná oddělení, včetně nového ředitelství pro inovace a informační technologie, oddělení pro bezpečnost a </w:t>
      </w:r>
      <w:r w:rsidRPr="00CB0A35">
        <w:lastRenderedPageBreak/>
        <w:t>ochranu a oddělení pro veřejné zakázky a finanční řízení; dále konstatuje, že v roce 2022 bylo ve Výboru a VR sdruženo 470 zaměstnanců a 55 milionů EUR, z čehož více než 30 milionů EUR pocházelo z Výboru, s výjimkou výdajů na platy; vyzývá Výbor, aby pokračoval v této spolupráci a rozšířil ji v dalších oblastech s cílem zabránit zdvojování a dále racionalizovat provozní náklady na služby poskytované ve společných prostorách obou výborů; vyzývá Výbor a VR, aby prozkoumaly možnost zřízení jednotné správy pro své společné útvary a ponechaly si pro ně samostatná ředitelství nebo oddělení, která by se zabývala záležitostmi souvisejícími s jejich specifickými a nezávislými mandáty;</w:t>
      </w:r>
    </w:p>
    <w:p w14:paraId="64284D41" w14:textId="30829A41" w:rsidR="00D43DB3" w:rsidRPr="00CB0A35" w:rsidRDefault="00D43DB3" w:rsidP="00D43DB3">
      <w:pPr>
        <w:pStyle w:val="NormalHanging12a"/>
      </w:pPr>
      <w:r w:rsidRPr="00CB0A35">
        <w:t>55.</w:t>
      </w:r>
      <w:r w:rsidRPr="00CB0A35">
        <w:tab/>
        <w:t>vítá, že Výbor usiluje o dosažení synergií prostřednictvím nákupu služeb od jiných orgánů na základě meziútvarových dohod a účastí v interinstitucionálních koordinačních orgánech a interinstitucionálních zadávacích řízeních; konstatuje, že Parlament zejména zajišťuje tlumočení pro plenární zasedání Výboru, která se konají v prostorách Parlamentu, a pro některé schůze, které se konají v prostorách Výboru;</w:t>
      </w:r>
    </w:p>
    <w:p w14:paraId="792890AD" w14:textId="5AA171FA" w:rsidR="00D43DB3" w:rsidRPr="00CB0A35" w:rsidRDefault="00D43DB3" w:rsidP="00D43DB3">
      <w:pPr>
        <w:pStyle w:val="NormalHanging12a"/>
      </w:pPr>
      <w:r w:rsidRPr="00CB0A35">
        <w:t>56.</w:t>
      </w:r>
      <w:r w:rsidRPr="00CB0A35">
        <w:tab/>
        <w:t>konstatuje, že Výbor v roce 2022 pokračoval ve spolupráci s Komisí a zintenzivnil ji v rámci meziútvarové dohody s Úřadem pro vyšetřování a disciplinární opatření o podpoře správních šetření a v rámci protokolu o spolupráci aktualizovaného v roce 2022, který posiluje politickou, legislativní a komunikační součinnost mezi těmito dvěma orgány, zejména při provádění evropské občanské iniciativy a evropského semestru; konstatuje, že podle aktualizovaného protokolu bylo posíleno využívání průzkumných stanovisek Výboru Komisí, čímž se posílilo zapojení Výboru do legislativního cyklu Unie;</w:t>
      </w:r>
    </w:p>
    <w:p w14:paraId="2443236D" w14:textId="266B6651" w:rsidR="00D43DB3" w:rsidRPr="00CB0A35" w:rsidRDefault="00D43DB3" w:rsidP="00D43DB3">
      <w:pPr>
        <w:pStyle w:val="NormalHanging12a"/>
      </w:pPr>
      <w:r w:rsidRPr="00CB0A35">
        <w:t>57.</w:t>
      </w:r>
      <w:r w:rsidRPr="00CB0A35">
        <w:tab/>
        <w:t>konstatuje, že Výbor hraje klíčovou roli při posilování vazeb s národními hospodářskými a sociálními radami Unie a mezi nimi; vybízí Výbor, aby i nadále podporoval spolupráci v oblasti témat společného zájmu a osvědčených postupů a zdůrazňoval, jak občanská společnost přispívá k současným výzvám Unie, zejména prostřednictvím výměny pracovníků a pořádání společných akcí;</w:t>
      </w:r>
    </w:p>
    <w:p w14:paraId="3EB2D9B3" w14:textId="77777777" w:rsidR="00D43DB3" w:rsidRPr="00CB0A35" w:rsidRDefault="00D43DB3" w:rsidP="00D43DB3">
      <w:pPr>
        <w:pStyle w:val="NormalHanging12a"/>
        <w:rPr>
          <w:b/>
          <w:i/>
        </w:rPr>
      </w:pPr>
      <w:r w:rsidRPr="00CB0A35">
        <w:rPr>
          <w:b/>
          <w:i/>
        </w:rPr>
        <w:t>Komunikační činnost</w:t>
      </w:r>
    </w:p>
    <w:p w14:paraId="6E567E58" w14:textId="5C7C4B1D" w:rsidR="00D43DB3" w:rsidRPr="00CB0A35" w:rsidRDefault="00D43DB3" w:rsidP="00D43DB3">
      <w:pPr>
        <w:pStyle w:val="NormalHanging12a"/>
      </w:pPr>
      <w:r w:rsidRPr="00CB0A35">
        <w:t>58.</w:t>
      </w:r>
      <w:r w:rsidRPr="00CB0A35">
        <w:tab/>
        <w:t>konstatuje, že v roce 2022 činil celkový rozpočet Výboru na komunikaci 1,5 milionu EUR, což byla stejná částka jako v roce 2021; konstatuje, že tento rozpočet byl vyčleněn především na podporu rozvoje a údržby internetových stránek Výboru, komunikaci na sociálních sítích, monitorování médií, vztahy s médii a propagaci významných činností a akcí Výboru, jako je Cena pro občanskou společnost a činnosti související s činností Výboru v rámci Konference o budoucnosti Evropy a podpora pro Ukrajinu poskytovaná Výborem;</w:t>
      </w:r>
    </w:p>
    <w:p w14:paraId="0739D967" w14:textId="738006A6" w:rsidR="00D43DB3" w:rsidRPr="00CB0A35" w:rsidRDefault="00D43DB3" w:rsidP="00D43DB3">
      <w:pPr>
        <w:pStyle w:val="NormalHanging12a"/>
      </w:pPr>
      <w:r w:rsidRPr="00CB0A35">
        <w:t>59.</w:t>
      </w:r>
      <w:r w:rsidRPr="00CB0A35">
        <w:tab/>
        <w:t>blahopřeje Výboru k tomu, že v říjnu 2022 přijal novou komunikační strategii založenou na datech, jejímž cílem je zvýšit dosah komunikace Výboru a dopad jeho stanovisek a která definuje evropské organizace občanské společnosti a ostatní orgány Unie jako hlavní cíle jeho komunikace; dále konstatuje, že v roce 2022 Výbor aktualizoval pravidla partnerství s cílem posílit strategickou spolupráci s organizacemi občanské společnosti prostřednictvím tematických akcí;</w:t>
      </w:r>
    </w:p>
    <w:p w14:paraId="5155F964" w14:textId="4ACE1946" w:rsidR="00D43DB3" w:rsidRPr="00CB0A35" w:rsidRDefault="00D43DB3" w:rsidP="00D43DB3">
      <w:pPr>
        <w:pStyle w:val="NormalHanging12a"/>
      </w:pPr>
      <w:r w:rsidRPr="00CB0A35">
        <w:t>60.</w:t>
      </w:r>
      <w:r w:rsidRPr="00CB0A35">
        <w:tab/>
        <w:t xml:space="preserve">konstatuje, že Výbor uspořádal významné hybridní akce na aktuální témata, která jsou důležitá pro občanskou společnost, jako je akce na vysoké úrovni Konference o budoucnosti Evropy na téma „Společné utváření Evropy – budoucnost je ve vašich </w:t>
      </w:r>
      <w:r w:rsidRPr="00CB0A35">
        <w:lastRenderedPageBreak/>
        <w:t>rukou“, každoroční akce pro mládež „Vaše Evropa, váš názor“ pro žáky a učitele z Unie a kandidátských zemí a každoroční plenární zasedání mládeže „Pravda o lžích. Mládež proti dezinformacím“ pro studenty; konstatuje, že Výbor uspořádal také specializovanější aktivity zaměřené na Rok mládeže a útočnou válku proti Ukrajině, které byly určeny novinářům a odborníkům na komunikaci organizací občanské společnosti;</w:t>
      </w:r>
    </w:p>
    <w:p w14:paraId="6A4D5B46" w14:textId="388E18DF" w:rsidR="00D43DB3" w:rsidRPr="00CB0A35" w:rsidRDefault="00D43DB3" w:rsidP="00D43DB3">
      <w:pPr>
        <w:pStyle w:val="NormalHanging12a"/>
      </w:pPr>
      <w:r w:rsidRPr="00CB0A35">
        <w:t>61.</w:t>
      </w:r>
      <w:r w:rsidRPr="00CB0A35">
        <w:tab/>
        <w:t>konstatuje, že celkový dosah komunikace Výboru se v roce 2022 oproti roku 2021 zvýšil, zejména díky medializaci a přítomnosti na webu a sociálních sítích; konstatuje, že počet návštěv hlavní stránky na Facebooku se zvýšil o 96,9 % (57 000 návštěv) a počet návštěv účtu na Instagramu se zvýšil o 97,9 % (20 000 návštěv), zatímco počet uživatelů Facebooku se zvýšil o 1,1 % (6 milionů uživatelů), dosah na Instagramu se zvýšil o 33 % (více než 3 miliony uživatelů), příspěvky zveřejněné na LinkedIn vygenerovaly téměř 1,2 milionu zobrazení a tweety zveřejněné na X (dříve Twitter) nasbíraly více než 6 milionů zobrazení; vítá účast Výboru od roku 2023 na pilotním projektu vedeném evropským inspektorem ochrany údajů, jehož cílem je zapojit orgány Unie do EU-Voice a EU-Video, což jsou dvě bezplatné sociální sítě s otevřeným zdrojovým kódem založené na softwaru Mastodon, které umožňují orgánům Unie komunikovat s veřejností prostřednictvím sdílení textů, obrázků, videí a podcastů;</w:t>
      </w:r>
    </w:p>
    <w:p w14:paraId="34B3867D" w14:textId="02008AC1" w:rsidR="007B23DE" w:rsidRPr="00CB0A35" w:rsidRDefault="00D43DB3" w:rsidP="00D43DB3">
      <w:pPr>
        <w:pStyle w:val="NormalHanging12a"/>
      </w:pPr>
      <w:r w:rsidRPr="00CB0A35">
        <w:t>62.</w:t>
      </w:r>
      <w:r w:rsidRPr="00CB0A35">
        <w:tab/>
        <w:t>vítá pozitivní přístup Výboru k využívání řešení s otevřeným zdrojovým kódem pro online komunikaci; kladně hodnotí skutečnost, že Výbor zajišťuje občanům otevřený přístup ke svým dokumentům prostřednictvím zvláštního elektronického rejstříku; konstatuje, že Výbor přispívá do portálu veřejně přístupných dat Komise svými vlastními soubory údajů, čímž podporuje větší transparentnost svých operací prostřednictvím volně přístupných údajů v lidsky i strojově čitelných formátech a posiluje své spojení s občany.</w:t>
      </w:r>
    </w:p>
    <w:sectPr w:rsidR="007B23DE" w:rsidRPr="00CB0A35" w:rsidSect="00126B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CC1E3" w14:textId="77777777" w:rsidR="00436D50" w:rsidRPr="00CB0A35" w:rsidRDefault="00436D50">
      <w:r w:rsidRPr="00CB0A35">
        <w:separator/>
      </w:r>
    </w:p>
  </w:endnote>
  <w:endnote w:type="continuationSeparator" w:id="0">
    <w:p w14:paraId="7E3CABE3" w14:textId="77777777" w:rsidR="00436D50" w:rsidRPr="00CB0A35" w:rsidRDefault="00436D50">
      <w:r w:rsidRPr="00CB0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4A2FC" w14:textId="42E8ADBA" w:rsidR="00CB0A35" w:rsidRPr="00CB0A35" w:rsidRDefault="00CB0A35" w:rsidP="00CB0A35">
    <w:pPr>
      <w:pStyle w:val="EPFooter"/>
    </w:pPr>
    <w:r w:rsidRPr="00CB0A35">
      <w:t>PE</w:t>
    </w:r>
    <w:r w:rsidRPr="00CB0A35">
      <w:rPr>
        <w:rStyle w:val="HideTWBExt"/>
      </w:rPr>
      <w:t>&lt;NoPE&gt;</w:t>
    </w:r>
    <w:r w:rsidRPr="00CB0A35">
      <w:t>753.483</w:t>
    </w:r>
    <w:r w:rsidRPr="00CB0A35">
      <w:rPr>
        <w:rStyle w:val="HideTWBExt"/>
      </w:rPr>
      <w:t>&lt;/NoPE&gt;&lt;Version&gt;</w:t>
    </w:r>
    <w:r w:rsidRPr="00CB0A35">
      <w:t>v01-00</w:t>
    </w:r>
    <w:r w:rsidRPr="00CB0A35">
      <w:rPr>
        <w:rStyle w:val="HideTWBExt"/>
      </w:rPr>
      <w:t>&lt;/Version&gt;</w:t>
    </w:r>
    <w:r w:rsidRPr="00CB0A35">
      <w:tab/>
    </w:r>
    <w:r w:rsidRPr="00CB0A35">
      <w:fldChar w:fldCharType="begin"/>
    </w:r>
    <w:r w:rsidRPr="00CB0A35">
      <w:instrText xml:space="preserve"> PAGE  \* MERGEFORMAT </w:instrText>
    </w:r>
    <w:r w:rsidRPr="00CB0A35">
      <w:fldChar w:fldCharType="separate"/>
    </w:r>
    <w:r w:rsidR="00811A52">
      <w:rPr>
        <w:noProof/>
      </w:rPr>
      <w:t>2</w:t>
    </w:r>
    <w:r w:rsidRPr="00CB0A35">
      <w:fldChar w:fldCharType="end"/>
    </w:r>
    <w:r w:rsidRPr="00CB0A35">
      <w:t>/</w:t>
    </w:r>
    <w:fldSimple w:instr=" NUMPAGES  \* MERGEFORMAT ">
      <w:r w:rsidR="00811A52">
        <w:rPr>
          <w:noProof/>
        </w:rPr>
        <w:t>16</w:t>
      </w:r>
    </w:fldSimple>
    <w:r w:rsidRPr="00CB0A35">
      <w:tab/>
    </w:r>
    <w:r w:rsidRPr="00CB0A35">
      <w:rPr>
        <w:rStyle w:val="HideTWBExt"/>
      </w:rPr>
      <w:t>&lt;PathFdR&gt;</w:t>
    </w:r>
    <w:r w:rsidRPr="00CB0A35">
      <w:t>PR\1286080CS.docx</w:t>
    </w:r>
    <w:r w:rsidRPr="00CB0A35">
      <w:rPr>
        <w:rStyle w:val="HideTWBExt"/>
      </w:rPr>
      <w:t>&lt;/PathFdR&gt;</w:t>
    </w:r>
  </w:p>
  <w:p w14:paraId="47496807" w14:textId="676C294C" w:rsidR="00F9137D" w:rsidRPr="00CB0A35" w:rsidRDefault="00CB0A35" w:rsidP="00CB0A35">
    <w:pPr>
      <w:pStyle w:val="EPFooter2"/>
    </w:pPr>
    <w:r w:rsidRPr="00CB0A3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B550B" w14:textId="1151539C" w:rsidR="00CB0A35" w:rsidRPr="00CB0A35" w:rsidRDefault="00CB0A35" w:rsidP="00CB0A35">
    <w:pPr>
      <w:pStyle w:val="EPFooter"/>
    </w:pPr>
    <w:r w:rsidRPr="00CB0A35">
      <w:rPr>
        <w:rStyle w:val="HideTWBExt"/>
      </w:rPr>
      <w:t>&lt;PathFdR&gt;</w:t>
    </w:r>
    <w:r w:rsidRPr="00CB0A35">
      <w:t>PR\1286080CS.docx</w:t>
    </w:r>
    <w:r w:rsidRPr="00CB0A35">
      <w:rPr>
        <w:rStyle w:val="HideTWBExt"/>
      </w:rPr>
      <w:t>&lt;/PathFdR&gt;</w:t>
    </w:r>
    <w:r w:rsidRPr="00CB0A35">
      <w:tab/>
    </w:r>
    <w:r w:rsidRPr="00CB0A35">
      <w:fldChar w:fldCharType="begin"/>
    </w:r>
    <w:r w:rsidRPr="00CB0A35">
      <w:instrText xml:space="preserve"> PAGE  \* MERGEFORMAT </w:instrText>
    </w:r>
    <w:r w:rsidRPr="00CB0A35">
      <w:fldChar w:fldCharType="separate"/>
    </w:r>
    <w:r w:rsidR="00811A52">
      <w:rPr>
        <w:noProof/>
      </w:rPr>
      <w:t>15</w:t>
    </w:r>
    <w:r w:rsidRPr="00CB0A35">
      <w:fldChar w:fldCharType="end"/>
    </w:r>
    <w:r w:rsidRPr="00CB0A35">
      <w:t>/</w:t>
    </w:r>
    <w:fldSimple w:instr=" NUMPAGES  \* MERGEFORMAT ">
      <w:r w:rsidR="00811A52">
        <w:rPr>
          <w:noProof/>
        </w:rPr>
        <w:t>15</w:t>
      </w:r>
    </w:fldSimple>
    <w:r w:rsidRPr="00CB0A35">
      <w:tab/>
      <w:t>PE</w:t>
    </w:r>
    <w:r w:rsidRPr="00CB0A35">
      <w:rPr>
        <w:rStyle w:val="HideTWBExt"/>
      </w:rPr>
      <w:t>&lt;NoPE&gt;</w:t>
    </w:r>
    <w:r w:rsidRPr="00CB0A35">
      <w:t>753.483</w:t>
    </w:r>
    <w:r w:rsidRPr="00CB0A35">
      <w:rPr>
        <w:rStyle w:val="HideTWBExt"/>
      </w:rPr>
      <w:t>&lt;/NoPE&gt;&lt;Version&gt;</w:t>
    </w:r>
    <w:r w:rsidRPr="00CB0A35">
      <w:t>v01-00</w:t>
    </w:r>
    <w:r w:rsidRPr="00CB0A35">
      <w:rPr>
        <w:rStyle w:val="HideTWBExt"/>
      </w:rPr>
      <w:t>&lt;/Version&gt;</w:t>
    </w:r>
  </w:p>
  <w:p w14:paraId="295566C2" w14:textId="7DE4E4AF" w:rsidR="00F9137D" w:rsidRPr="00CB0A35" w:rsidRDefault="00CB0A35" w:rsidP="00CB0A35">
    <w:pPr>
      <w:pStyle w:val="EPFooter2"/>
    </w:pPr>
    <w:r w:rsidRPr="00CB0A35">
      <w:tab/>
    </w:r>
    <w:r w:rsidRPr="00CB0A3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AE8B0" w14:textId="77777777" w:rsidR="00CB0A35" w:rsidRPr="00CB0A35" w:rsidRDefault="00CB0A35" w:rsidP="00CB0A35">
    <w:pPr>
      <w:pStyle w:val="EPFooter"/>
    </w:pPr>
    <w:r w:rsidRPr="00CB0A35">
      <w:rPr>
        <w:rStyle w:val="HideTWBExt"/>
      </w:rPr>
      <w:t>&lt;PathFdR&gt;</w:t>
    </w:r>
    <w:r w:rsidRPr="00CB0A35">
      <w:t>PR\1286080CS.docx</w:t>
    </w:r>
    <w:r w:rsidRPr="00CB0A35">
      <w:rPr>
        <w:rStyle w:val="HideTWBExt"/>
      </w:rPr>
      <w:t>&lt;/PathFdR&gt;</w:t>
    </w:r>
    <w:r w:rsidRPr="00CB0A35">
      <w:tab/>
    </w:r>
    <w:r w:rsidRPr="00CB0A35">
      <w:tab/>
      <w:t>PE</w:t>
    </w:r>
    <w:r w:rsidRPr="00CB0A35">
      <w:rPr>
        <w:rStyle w:val="HideTWBExt"/>
      </w:rPr>
      <w:t>&lt;NoPE&gt;</w:t>
    </w:r>
    <w:r w:rsidRPr="00CB0A35">
      <w:t>753.483</w:t>
    </w:r>
    <w:r w:rsidRPr="00CB0A35">
      <w:rPr>
        <w:rStyle w:val="HideTWBExt"/>
      </w:rPr>
      <w:t>&lt;/NoPE&gt;&lt;Version&gt;</w:t>
    </w:r>
    <w:r w:rsidRPr="00CB0A35">
      <w:t>v01-00</w:t>
    </w:r>
    <w:r w:rsidRPr="00CB0A35">
      <w:rPr>
        <w:rStyle w:val="HideTWBExt"/>
      </w:rPr>
      <w:t>&lt;/Version&gt;</w:t>
    </w:r>
  </w:p>
  <w:p w14:paraId="61CDA34A" w14:textId="3E4E1A15" w:rsidR="00F9137D" w:rsidRPr="00CB0A35" w:rsidRDefault="00CB0A35" w:rsidP="00CB0A35">
    <w:pPr>
      <w:pStyle w:val="EPFooter2"/>
    </w:pPr>
    <w:r w:rsidRPr="00CB0A35">
      <w:t>CS</w:t>
    </w:r>
    <w:r w:rsidRPr="00CB0A35">
      <w:tab/>
    </w:r>
    <w:r w:rsidRPr="00CB0A35">
      <w:rPr>
        <w:b w:val="0"/>
        <w:i/>
        <w:color w:val="C0C0C0"/>
        <w:sz w:val="22"/>
      </w:rPr>
      <w:t>Jednotná v rozmanitosti</w:t>
    </w:r>
    <w:r w:rsidRPr="00CB0A35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F4B09" w14:textId="77777777" w:rsidR="00436D50" w:rsidRPr="00CB0A35" w:rsidRDefault="00436D50">
      <w:r w:rsidRPr="00CB0A35">
        <w:separator/>
      </w:r>
    </w:p>
  </w:footnote>
  <w:footnote w:type="continuationSeparator" w:id="0">
    <w:p w14:paraId="05101090" w14:textId="77777777" w:rsidR="00436D50" w:rsidRPr="00CB0A35" w:rsidRDefault="00436D50">
      <w:r w:rsidRPr="00CB0A35">
        <w:continuationSeparator/>
      </w:r>
    </w:p>
  </w:footnote>
  <w:footnote w:id="1">
    <w:p w14:paraId="42A79334" w14:textId="77777777" w:rsidR="00D43DB3" w:rsidRPr="00CB0A35" w:rsidRDefault="00D43DB3" w:rsidP="0052176C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Úř. věst. L 45, 24.2.2022.</w:t>
      </w:r>
    </w:p>
  </w:footnote>
  <w:footnote w:id="2">
    <w:p w14:paraId="31C71266" w14:textId="77777777" w:rsidR="00D43DB3" w:rsidRPr="00CB0A35" w:rsidRDefault="00D43DB3" w:rsidP="0052176C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Úř. věst. C, C/2023/2, 12.10.2023.</w:t>
      </w:r>
    </w:p>
  </w:footnote>
  <w:footnote w:id="3">
    <w:p w14:paraId="3D19AB19" w14:textId="77777777" w:rsidR="00D43DB3" w:rsidRPr="00CB0A35" w:rsidRDefault="00D43DB3" w:rsidP="0052176C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Úř. věst. C, C/2023/103, 4.10.2023.</w:t>
      </w:r>
    </w:p>
  </w:footnote>
  <w:footnote w:id="4">
    <w:p w14:paraId="1CC5A1F8" w14:textId="77777777" w:rsidR="00D43DB3" w:rsidRPr="00CB0A35" w:rsidRDefault="00D43DB3" w:rsidP="0052176C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Úř. věst. C, C/2023/112, 12.10.2023.</w:t>
      </w:r>
    </w:p>
  </w:footnote>
  <w:footnote w:id="5">
    <w:p w14:paraId="64E3704C" w14:textId="77777777" w:rsidR="00D43DB3" w:rsidRPr="00CB0A35" w:rsidRDefault="00D43DB3" w:rsidP="0052176C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Úř. věst. L 193, 30.7.2018, s. 1.</w:t>
      </w:r>
    </w:p>
  </w:footnote>
  <w:footnote w:id="6">
    <w:p w14:paraId="0457FF36" w14:textId="71FB4460" w:rsidR="00D43DB3" w:rsidRPr="00CB0A35" w:rsidRDefault="00D43DB3" w:rsidP="0052176C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</w:t>
      </w:r>
      <w:r w:rsidRPr="00CB0A35">
        <w:tab/>
        <w:t xml:space="preserve">Rozsudek Soudního dvora ze dne 6. října 2022, </w:t>
      </w:r>
      <w:r w:rsidRPr="00CB0A35">
        <w:rPr>
          <w:i/>
        </w:rPr>
        <w:t>KN v. Evropský hospodářský a sociální výbor</w:t>
      </w:r>
      <w:r w:rsidRPr="00CB0A35">
        <w:t>, C-673/21, ECLI:EU:C:2022:759.</w:t>
      </w:r>
    </w:p>
  </w:footnote>
  <w:footnote w:id="7">
    <w:p w14:paraId="4FB09362" w14:textId="77777777" w:rsidR="0078555E" w:rsidRPr="00CB0A35" w:rsidRDefault="0078555E" w:rsidP="0078555E">
      <w:pPr>
        <w:pStyle w:val="FootnoteText"/>
        <w:ind w:left="567" w:hanging="567"/>
      </w:pPr>
      <w:r w:rsidRPr="00CB0A35">
        <w:rPr>
          <w:rStyle w:val="FootnoteReference"/>
        </w:rPr>
        <w:footnoteRef/>
      </w:r>
      <w:r w:rsidRPr="00CB0A35">
        <w:t xml:space="preserve"> Úř. věst. L 207, 11.6.2021,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256C7" w14:textId="77777777" w:rsidR="00811A52" w:rsidRDefault="00811A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8C39E" w14:textId="77777777" w:rsidR="00811A52" w:rsidRDefault="00811A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5BB72" w14:textId="77777777" w:rsidR="00811A52" w:rsidRDefault="00811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DITSMNU" w:val=" 1"/>
    <w:docVar w:name="CITMNU" w:val=" 2"/>
    <w:docVar w:name="CopyToNetwork" w:val="-1"/>
    <w:docVar w:name="DECISIONMNU" w:val=" 3"/>
    <w:docVar w:name="FN1DT" w:val="24/02/2022"/>
    <w:docVar w:name="FN2DT" w:val="..."/>
    <w:docVar w:name="FN3DT" w:val="..."/>
    <w:docVar w:name="FN4DT" w:val="..."/>
    <w:docVar w:name="LastEditedSection" w:val=" 1"/>
    <w:docVar w:name="LETTERSMNU" w:val=" 3"/>
    <w:docVar w:name="NRAUDITSMNU" w:val=" 1"/>
    <w:docVar w:name="OPINIONSMNU" w:val=" 3"/>
    <w:docVar w:name="POSITIONSMNU" w:val=" 3"/>
    <w:docVar w:name="strDocTypeID" w:val="PR_DEC_Other"/>
    <w:docVar w:name="strSubDir" w:val="1286"/>
    <w:docVar w:name="TITLEMNU" w:val=" 4"/>
    <w:docVar w:name="TXTBUDYEAR" w:val="2022"/>
    <w:docVar w:name="TXTFN1" w:val="45"/>
    <w:docVar w:name="TXTFN2" w:val="…"/>
    <w:docVar w:name="TXTFN3" w:val="…"/>
    <w:docVar w:name="TXTFN4" w:val="…"/>
    <w:docVar w:name="TXTLANGUE" w:val="EN"/>
    <w:docVar w:name="TXTLANGUEMIN" w:val="en"/>
    <w:docVar w:name="TXTNRAUDITS" w:val="…"/>
    <w:docVar w:name="TXTNRCACCOUNTS" w:val="0254/2023"/>
    <w:docVar w:name="TXTNRCOMACCOUNTS" w:val="(2023)0391(07)"/>
    <w:docVar w:name="TXTNRDEC" w:val="2023/2135"/>
    <w:docVar w:name="TXTNRPE" w:val="753.483"/>
    <w:docVar w:name="TXTPEorAP" w:val="PE"/>
    <w:docVar w:name="TXTPG2" w:val="…"/>
    <w:docVar w:name="TXTPG3" w:val="…"/>
    <w:docVar w:name="TXTPG4" w:val="…"/>
    <w:docVar w:name="TXTROUTE" w:val="PR\1286080EN.docx"/>
    <w:docVar w:name="TXTVERSION" w:val="01-00"/>
  </w:docVars>
  <w:rsids>
    <w:rsidRoot w:val="00436D50"/>
    <w:rsid w:val="00010232"/>
    <w:rsid w:val="00024A79"/>
    <w:rsid w:val="00065488"/>
    <w:rsid w:val="00090E0B"/>
    <w:rsid w:val="00091455"/>
    <w:rsid w:val="000B2381"/>
    <w:rsid w:val="000B47E5"/>
    <w:rsid w:val="000D1B54"/>
    <w:rsid w:val="000E1400"/>
    <w:rsid w:val="001007BC"/>
    <w:rsid w:val="0010430C"/>
    <w:rsid w:val="00106468"/>
    <w:rsid w:val="00112332"/>
    <w:rsid w:val="0012398B"/>
    <w:rsid w:val="00126B74"/>
    <w:rsid w:val="0013079A"/>
    <w:rsid w:val="00132F6B"/>
    <w:rsid w:val="001A169C"/>
    <w:rsid w:val="001B4494"/>
    <w:rsid w:val="001D308F"/>
    <w:rsid w:val="001D417C"/>
    <w:rsid w:val="001E4760"/>
    <w:rsid w:val="001F353F"/>
    <w:rsid w:val="00204095"/>
    <w:rsid w:val="002046D7"/>
    <w:rsid w:val="00211D2B"/>
    <w:rsid w:val="00214755"/>
    <w:rsid w:val="00216504"/>
    <w:rsid w:val="00266373"/>
    <w:rsid w:val="00267483"/>
    <w:rsid w:val="002705BF"/>
    <w:rsid w:val="002724BE"/>
    <w:rsid w:val="00275BFA"/>
    <w:rsid w:val="002857B0"/>
    <w:rsid w:val="002B357E"/>
    <w:rsid w:val="002B55B8"/>
    <w:rsid w:val="002C3B35"/>
    <w:rsid w:val="003002BE"/>
    <w:rsid w:val="00337B15"/>
    <w:rsid w:val="00351A14"/>
    <w:rsid w:val="00370ED0"/>
    <w:rsid w:val="00371A87"/>
    <w:rsid w:val="003B0493"/>
    <w:rsid w:val="003B5094"/>
    <w:rsid w:val="003B78DF"/>
    <w:rsid w:val="003C3ECF"/>
    <w:rsid w:val="003C7D3D"/>
    <w:rsid w:val="003E3994"/>
    <w:rsid w:val="003E5821"/>
    <w:rsid w:val="003F0E64"/>
    <w:rsid w:val="003F4FBB"/>
    <w:rsid w:val="00423901"/>
    <w:rsid w:val="00436D50"/>
    <w:rsid w:val="00451472"/>
    <w:rsid w:val="00481C81"/>
    <w:rsid w:val="00491E31"/>
    <w:rsid w:val="004A01FD"/>
    <w:rsid w:val="004A4461"/>
    <w:rsid w:val="004C343D"/>
    <w:rsid w:val="004D13BA"/>
    <w:rsid w:val="005129E8"/>
    <w:rsid w:val="00512C34"/>
    <w:rsid w:val="0052176C"/>
    <w:rsid w:val="0052327B"/>
    <w:rsid w:val="005250F0"/>
    <w:rsid w:val="00536896"/>
    <w:rsid w:val="00540DB0"/>
    <w:rsid w:val="00541A35"/>
    <w:rsid w:val="00561FB3"/>
    <w:rsid w:val="005753A1"/>
    <w:rsid w:val="005A51FC"/>
    <w:rsid w:val="005B2950"/>
    <w:rsid w:val="005D43B1"/>
    <w:rsid w:val="005F7B1E"/>
    <w:rsid w:val="00613ADD"/>
    <w:rsid w:val="0062591D"/>
    <w:rsid w:val="0063324A"/>
    <w:rsid w:val="006A3D0F"/>
    <w:rsid w:val="006B0ED0"/>
    <w:rsid w:val="006C29E9"/>
    <w:rsid w:val="006D458A"/>
    <w:rsid w:val="006D45C7"/>
    <w:rsid w:val="006F3199"/>
    <w:rsid w:val="006F5628"/>
    <w:rsid w:val="006F7B5A"/>
    <w:rsid w:val="00713FB6"/>
    <w:rsid w:val="00732F4B"/>
    <w:rsid w:val="00751AE9"/>
    <w:rsid w:val="00751BE9"/>
    <w:rsid w:val="00767949"/>
    <w:rsid w:val="007707A8"/>
    <w:rsid w:val="00771BB9"/>
    <w:rsid w:val="0078555E"/>
    <w:rsid w:val="007B23DE"/>
    <w:rsid w:val="007E6D17"/>
    <w:rsid w:val="007F1AA7"/>
    <w:rsid w:val="00811A52"/>
    <w:rsid w:val="00833FBE"/>
    <w:rsid w:val="00840EEC"/>
    <w:rsid w:val="00842FB1"/>
    <w:rsid w:val="008742DF"/>
    <w:rsid w:val="00880FE1"/>
    <w:rsid w:val="00884252"/>
    <w:rsid w:val="00895F7F"/>
    <w:rsid w:val="008A4DC4"/>
    <w:rsid w:val="008A5E37"/>
    <w:rsid w:val="008A6BCA"/>
    <w:rsid w:val="008F33CD"/>
    <w:rsid w:val="009340B6"/>
    <w:rsid w:val="00941DA6"/>
    <w:rsid w:val="00946CEB"/>
    <w:rsid w:val="009473BA"/>
    <w:rsid w:val="009807D1"/>
    <w:rsid w:val="009A48A8"/>
    <w:rsid w:val="009A6CA3"/>
    <w:rsid w:val="009D1D8B"/>
    <w:rsid w:val="00A174F9"/>
    <w:rsid w:val="00A66C68"/>
    <w:rsid w:val="00A83C62"/>
    <w:rsid w:val="00A97A9A"/>
    <w:rsid w:val="00AA0CFB"/>
    <w:rsid w:val="00AA1895"/>
    <w:rsid w:val="00AB4789"/>
    <w:rsid w:val="00AC25A9"/>
    <w:rsid w:val="00AC3A3D"/>
    <w:rsid w:val="00AD0E2A"/>
    <w:rsid w:val="00AD4FD5"/>
    <w:rsid w:val="00B24107"/>
    <w:rsid w:val="00B5452C"/>
    <w:rsid w:val="00B5639B"/>
    <w:rsid w:val="00B56984"/>
    <w:rsid w:val="00B6486B"/>
    <w:rsid w:val="00BB31F0"/>
    <w:rsid w:val="00BC7E10"/>
    <w:rsid w:val="00BD0B6C"/>
    <w:rsid w:val="00BD13C4"/>
    <w:rsid w:val="00BD7AAA"/>
    <w:rsid w:val="00BF0771"/>
    <w:rsid w:val="00C04D50"/>
    <w:rsid w:val="00C1531C"/>
    <w:rsid w:val="00C20CC1"/>
    <w:rsid w:val="00C40993"/>
    <w:rsid w:val="00C41BF0"/>
    <w:rsid w:val="00C55E47"/>
    <w:rsid w:val="00C56953"/>
    <w:rsid w:val="00C607B5"/>
    <w:rsid w:val="00C63401"/>
    <w:rsid w:val="00C65EF7"/>
    <w:rsid w:val="00C8216F"/>
    <w:rsid w:val="00CA0342"/>
    <w:rsid w:val="00CB0A35"/>
    <w:rsid w:val="00CC2156"/>
    <w:rsid w:val="00D05CBA"/>
    <w:rsid w:val="00D3662E"/>
    <w:rsid w:val="00D43DB3"/>
    <w:rsid w:val="00D56923"/>
    <w:rsid w:val="00D74CC3"/>
    <w:rsid w:val="00D839DD"/>
    <w:rsid w:val="00D94B43"/>
    <w:rsid w:val="00DA3763"/>
    <w:rsid w:val="00DD61C4"/>
    <w:rsid w:val="00DF2595"/>
    <w:rsid w:val="00E10BF2"/>
    <w:rsid w:val="00E2282B"/>
    <w:rsid w:val="00E23629"/>
    <w:rsid w:val="00E27028"/>
    <w:rsid w:val="00E80B81"/>
    <w:rsid w:val="00E84875"/>
    <w:rsid w:val="00E84A81"/>
    <w:rsid w:val="00EA73D7"/>
    <w:rsid w:val="00ED2E3C"/>
    <w:rsid w:val="00EF5EA7"/>
    <w:rsid w:val="00F02D1B"/>
    <w:rsid w:val="00F21C7F"/>
    <w:rsid w:val="00F31CEC"/>
    <w:rsid w:val="00F426AA"/>
    <w:rsid w:val="00F43F1E"/>
    <w:rsid w:val="00F44B0B"/>
    <w:rsid w:val="00F62B0B"/>
    <w:rsid w:val="00F9137D"/>
    <w:rsid w:val="00F9531F"/>
    <w:rsid w:val="00FB4745"/>
    <w:rsid w:val="00FC5E78"/>
    <w:rsid w:val="00FD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5F6E7"/>
  <w15:chartTrackingRefBased/>
  <w15:docId w15:val="{CD8B2593-988A-4982-BC1C-DFECEB80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A1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67483"/>
    <w:pPr>
      <w:spacing w:before="480" w:after="240"/>
    </w:pPr>
  </w:style>
  <w:style w:type="paragraph" w:styleId="TOC1">
    <w:name w:val="toc 1"/>
    <w:basedOn w:val="Normal"/>
    <w:next w:val="Normal"/>
    <w:uiPriority w:val="39"/>
    <w:rsid w:val="00AC25A9"/>
    <w:pPr>
      <w:spacing w:after="240"/>
    </w:pPr>
  </w:style>
  <w:style w:type="paragraph" w:styleId="TOCHeading">
    <w:name w:val="TOC Heading"/>
    <w:basedOn w:val="Normal"/>
    <w:next w:val="TOCPage"/>
    <w:rsid w:val="00BD7AAA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BD7AAA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753A1"/>
    <w:pPr>
      <w:spacing w:after="240"/>
      <w:ind w:left="567" w:hanging="567"/>
    </w:pPr>
    <w:rPr>
      <w:szCs w:val="24"/>
    </w:rPr>
  </w:style>
  <w:style w:type="paragraph" w:customStyle="1" w:styleId="EPName">
    <w:name w:val="EPName"/>
    <w:basedOn w:val="Normal"/>
    <w:rsid w:val="003B5094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481C8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561FB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7F1AA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046D7"/>
    <w:pPr>
      <w:tabs>
        <w:tab w:val="center" w:pos="4513"/>
        <w:tab w:val="right" w:pos="9026"/>
      </w:tabs>
    </w:pPr>
  </w:style>
  <w:style w:type="paragraph" w:customStyle="1" w:styleId="EPTerm">
    <w:name w:val="EPTerm"/>
    <w:basedOn w:val="Normal"/>
    <w:next w:val="Normal"/>
    <w:rsid w:val="003B5094"/>
    <w:pPr>
      <w:spacing w:after="80"/>
    </w:pPr>
    <w:rPr>
      <w:rFonts w:ascii="Arial" w:hAnsi="Arial" w:cs="Arial"/>
      <w:sz w:val="20"/>
      <w:szCs w:val="22"/>
    </w:rPr>
  </w:style>
  <w:style w:type="paragraph" w:styleId="TOC2">
    <w:name w:val="toc 2"/>
    <w:basedOn w:val="Normal"/>
    <w:next w:val="Normal"/>
    <w:semiHidden/>
    <w:pPr>
      <w:ind w:left="227"/>
    </w:pPr>
  </w:style>
  <w:style w:type="table" w:styleId="TableGrid">
    <w:name w:val="Table Grid"/>
    <w:basedOn w:val="TableNormal"/>
    <w:rsid w:val="00F91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uiPriority w:val="39"/>
    <w:semiHidden/>
    <w:rsid w:val="00FD18F9"/>
    <w:pPr>
      <w:spacing w:after="240"/>
    </w:pPr>
  </w:style>
  <w:style w:type="paragraph" w:customStyle="1" w:styleId="EPBody">
    <w:name w:val="EPBody"/>
    <w:basedOn w:val="Normal"/>
    <w:rsid w:val="00F9137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F913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F913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Logo">
    <w:name w:val="EPLogo"/>
    <w:basedOn w:val="Normal"/>
    <w:qFormat/>
    <w:rsid w:val="003B5094"/>
    <w:pPr>
      <w:jc w:val="right"/>
    </w:pPr>
  </w:style>
  <w:style w:type="paragraph" w:customStyle="1" w:styleId="EPFooter">
    <w:name w:val="EPFooter"/>
    <w:basedOn w:val="Normal"/>
    <w:rsid w:val="00481C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046D7"/>
    <w:rPr>
      <w:sz w:val="24"/>
    </w:rPr>
  </w:style>
  <w:style w:type="paragraph" w:styleId="FootnoteText">
    <w:name w:val="footnote text"/>
    <w:basedOn w:val="Normal"/>
    <w:link w:val="FootnoteTextChar"/>
    <w:rsid w:val="005753A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753A1"/>
  </w:style>
  <w:style w:type="character" w:styleId="FootnoteReference">
    <w:name w:val="footnote reference"/>
    <w:basedOn w:val="DefaultParagraphFont"/>
    <w:rsid w:val="005753A1"/>
    <w:rPr>
      <w:vertAlign w:val="superscript"/>
    </w:rPr>
  </w:style>
  <w:style w:type="paragraph" w:styleId="Footer">
    <w:name w:val="footer"/>
    <w:basedOn w:val="Normal"/>
    <w:link w:val="FooterChar"/>
    <w:semiHidden/>
    <w:rsid w:val="005753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753A1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D43DB3"/>
    <w:rPr>
      <w:sz w:val="24"/>
      <w:szCs w:val="24"/>
    </w:rPr>
  </w:style>
  <w:style w:type="character" w:customStyle="1" w:styleId="normaltextrun">
    <w:name w:val="normaltextrun"/>
    <w:basedOn w:val="DefaultParagraphFont"/>
    <w:rsid w:val="00D43DB3"/>
  </w:style>
  <w:style w:type="character" w:styleId="CommentReference">
    <w:name w:val="annotation reference"/>
    <w:basedOn w:val="DefaultParagraphFont"/>
    <w:rsid w:val="00491E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1E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1E3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91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91E31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491E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1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8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E0867-1BF6-4279-8CED-5C728B90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5984</Words>
  <Characters>34594</Characters>
  <Application>Microsoft Office Word</Application>
  <DocSecurity>0</DocSecurity>
  <Lines>567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PR_Dec_Other</vt:lpstr>
    </vt:vector>
  </TitlesOfParts>
  <Company/>
  <LinksUpToDate>false</LinksUpToDate>
  <CharactersWithSpaces>40444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PR_Dec_Other</dc:title>
  <dc:subject/>
  <dc:creator>BALCANU Anca</dc:creator>
  <cp:keywords/>
  <dc:description/>
  <cp:lastModifiedBy>VYROUBALOVA Jana</cp:lastModifiedBy>
  <cp:revision>2</cp:revision>
  <cp:lastPrinted>2004-12-08T15:27:00Z</cp:lastPrinted>
  <dcterms:created xsi:type="dcterms:W3CDTF">2024-01-18T10:12:00Z</dcterms:created>
  <dcterms:modified xsi:type="dcterms:W3CDTF">2024-01-18T10:12:00Z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[20230920]</vt:lpwstr>
  </property>
  <property fmtid="{D5CDD505-2E9C-101B-9397-08002B2CF9AE}" pid="5" name="&lt;FdR&gt;">
    <vt:lpwstr>1286080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\\eiciBRUpr1\pdocep$\DocEP\DOCS\General\PR\PR_BUD\DEC\PR_DEC_Other.dotx(13/10/2022 07:29:32)</vt:lpwstr>
  </property>
  <property fmtid="{D5CDD505-2E9C-101B-9397-08002B2CF9AE}" pid="8" name="&lt;ModelTra&gt;">
    <vt:lpwstr>\\eiciBRUpr1\pdocep$\DocEP\TRANSFIL\EN\PR_DEC_Other.EN(25/09/2023 08:38:00)</vt:lpwstr>
  </property>
  <property fmtid="{D5CDD505-2E9C-101B-9397-08002B2CF9AE}" pid="9" name="&lt;Model&gt;">
    <vt:lpwstr>PR_DEC_Other</vt:lpwstr>
  </property>
  <property fmtid="{D5CDD505-2E9C-101B-9397-08002B2CF9AE}" pid="10" name="FooterPath">
    <vt:lpwstr>PR\1286080CS.docx</vt:lpwstr>
  </property>
  <property fmtid="{D5CDD505-2E9C-101B-9397-08002B2CF9AE}" pid="11" name="PE number">
    <vt:lpwstr>753.483</vt:lpwstr>
  </property>
  <property fmtid="{D5CDD505-2E9C-101B-9397-08002B2CF9AE}" pid="12" name="SendToEpades">
    <vt:lpwstr>OK - 2023/12/13 12:36</vt:lpwstr>
  </property>
  <property fmtid="{D5CDD505-2E9C-101B-9397-08002B2CF9AE}" pid="13" name="SDLStudio">
    <vt:lpwstr/>
  </property>
  <property fmtid="{D5CDD505-2E9C-101B-9397-08002B2CF9AE}" pid="14" name="Bookout">
    <vt:lpwstr>OK - 2024/01/18 11:12</vt:lpwstr>
  </property>
</Properties>
</file>