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E2998" w:rsidRPr="00693132" w:rsidTr="00C85D0F">
        <w:trPr>
          <w:trHeight w:hRule="exact" w:val="1418"/>
        </w:trPr>
        <w:tc>
          <w:tcPr>
            <w:tcW w:w="6804" w:type="dxa"/>
            <w:shd w:val="clear" w:color="auto" w:fill="auto"/>
            <w:vAlign w:val="center"/>
          </w:tcPr>
          <w:p w:rsidR="009D1D8B" w:rsidRPr="00693132" w:rsidRDefault="00693132" w:rsidP="00C85D0F">
            <w:pPr>
              <w:pStyle w:val="EPName"/>
            </w:pPr>
            <w:r w:rsidRPr="00693132">
              <w:t>Europa-Parlamentet</w:t>
            </w:r>
          </w:p>
          <w:p w:rsidR="009D1D8B" w:rsidRPr="00693132" w:rsidRDefault="00693132" w:rsidP="005753A1">
            <w:pPr>
              <w:pStyle w:val="EPTerm"/>
            </w:pPr>
            <w:r w:rsidRPr="00693132">
              <w:t>2019-2024</w:t>
            </w:r>
          </w:p>
        </w:tc>
        <w:tc>
          <w:tcPr>
            <w:tcW w:w="2268" w:type="dxa"/>
            <w:shd w:val="clear" w:color="auto" w:fill="auto"/>
          </w:tcPr>
          <w:p w:rsidR="009D1D8B" w:rsidRPr="00693132" w:rsidRDefault="00693132" w:rsidP="00C85D0F">
            <w:pPr>
              <w:pStyle w:val="EPLogo"/>
            </w:pPr>
            <w:r w:rsidRPr="00693132">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540DB0" w:rsidRPr="00693132" w:rsidRDefault="00540DB0" w:rsidP="00540DB0">
      <w:pPr>
        <w:pStyle w:val="LineTop"/>
      </w:pPr>
    </w:p>
    <w:p w:rsidR="00540DB0" w:rsidRPr="00693132" w:rsidRDefault="00693132" w:rsidP="00540DB0">
      <w:pPr>
        <w:pStyle w:val="EPBody"/>
      </w:pPr>
      <w:r w:rsidRPr="00693132">
        <w:rPr>
          <w:rStyle w:val="HideTWBExt"/>
          <w:noProof w:val="0"/>
        </w:rPr>
        <w:t>&lt;</w:t>
      </w:r>
      <w:r w:rsidRPr="00693132">
        <w:rPr>
          <w:rStyle w:val="HideTWBExt"/>
          <w:i w:val="0"/>
          <w:noProof w:val="0"/>
        </w:rPr>
        <w:t>Commission</w:t>
      </w:r>
      <w:r w:rsidRPr="00693132">
        <w:rPr>
          <w:rStyle w:val="HideTWBExt"/>
          <w:noProof w:val="0"/>
        </w:rPr>
        <w:t>&gt;</w:t>
      </w:r>
      <w:r w:rsidRPr="00693132">
        <w:rPr>
          <w:rStyle w:val="HideTWBInt"/>
          <w:i w:val="0"/>
          <w:color w:val="auto"/>
        </w:rPr>
        <w:t>{CONT}</w:t>
      </w:r>
      <w:r w:rsidRPr="00693132">
        <w:t>Budgetkontroludvalget</w:t>
      </w:r>
      <w:r w:rsidRPr="00693132">
        <w:rPr>
          <w:rStyle w:val="HideTWBExt"/>
          <w:noProof w:val="0"/>
        </w:rPr>
        <w:t>&lt;/</w:t>
      </w:r>
      <w:r w:rsidRPr="00693132">
        <w:rPr>
          <w:rStyle w:val="HideTWBExt"/>
          <w:i w:val="0"/>
          <w:noProof w:val="0"/>
        </w:rPr>
        <w:t>Commission</w:t>
      </w:r>
      <w:r w:rsidRPr="00693132">
        <w:rPr>
          <w:rStyle w:val="HideTWBExt"/>
          <w:noProof w:val="0"/>
        </w:rPr>
        <w:t>&gt;</w:t>
      </w:r>
    </w:p>
    <w:p w:rsidR="00540DB0" w:rsidRPr="00693132" w:rsidRDefault="00540DB0" w:rsidP="00540DB0">
      <w:pPr>
        <w:pStyle w:val="LineBottom"/>
      </w:pPr>
    </w:p>
    <w:p w:rsidR="00C1531C" w:rsidRPr="00693132" w:rsidRDefault="00693132">
      <w:pPr>
        <w:pStyle w:val="CoverReference"/>
      </w:pPr>
      <w:r w:rsidRPr="00693132">
        <w:rPr>
          <w:rStyle w:val="HideTWBExt"/>
          <w:b w:val="0"/>
          <w:noProof w:val="0"/>
        </w:rPr>
        <w:t>&lt;RefProc&gt;</w:t>
      </w:r>
      <w:r w:rsidRPr="00693132">
        <w:t>2023/2135</w:t>
      </w:r>
      <w:r w:rsidRPr="00693132">
        <w:rPr>
          <w:rStyle w:val="HideTWBExt"/>
          <w:b w:val="0"/>
          <w:noProof w:val="0"/>
        </w:rPr>
        <w:t>&lt;/RefProc&gt;&lt;RefTypeProc&gt;</w:t>
      </w:r>
      <w:r w:rsidRPr="00693132">
        <w:t>(DEC)</w:t>
      </w:r>
      <w:r w:rsidRPr="00693132">
        <w:rPr>
          <w:rStyle w:val="HideTWBExt"/>
          <w:b w:val="0"/>
          <w:noProof w:val="0"/>
        </w:rPr>
        <w:t>&lt;/RefTypeProc&gt;</w:t>
      </w:r>
    </w:p>
    <w:p w:rsidR="00C1531C" w:rsidRPr="00693132" w:rsidRDefault="00693132">
      <w:pPr>
        <w:pStyle w:val="CoverDate"/>
      </w:pPr>
      <w:r w:rsidRPr="00693132">
        <w:rPr>
          <w:rStyle w:val="HideTWBExt"/>
          <w:noProof w:val="0"/>
        </w:rPr>
        <w:t>&lt;Date&gt;</w:t>
      </w:r>
      <w:r w:rsidRPr="00693132">
        <w:rPr>
          <w:rStyle w:val="HideTWBInt"/>
          <w:color w:val="auto"/>
        </w:rPr>
        <w:t>{13/12/2023}</w:t>
      </w:r>
      <w:r w:rsidRPr="00693132">
        <w:t>13.12.2023</w:t>
      </w:r>
      <w:r w:rsidRPr="00693132">
        <w:rPr>
          <w:rStyle w:val="HideTWBExt"/>
          <w:noProof w:val="0"/>
        </w:rPr>
        <w:t>&lt;/Date&gt;</w:t>
      </w:r>
    </w:p>
    <w:p w:rsidR="00C1531C" w:rsidRPr="00693132" w:rsidRDefault="00693132">
      <w:pPr>
        <w:pStyle w:val="CoverDocType24a"/>
      </w:pPr>
      <w:r w:rsidRPr="00693132">
        <w:rPr>
          <w:rStyle w:val="HideTWBExt"/>
          <w:b w:val="0"/>
          <w:noProof w:val="0"/>
        </w:rPr>
        <w:t>&lt;TitreType&gt;</w:t>
      </w:r>
      <w:r w:rsidRPr="00693132">
        <w:t>UDKAST TIL BETÆNKNING</w:t>
      </w:r>
      <w:r w:rsidRPr="00693132">
        <w:rPr>
          <w:rStyle w:val="HideTWBExt"/>
          <w:b w:val="0"/>
          <w:noProof w:val="0"/>
        </w:rPr>
        <w:t>&lt;/TitreType&gt;</w:t>
      </w:r>
    </w:p>
    <w:p w:rsidR="00C1531C" w:rsidRPr="00693132" w:rsidRDefault="00693132">
      <w:pPr>
        <w:pStyle w:val="CoverNormal"/>
      </w:pPr>
      <w:r w:rsidRPr="00693132">
        <w:rPr>
          <w:rStyle w:val="HideTWBExt"/>
          <w:noProof w:val="0"/>
        </w:rPr>
        <w:t>&lt;Titre&gt;</w:t>
      </w:r>
      <w:r w:rsidRPr="00693132">
        <w:t xml:space="preserve">om decharge for </w:t>
      </w:r>
      <w:r w:rsidRPr="00693132">
        <w:t>gennemførelsen af Den Europæiske Unions almindelige budget for regnskabsåret 2022, Sektion VI - Det Europæiske Økonomiske og Sociale Udvalg</w:t>
      </w:r>
      <w:r w:rsidRPr="00693132">
        <w:rPr>
          <w:rStyle w:val="HideTWBExt"/>
          <w:noProof w:val="0"/>
        </w:rPr>
        <w:t>&lt;/Titre&gt;</w:t>
      </w:r>
    </w:p>
    <w:p w:rsidR="00C1531C" w:rsidRPr="00693132" w:rsidRDefault="00693132" w:rsidP="008A4DC4">
      <w:pPr>
        <w:pStyle w:val="CoverNormal24a"/>
      </w:pPr>
      <w:r w:rsidRPr="00693132">
        <w:rPr>
          <w:rStyle w:val="HideTWBExt"/>
          <w:noProof w:val="0"/>
        </w:rPr>
        <w:t>&lt;DocRef&gt;</w:t>
      </w:r>
      <w:r w:rsidRPr="00693132">
        <w:t>(2023/2135(DEC))</w:t>
      </w:r>
      <w:r w:rsidRPr="00693132">
        <w:rPr>
          <w:rStyle w:val="HideTWBExt"/>
          <w:noProof w:val="0"/>
        </w:rPr>
        <w:t>&lt;/DocRef&gt;</w:t>
      </w:r>
    </w:p>
    <w:p w:rsidR="00C1531C" w:rsidRPr="00693132" w:rsidRDefault="00693132">
      <w:pPr>
        <w:pStyle w:val="CoverNormal24a"/>
      </w:pPr>
      <w:r w:rsidRPr="00693132">
        <w:rPr>
          <w:rStyle w:val="HideTWBExt"/>
          <w:noProof w:val="0"/>
        </w:rPr>
        <w:t>&lt;Commission&gt;</w:t>
      </w:r>
      <w:r w:rsidRPr="00693132">
        <w:rPr>
          <w:rStyle w:val="HideTWBInt"/>
          <w:color w:val="auto"/>
        </w:rPr>
        <w:t>{CONT}</w:t>
      </w:r>
      <w:r w:rsidRPr="00693132">
        <w:t>Budgetkontroludvalget</w:t>
      </w:r>
      <w:r w:rsidRPr="00693132">
        <w:rPr>
          <w:rStyle w:val="HideTWBExt"/>
          <w:noProof w:val="0"/>
        </w:rPr>
        <w:t>&lt;/Commission&gt;</w:t>
      </w:r>
    </w:p>
    <w:p w:rsidR="00C1531C" w:rsidRPr="00693132" w:rsidRDefault="00693132">
      <w:pPr>
        <w:pStyle w:val="CoverNormal24a"/>
      </w:pPr>
      <w:r w:rsidRPr="00693132">
        <w:t xml:space="preserve">Ordfører: </w:t>
      </w:r>
      <w:r w:rsidRPr="00693132">
        <w:rPr>
          <w:rStyle w:val="HideTWBExt"/>
          <w:noProof w:val="0"/>
        </w:rPr>
        <w:t>&lt;Depute&gt;</w:t>
      </w:r>
      <w:r w:rsidRPr="00693132">
        <w:t>Luk</w:t>
      </w:r>
      <w:r w:rsidRPr="00693132">
        <w:t>e Ming Flanagan</w:t>
      </w:r>
      <w:r w:rsidRPr="00693132">
        <w:rPr>
          <w:rStyle w:val="HideTWBExt"/>
          <w:noProof w:val="0"/>
        </w:rPr>
        <w:t>&lt;/Depute&gt;</w:t>
      </w:r>
    </w:p>
    <w:p w:rsidR="007B23DE" w:rsidRPr="00693132" w:rsidRDefault="007B23DE" w:rsidP="007B23DE">
      <w:pPr>
        <w:pStyle w:val="CoverNormal"/>
      </w:pPr>
    </w:p>
    <w:p w:rsidR="00C1531C" w:rsidRPr="00693132" w:rsidRDefault="00693132" w:rsidP="003B5094">
      <w:pPr>
        <w:widowControl/>
        <w:tabs>
          <w:tab w:val="center" w:pos="4677"/>
        </w:tabs>
      </w:pPr>
      <w:r w:rsidRPr="00693132">
        <w:br w:type="page"/>
      </w:r>
      <w:r w:rsidRPr="00693132">
        <w:lastRenderedPageBreak/>
        <w:t>PR_DEC_Other</w:t>
      </w:r>
    </w:p>
    <w:p w:rsidR="00C1531C" w:rsidRPr="00693132" w:rsidRDefault="00693132">
      <w:pPr>
        <w:pStyle w:val="TOCHeading"/>
      </w:pPr>
      <w:r w:rsidRPr="00693132">
        <w:t>INDHOLD</w:t>
      </w:r>
    </w:p>
    <w:p w:rsidR="00BD7AAA" w:rsidRPr="00693132" w:rsidRDefault="00693132" w:rsidP="00BD7AAA">
      <w:pPr>
        <w:pStyle w:val="TOCPage"/>
      </w:pPr>
      <w:r w:rsidRPr="00693132">
        <w:t>Side</w:t>
      </w:r>
    </w:p>
    <w:p w:rsidR="00693132" w:rsidRDefault="00693132">
      <w:pPr>
        <w:pStyle w:val="TOC1"/>
        <w:tabs>
          <w:tab w:val="right" w:leader="dot" w:pos="9060"/>
        </w:tabs>
        <w:rPr>
          <w:rFonts w:asciiTheme="minorHAnsi" w:eastAsiaTheme="minorEastAsia" w:hAnsiTheme="minorHAnsi" w:cstheme="minorBidi"/>
          <w:noProof/>
          <w:sz w:val="22"/>
          <w:szCs w:val="22"/>
          <w:lang w:val="en-GB"/>
        </w:rPr>
      </w:pPr>
      <w:r w:rsidRPr="00693132">
        <w:rPr>
          <w:b/>
        </w:rPr>
        <w:fldChar w:fldCharType="begin"/>
      </w:r>
      <w:r w:rsidRPr="00693132">
        <w:rPr>
          <w:b/>
        </w:rPr>
        <w:instrText xml:space="preserve"> TOC \t "PageHeading;</w:instrText>
      </w:r>
      <w:r w:rsidRPr="00693132">
        <w:rPr>
          <w:b/>
        </w:rPr>
        <w:instrText xml:space="preserve">1" </w:instrText>
      </w:r>
      <w:r w:rsidRPr="00693132">
        <w:rPr>
          <w:b/>
        </w:rPr>
        <w:fldChar w:fldCharType="separate"/>
      </w:r>
      <w:r>
        <w:rPr>
          <w:noProof/>
        </w:rPr>
        <w:t>1. FORSLAG TIL EUROPA-PARLAMENTETS AFGØRELSE</w:t>
      </w:r>
      <w:r>
        <w:rPr>
          <w:noProof/>
        </w:rPr>
        <w:tab/>
      </w:r>
      <w:r>
        <w:rPr>
          <w:noProof/>
        </w:rPr>
        <w:fldChar w:fldCharType="begin"/>
      </w:r>
      <w:r>
        <w:rPr>
          <w:noProof/>
        </w:rPr>
        <w:instrText xml:space="preserve"> PAGEREF _Toc156475591 \h </w:instrText>
      </w:r>
      <w:r>
        <w:rPr>
          <w:noProof/>
        </w:rPr>
      </w:r>
      <w:r>
        <w:rPr>
          <w:noProof/>
        </w:rPr>
        <w:fldChar w:fldCharType="separate"/>
      </w:r>
      <w:r>
        <w:rPr>
          <w:noProof/>
        </w:rPr>
        <w:t>3</w:t>
      </w:r>
      <w:r>
        <w:rPr>
          <w:noProof/>
        </w:rPr>
        <w:fldChar w:fldCharType="end"/>
      </w:r>
    </w:p>
    <w:p w:rsidR="00693132" w:rsidRDefault="00693132">
      <w:pPr>
        <w:pStyle w:val="TOC1"/>
        <w:tabs>
          <w:tab w:val="right" w:leader="dot" w:pos="9060"/>
        </w:tabs>
        <w:rPr>
          <w:rFonts w:asciiTheme="minorHAnsi" w:eastAsiaTheme="minorEastAsia" w:hAnsiTheme="minorHAnsi" w:cstheme="minorBidi"/>
          <w:noProof/>
          <w:sz w:val="22"/>
          <w:szCs w:val="22"/>
          <w:lang w:val="en-GB"/>
        </w:rPr>
      </w:pPr>
      <w:r>
        <w:rPr>
          <w:noProof/>
        </w:rPr>
        <w:t>2. FORSLAG TIL EUROPA-PARLAMENTETS BESLUTNING</w:t>
      </w:r>
      <w:r>
        <w:rPr>
          <w:noProof/>
        </w:rPr>
        <w:tab/>
      </w:r>
      <w:r>
        <w:rPr>
          <w:noProof/>
        </w:rPr>
        <w:fldChar w:fldCharType="begin"/>
      </w:r>
      <w:r>
        <w:rPr>
          <w:noProof/>
        </w:rPr>
        <w:instrText xml:space="preserve"> PAGEREF _Toc156475592 \h </w:instrText>
      </w:r>
      <w:r>
        <w:rPr>
          <w:noProof/>
        </w:rPr>
      </w:r>
      <w:r>
        <w:rPr>
          <w:noProof/>
        </w:rPr>
        <w:fldChar w:fldCharType="separate"/>
      </w:r>
      <w:r>
        <w:rPr>
          <w:noProof/>
        </w:rPr>
        <w:t>5</w:t>
      </w:r>
      <w:r>
        <w:rPr>
          <w:noProof/>
        </w:rPr>
        <w:fldChar w:fldCharType="end"/>
      </w:r>
    </w:p>
    <w:p w:rsidR="00C1531C" w:rsidRPr="00693132" w:rsidRDefault="00693132" w:rsidP="00AC25A9">
      <w:r w:rsidRPr="00693132">
        <w:fldChar w:fldCharType="end"/>
      </w:r>
    </w:p>
    <w:p w:rsidR="00C1531C" w:rsidRPr="00693132" w:rsidRDefault="00693132" w:rsidP="004D13BA">
      <w:pPr>
        <w:pStyle w:val="PageHeading"/>
      </w:pPr>
      <w:r w:rsidRPr="00693132">
        <w:br w:type="page"/>
      </w:r>
      <w:bookmarkStart w:id="0" w:name="_Toc26759888"/>
      <w:bookmarkStart w:id="1" w:name="_Toc86200285"/>
      <w:bookmarkStart w:id="2" w:name="_Toc156475591"/>
      <w:r w:rsidRPr="00693132">
        <w:lastRenderedPageBreak/>
        <w:t>1. FORSLAG TIL EUROPA-PARLAMENTETS AFGØRELSE</w:t>
      </w:r>
      <w:bookmarkEnd w:id="2"/>
    </w:p>
    <w:p w:rsidR="00D43DB3" w:rsidRPr="00693132" w:rsidRDefault="00693132" w:rsidP="00D43DB3">
      <w:pPr>
        <w:pStyle w:val="NormalBold"/>
        <w:rPr>
          <w:szCs w:val="24"/>
        </w:rPr>
      </w:pPr>
      <w:r w:rsidRPr="00693132">
        <w:t>om decharge for gennemførelsen af Den Europæiske Unions almindelige budget for regnskabsåret 2022, Sektion VI - Det Europæiske Økonomiske og Sociale Udvalg</w:t>
      </w:r>
    </w:p>
    <w:p w:rsidR="00D43DB3" w:rsidRPr="00693132" w:rsidRDefault="00693132" w:rsidP="00D43DB3">
      <w:pPr>
        <w:pStyle w:val="NormalBold"/>
        <w:rPr>
          <w:szCs w:val="24"/>
        </w:rPr>
      </w:pPr>
      <w:r w:rsidRPr="00693132">
        <w:t>(2023/2135(DEC))</w:t>
      </w:r>
    </w:p>
    <w:p w:rsidR="00D43DB3" w:rsidRPr="00693132" w:rsidRDefault="00693132" w:rsidP="00D43DB3">
      <w:pPr>
        <w:pStyle w:val="EPComma"/>
        <w:rPr>
          <w:szCs w:val="24"/>
        </w:rPr>
      </w:pPr>
      <w:r w:rsidRPr="00693132">
        <w:rPr>
          <w:i/>
          <w:iCs/>
        </w:rPr>
        <w:t>Europa-Parlamentet,</w:t>
      </w:r>
    </w:p>
    <w:p w:rsidR="00D43DB3" w:rsidRPr="00693132" w:rsidRDefault="00693132" w:rsidP="00D43DB3">
      <w:pPr>
        <w:pStyle w:val="NormalHanging12a"/>
      </w:pPr>
      <w:r w:rsidRPr="00693132">
        <w:t>–</w:t>
      </w:r>
      <w:r w:rsidRPr="00693132">
        <w:tab/>
        <w:t>der henviser til Den Europæiske Unions almindelige budget fo</w:t>
      </w:r>
      <w:r w:rsidRPr="00693132">
        <w:t>r regnskabsåret 2022</w:t>
      </w:r>
      <w:r w:rsidRPr="00693132">
        <w:rPr>
          <w:rStyle w:val="FootnoteReference"/>
        </w:rPr>
        <w:footnoteReference w:id="1"/>
      </w:r>
      <w:r w:rsidRPr="00693132">
        <w:t>,</w:t>
      </w:r>
    </w:p>
    <w:p w:rsidR="00D43DB3" w:rsidRPr="00693132" w:rsidRDefault="00693132" w:rsidP="00D43DB3">
      <w:pPr>
        <w:pStyle w:val="NormalHanging12a"/>
      </w:pPr>
      <w:r w:rsidRPr="00693132">
        <w:t>–</w:t>
      </w:r>
      <w:r w:rsidRPr="00693132">
        <w:tab/>
        <w:t>der henviser til Den Europæiske Unions konsoliderede årsregnskab for regnskabsåret 2022 (COM(2023)0391 – C9</w:t>
      </w:r>
      <w:r w:rsidRPr="00693132">
        <w:noBreakHyphen/>
        <w:t>0254/2023)</w:t>
      </w:r>
      <w:r w:rsidRPr="00693132">
        <w:rPr>
          <w:rStyle w:val="FootnoteReference"/>
        </w:rPr>
        <w:footnoteReference w:id="2"/>
      </w:r>
      <w:r w:rsidRPr="00693132">
        <w:t>,</w:t>
      </w:r>
    </w:p>
    <w:p w:rsidR="00D43DB3" w:rsidRPr="00693132" w:rsidRDefault="00693132" w:rsidP="00D43DB3">
      <w:pPr>
        <w:pStyle w:val="NormalHanging12a"/>
      </w:pPr>
      <w:r w:rsidRPr="00693132">
        <w:t>–</w:t>
      </w:r>
      <w:r w:rsidRPr="00693132">
        <w:tab/>
        <w:t>der henviser til Det Europæiske Økonomiske og Sociale Udvalgs årlige aktivitetsrapport for 2022 og dets årsb</w:t>
      </w:r>
      <w:r w:rsidRPr="00693132">
        <w:t>eretning til dechargemyndigheden om de interne revisioner, der er foretaget i 2022,</w:t>
      </w:r>
    </w:p>
    <w:p w:rsidR="00D43DB3" w:rsidRPr="00693132" w:rsidRDefault="00693132" w:rsidP="00D43DB3">
      <w:pPr>
        <w:pStyle w:val="NormalHanging12a"/>
      </w:pPr>
      <w:r w:rsidRPr="00693132">
        <w:t>–</w:t>
      </w:r>
      <w:r w:rsidRPr="00693132">
        <w:tab/>
        <w:t>der henviser til Revisionsrettens årsberetning om budgetgennemførelsen i regnskabsåret 2022, med institutionernes svar</w:t>
      </w:r>
      <w:r w:rsidRPr="00693132">
        <w:rPr>
          <w:rStyle w:val="FootnoteReference"/>
        </w:rPr>
        <w:footnoteReference w:id="3"/>
      </w:r>
      <w:r w:rsidRPr="00693132">
        <w:t>,</w:t>
      </w:r>
    </w:p>
    <w:p w:rsidR="00D43DB3" w:rsidRPr="00693132" w:rsidRDefault="00693132" w:rsidP="00D43DB3">
      <w:pPr>
        <w:pStyle w:val="NormalHanging12a"/>
      </w:pPr>
      <w:r w:rsidRPr="00693132">
        <w:t>–</w:t>
      </w:r>
      <w:r w:rsidRPr="00693132">
        <w:tab/>
        <w:t>der henviser til Revisionsrettens erklæring</w:t>
      </w:r>
      <w:r w:rsidRPr="00693132">
        <w:rPr>
          <w:rStyle w:val="FootnoteReference"/>
        </w:rPr>
        <w:footnoteReference w:id="4"/>
      </w:r>
      <w:r w:rsidRPr="00693132">
        <w:t xml:space="preserve"> fo</w:t>
      </w:r>
      <w:r w:rsidRPr="00693132">
        <w:t>r regnskabsåret 2022 om regnskabernes rigtighed og de underliggende transaktioners lovlighed og formelle rigtighed, jf. artikel 287 i traktaten om Den Europæiske Unions funktionsmåde,</w:t>
      </w:r>
    </w:p>
    <w:p w:rsidR="00D43DB3" w:rsidRPr="00693132" w:rsidRDefault="00693132" w:rsidP="00D43DB3">
      <w:pPr>
        <w:pStyle w:val="NormalHanging12a"/>
      </w:pPr>
      <w:r w:rsidRPr="00693132">
        <w:t>–</w:t>
      </w:r>
      <w:r w:rsidRPr="00693132">
        <w:tab/>
        <w:t>der henviser til artikel 314, stk. 10, og artikel 317, 318 og 319 i tr</w:t>
      </w:r>
      <w:r w:rsidRPr="00693132">
        <w:t>aktaten om Den Europæiske Unions funktionsmåde,</w:t>
      </w:r>
    </w:p>
    <w:p w:rsidR="00D43DB3" w:rsidRPr="00693132" w:rsidRDefault="00693132" w:rsidP="00D43DB3">
      <w:pPr>
        <w:pStyle w:val="NormalHanging12a"/>
      </w:pPr>
      <w:r w:rsidRPr="00693132">
        <w:t>–</w:t>
      </w:r>
      <w:r w:rsidRPr="00693132">
        <w:tab/>
        <w:t>der henviser til Europa-Parlamentets og Rådets forordning (EU, Euratom) 2018/1046 af 18. juli 2018 om de finansielle regler vedrørende Unionens almindelige budget, om ændring af forordning (EU) nr. 1296/201</w:t>
      </w:r>
      <w:r w:rsidRPr="00693132">
        <w:t>3, (EU) nr. 1301/2013, (EU) nr. 1303/2013, (EU) nr. 1304/2013, (EU) nr. 1309/2013, (EU) nr. 1316/2013, (EU) nr. 223/2014, (EU) nr. 283/2014 og afgørelse nr. 541/2014/EU og om ophævelse af forordning (EU, Euratom) nr. 966/2012</w:t>
      </w:r>
      <w:r w:rsidRPr="00693132">
        <w:rPr>
          <w:rStyle w:val="FootnoteReference"/>
        </w:rPr>
        <w:footnoteReference w:id="5"/>
      </w:r>
      <w:r w:rsidRPr="00693132">
        <w:t>, særlig artikel 59, 118, 260,</w:t>
      </w:r>
      <w:r w:rsidRPr="00693132">
        <w:t xml:space="preserve"> 261 og 262,</w:t>
      </w:r>
    </w:p>
    <w:p w:rsidR="00D43DB3" w:rsidRPr="00693132" w:rsidRDefault="00693132" w:rsidP="00D43DB3">
      <w:pPr>
        <w:pStyle w:val="NormalHanging12a"/>
      </w:pPr>
      <w:r w:rsidRPr="00693132">
        <w:t>–</w:t>
      </w:r>
      <w:r w:rsidRPr="00693132">
        <w:tab/>
        <w:t>der henviser til forretningsordenens artikel 100 og bilag V,</w:t>
      </w:r>
    </w:p>
    <w:p w:rsidR="00D43DB3" w:rsidRPr="00693132" w:rsidRDefault="00693132" w:rsidP="00D43DB3">
      <w:pPr>
        <w:pStyle w:val="NormalHanging12a"/>
      </w:pPr>
      <w:r w:rsidRPr="00693132">
        <w:t>–</w:t>
      </w:r>
      <w:r w:rsidRPr="00693132">
        <w:tab/>
        <w:t>der henviser til betænkning fra Budgetkontroludvalget (A9</w:t>
      </w:r>
      <w:r w:rsidRPr="00693132">
        <w:noBreakHyphen/>
        <w:t>0000/2024),</w:t>
      </w:r>
    </w:p>
    <w:p w:rsidR="00D43DB3" w:rsidRPr="00693132" w:rsidRDefault="00693132" w:rsidP="00D43DB3">
      <w:pPr>
        <w:pStyle w:val="NormalHanging12a"/>
      </w:pPr>
      <w:r w:rsidRPr="00693132">
        <w:t>1.</w:t>
      </w:r>
      <w:r w:rsidRPr="00693132">
        <w:tab/>
        <w:t xml:space="preserve">meddeler Det Europæiske Økonomiske og Sociale Udvalgs generalsekretær decharge for gennemførelsen af Det </w:t>
      </w:r>
      <w:r w:rsidRPr="00693132">
        <w:t>Europæiske Økonomiske og Sociale Udvalgs budget for regnskabsåret 2022/udsætter sin afgørelse om decharge til Det Europæiske Økonomiske og Sociale Udvalgs generalsekretær for gennemførelsen af Det Europæiske Økonomiske og Sociale Udvalgs budget for regnska</w:t>
      </w:r>
      <w:r w:rsidRPr="00693132">
        <w:t>bsåret 2022;</w:t>
      </w:r>
    </w:p>
    <w:p w:rsidR="00D43DB3" w:rsidRPr="00693132" w:rsidRDefault="00693132" w:rsidP="00D43DB3">
      <w:pPr>
        <w:pStyle w:val="NormalHanging12a"/>
      </w:pPr>
      <w:r w:rsidRPr="00693132">
        <w:lastRenderedPageBreak/>
        <w:t>2.</w:t>
      </w:r>
      <w:r w:rsidRPr="00693132">
        <w:tab/>
        <w:t>fremsætter sine bemærkninger i nedenstående beslutning;</w:t>
      </w:r>
    </w:p>
    <w:p w:rsidR="00D43DB3" w:rsidRPr="00693132" w:rsidRDefault="00693132" w:rsidP="00D43DB3">
      <w:pPr>
        <w:pStyle w:val="NormalHanging12a"/>
      </w:pPr>
      <w:r w:rsidRPr="00693132">
        <w:t>3.</w:t>
      </w:r>
      <w:r w:rsidRPr="00693132">
        <w:tab/>
        <w:t>pålægger sin formand at sende denne afgørelse og beslutningen, der er en integrerende del heraf, til Det Europæiske Økonomiske og Sociale Udvalg, Rådet, Kommissionen og Revisionsret</w:t>
      </w:r>
      <w:r w:rsidRPr="00693132">
        <w:t xml:space="preserve">ten og drage omsorg for, at de offentliggøres i </w:t>
      </w:r>
      <w:r w:rsidRPr="00693132">
        <w:rPr>
          <w:i/>
        </w:rPr>
        <w:t>Den Europæiske Unions Tidende</w:t>
      </w:r>
      <w:r w:rsidRPr="00693132">
        <w:t xml:space="preserve"> (L-udgaven). </w:t>
      </w:r>
    </w:p>
    <w:p w:rsidR="00266373" w:rsidRPr="00693132" w:rsidRDefault="00266373" w:rsidP="003E3994"/>
    <w:p w:rsidR="00266373" w:rsidRPr="00693132" w:rsidRDefault="00266373" w:rsidP="004D13BA">
      <w:pPr>
        <w:pStyle w:val="PageHeading"/>
        <w:sectPr w:rsidR="00266373" w:rsidRPr="00693132" w:rsidSect="009416C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C1531C" w:rsidRPr="00693132" w:rsidRDefault="00693132" w:rsidP="004D13BA">
      <w:pPr>
        <w:pStyle w:val="PageHeading"/>
      </w:pPr>
      <w:bookmarkStart w:id="3" w:name="_Toc156475592"/>
      <w:bookmarkEnd w:id="0"/>
      <w:bookmarkEnd w:id="1"/>
      <w:r w:rsidRPr="00693132">
        <w:lastRenderedPageBreak/>
        <w:t>2. FORSLAG TIL EUROPA-PARLAMENTETS BESLUTNING</w:t>
      </w:r>
      <w:bookmarkEnd w:id="3"/>
    </w:p>
    <w:p w:rsidR="00D43DB3" w:rsidRPr="00693132" w:rsidRDefault="00693132" w:rsidP="00D43DB3">
      <w:pPr>
        <w:pStyle w:val="NormalBold"/>
        <w:rPr>
          <w:szCs w:val="24"/>
        </w:rPr>
      </w:pPr>
      <w:r w:rsidRPr="00693132">
        <w:t xml:space="preserve">med bemærkningerne, der er en integrerende del af afgørelsen om decharge for gennemførelsen af Den </w:t>
      </w:r>
      <w:r w:rsidRPr="00693132">
        <w:t>Europæiske Unions almindelige budget for regnskabsåret 2022, Sektion VI – Det Europæiske Økonomiske og Sociale Udvalg</w:t>
      </w:r>
    </w:p>
    <w:p w:rsidR="00D43DB3" w:rsidRPr="00693132" w:rsidRDefault="00693132" w:rsidP="00D43DB3">
      <w:pPr>
        <w:pStyle w:val="NormalBold"/>
        <w:rPr>
          <w:szCs w:val="24"/>
        </w:rPr>
      </w:pPr>
      <w:r w:rsidRPr="00693132">
        <w:t>(2023/2135(DEC))</w:t>
      </w:r>
    </w:p>
    <w:p w:rsidR="00D43DB3" w:rsidRPr="00693132" w:rsidRDefault="00693132" w:rsidP="00D43DB3">
      <w:pPr>
        <w:pStyle w:val="EPComma"/>
        <w:rPr>
          <w:szCs w:val="24"/>
        </w:rPr>
      </w:pPr>
      <w:r w:rsidRPr="00693132">
        <w:rPr>
          <w:i/>
          <w:iCs/>
        </w:rPr>
        <w:t>Europa-Parlamentet,</w:t>
      </w:r>
    </w:p>
    <w:p w:rsidR="00D43DB3" w:rsidRPr="00693132" w:rsidRDefault="00693132" w:rsidP="00693132">
      <w:pPr>
        <w:pStyle w:val="NormalHanging12a"/>
      </w:pPr>
      <w:r w:rsidRPr="00693132">
        <w:t>–</w:t>
      </w:r>
      <w:r w:rsidRPr="00693132">
        <w:tab/>
        <w:t xml:space="preserve">der henviser til sin afgørelse om decharge for gennemførelsen af Den Europæiske Unions almindelige </w:t>
      </w:r>
      <w:r w:rsidRPr="00693132">
        <w:t>budget for regnskabsåret 2022, Sektion VI - Det Europæiske Økonomiske og Sociale Udvalg,</w:t>
      </w:r>
    </w:p>
    <w:p w:rsidR="00D43DB3" w:rsidRPr="00693132" w:rsidRDefault="00693132" w:rsidP="00693132">
      <w:pPr>
        <w:pStyle w:val="NormalHanging12a"/>
      </w:pPr>
      <w:r w:rsidRPr="00693132">
        <w:t>–</w:t>
      </w:r>
      <w:r w:rsidRPr="00693132">
        <w:tab/>
        <w:t>der henviser til forretningsordenens artikel 100 og bilag V,</w:t>
      </w:r>
    </w:p>
    <w:p w:rsidR="00D43DB3" w:rsidRPr="00693132" w:rsidRDefault="00693132" w:rsidP="00693132">
      <w:pPr>
        <w:pStyle w:val="NormalHanging12a"/>
      </w:pPr>
      <w:r w:rsidRPr="00693132">
        <w:t>–</w:t>
      </w:r>
      <w:r w:rsidRPr="00693132">
        <w:tab/>
        <w:t>der henviser til betænkning fra Budgetkontroludvalget (A9</w:t>
      </w:r>
      <w:r w:rsidRPr="00693132">
        <w:noBreakHyphen/>
        <w:t>0000/2024),</w:t>
      </w:r>
    </w:p>
    <w:p w:rsidR="00D43DB3" w:rsidRPr="00693132" w:rsidRDefault="00693132" w:rsidP="00693132">
      <w:pPr>
        <w:pStyle w:val="NormalHanging12a"/>
      </w:pPr>
      <w:r w:rsidRPr="00693132">
        <w:t>A.</w:t>
      </w:r>
      <w:r w:rsidRPr="00693132">
        <w:tab/>
        <w:t xml:space="preserve">der henviser til, at </w:t>
      </w:r>
      <w:r w:rsidRPr="00693132">
        <w:t>dechargemyndigheden inden for rammerne af dechargeproceduren gerne vil understrege, at det er særlig vigtigt at styrke EU-institutionernes demokratiske legitimitet yderligere ved at forbedre gennemsigtigheden og ansvarligheden og implementere princippet om</w:t>
      </w:r>
      <w:r w:rsidRPr="00693132">
        <w:t xml:space="preserve"> resultatbaseret budgettering og god forvaltning af menneskelige ressourcer;</w:t>
      </w:r>
    </w:p>
    <w:p w:rsidR="00D43DB3" w:rsidRPr="00693132" w:rsidRDefault="00693132" w:rsidP="00693132">
      <w:pPr>
        <w:pStyle w:val="NormalHanging12a"/>
      </w:pPr>
      <w:r w:rsidRPr="00693132">
        <w:t>B.</w:t>
      </w:r>
      <w:r w:rsidRPr="00693132">
        <w:tab/>
        <w:t>der henviser til, at Det Europæiske Økonomiske og Sociale Udvalg ("udvalget") er et rådgivende EU-organ, der udgør et forum for høring, dialog og konsensus blandt repræsentante</w:t>
      </w:r>
      <w:r w:rsidRPr="00693132">
        <w:t>r for de forskellige økonomiske, sociale og civile grupper i det organiserede civilsamfund i medlemsstaterne;</w:t>
      </w:r>
    </w:p>
    <w:p w:rsidR="00D43DB3" w:rsidRPr="00693132" w:rsidRDefault="00693132" w:rsidP="00693132">
      <w:pPr>
        <w:pStyle w:val="NormalHanging12a"/>
      </w:pPr>
      <w:r w:rsidRPr="00693132">
        <w:t>C.</w:t>
      </w:r>
      <w:r w:rsidRPr="00693132">
        <w:tab/>
        <w:t>der henviser til, at udvalget bidrager til EU's beslutningsproces, og at det ved at sikre forbindelser mellem Unionens politikker og de økonomi</w:t>
      </w:r>
      <w:r w:rsidRPr="00693132">
        <w:t>ske, sociale og samfundsmæssige realiteter forfølger sine mål om bedre lovgivning, deltagelsesdemokrati nedefra og op og fremme af Unionens værdier;</w:t>
      </w:r>
    </w:p>
    <w:p w:rsidR="00D43DB3" w:rsidRPr="00693132" w:rsidRDefault="00693132" w:rsidP="00693132">
      <w:pPr>
        <w:pStyle w:val="NormalHanging12a"/>
      </w:pPr>
      <w:r w:rsidRPr="00693132">
        <w:t>D.</w:t>
      </w:r>
      <w:r w:rsidRPr="00693132">
        <w:tab/>
        <w:t>der henviser til, at hvor det i visse tilfælde er obligatorisk for Kommissionen eller Rådet at høre udva</w:t>
      </w:r>
      <w:r w:rsidRPr="00693132">
        <w:t>lget, så kan udvalget også vedtage udtalelser på eget initiativ og har et bredt høringsområde som fastlagt i traktaterne, der gør det muligt for det at blive hørt af Parlamentet;</w:t>
      </w:r>
    </w:p>
    <w:p w:rsidR="00D43DB3" w:rsidRPr="00693132" w:rsidRDefault="00693132" w:rsidP="00693132">
      <w:pPr>
        <w:pStyle w:val="NormalHanging12a"/>
      </w:pPr>
      <w:r w:rsidRPr="00693132">
        <w:t>E.</w:t>
      </w:r>
      <w:r w:rsidRPr="00693132">
        <w:tab/>
        <w:t>der henviser til, at udvalgets finans- og budgetudvalg er udvalgets tilsyn</w:t>
      </w:r>
      <w:r w:rsidRPr="00693132">
        <w:t>sorgan for alle budgetprocedurer og navnlig udarbejdelsen af budgetoverslag, budgetgennemførelsen, den årlige aktivitetsrapport, decharge og opfølgning af Revisionsrettens årsberetning;</w:t>
      </w:r>
    </w:p>
    <w:p w:rsidR="00D43DB3" w:rsidRPr="00693132" w:rsidRDefault="00693132" w:rsidP="00693132">
      <w:pPr>
        <w:pStyle w:val="NormalHanging12a"/>
      </w:pPr>
      <w:r w:rsidRPr="00693132">
        <w:t>1.</w:t>
      </w:r>
      <w:r w:rsidRPr="00693132">
        <w:tab/>
        <w:t xml:space="preserve">bemærker, at udvalget budget falder ind under FFR-udgiftsområde 7, </w:t>
      </w:r>
      <w:r w:rsidRPr="00693132">
        <w:t>"Europæisk offentlig forvaltning", som i 2022 beløb sig til i alt 11,6 mia. EUR eller 5,9 % af Unionens udgifter; bemærker, at udvalgets budget i 2022 udgjorde 1,31 % af bevillingerne under FFR-udgiftsområde 7;</w:t>
      </w:r>
    </w:p>
    <w:p w:rsidR="00D43DB3" w:rsidRPr="00693132" w:rsidRDefault="00693132" w:rsidP="00693132">
      <w:pPr>
        <w:pStyle w:val="NormalHanging12a"/>
      </w:pPr>
      <w:r w:rsidRPr="00693132">
        <w:t>2.</w:t>
      </w:r>
      <w:r w:rsidRPr="00693132">
        <w:tab/>
        <w:t>bemærker, at Revisionsretten i sin årsbere</w:t>
      </w:r>
      <w:r w:rsidRPr="00693132">
        <w:t xml:space="preserve">tning for regnskabsåret 2022 undersøgte en stikprøve på 60 transaktioner under posten Administration, hvilket er det samme antal som blevet undersøgt i 2021; bemærker endvidere, at Revisionsretten anfører, at </w:t>
      </w:r>
      <w:r w:rsidRPr="00693132">
        <w:lastRenderedPageBreak/>
        <w:t>administrationsudgifter omfatter udgifter til m</w:t>
      </w:r>
      <w:r w:rsidRPr="00693132">
        <w:t>enneskelige ressourcer, herunder udgifter til pensioner, som i 2022 tegnede sig for ca. 70 % af de samlede administrationsudgifter, samt udgifter til bygninger, udstyr, energi, kommunikation og informationsteknologi, og at dens revisioner gennem mange år v</w:t>
      </w:r>
      <w:r w:rsidRPr="00693132">
        <w:t>iser, at der generelt kun er lav risiko forbundet med disse udgifter;</w:t>
      </w:r>
    </w:p>
    <w:p w:rsidR="00D43DB3" w:rsidRPr="00693132" w:rsidRDefault="00693132" w:rsidP="00693132">
      <w:pPr>
        <w:pStyle w:val="NormalHanging12a"/>
      </w:pPr>
      <w:r w:rsidRPr="00693132">
        <w:t>3.</w:t>
      </w:r>
      <w:r w:rsidRPr="00693132">
        <w:tab/>
        <w:t xml:space="preserve">noterer sig, Revisionsretten som led i sin revision for 2022 undersøgte udvalgets overvågnings- og kontrolsystemer, navnlig gennemførelsen af interne kontrolstandarder, risikostyring </w:t>
      </w:r>
      <w:r w:rsidRPr="00693132">
        <w:t>og centrale kontrollers funktion som defineret i finansforordningen, herunder forudgående og efterfølgende kontrol af betalinger;</w:t>
      </w:r>
    </w:p>
    <w:p w:rsidR="00D43DB3" w:rsidRPr="00693132" w:rsidRDefault="00693132" w:rsidP="00693132">
      <w:pPr>
        <w:pStyle w:val="NormalHanging12a"/>
      </w:pPr>
      <w:r w:rsidRPr="00693132">
        <w:t>4.</w:t>
      </w:r>
      <w:r w:rsidRPr="00693132">
        <w:tab/>
        <w:t>bemærker, at 14 (23 %) af de 60 transaktioner var behæftet med fejl, men at Revisionsretten på grundlag af de fem fejl, der</w:t>
      </w:r>
      <w:r w:rsidRPr="00693132">
        <w:t xml:space="preserve"> blev kvantificeret, anslår, at fejlforekomsten er under væsentlighedstærsklen;</w:t>
      </w:r>
    </w:p>
    <w:p w:rsidR="00D43DB3" w:rsidRPr="00693132" w:rsidRDefault="00693132" w:rsidP="00693132">
      <w:pPr>
        <w:pStyle w:val="NormalHanging12a"/>
      </w:pPr>
      <w:r w:rsidRPr="00693132">
        <w:t>5.</w:t>
      </w:r>
      <w:r w:rsidRPr="00693132">
        <w:tab/>
        <w:t>noterer med tilfredshed, at Revisionsretten i årsberetningen for regnskabsåret 2022 anfører, at den ikke havde konstateret nogen specifikke forhold vedrørende udvalget; bemæ</w:t>
      </w:r>
      <w:r w:rsidRPr="00693132">
        <w:t>rker endvidere, at Revisionsretten i sin opfølgning fandt, at den anbefaling, der var fremsat til udvalget i årsberetningen for regnskabsåret 2019 med hensyn til behovet for, at udvalget gennemfører en politik for håndtering af følsomme funktioner i overen</w:t>
      </w:r>
      <w:r w:rsidRPr="00693132">
        <w:t>sstemmelse med dets interne kontrolstandarder, var gennemført i nogle henseender;</w:t>
      </w:r>
    </w:p>
    <w:p w:rsidR="00D43DB3" w:rsidRPr="00693132" w:rsidRDefault="00693132" w:rsidP="00693132">
      <w:pPr>
        <w:pStyle w:val="NormalHanging12a"/>
        <w:rPr>
          <w:b/>
          <w:i/>
        </w:rPr>
      </w:pPr>
      <w:r w:rsidRPr="00693132">
        <w:rPr>
          <w:b/>
          <w:i/>
        </w:rPr>
        <w:t>Budgetmæssig og økonomisk forvaltning</w:t>
      </w:r>
    </w:p>
    <w:p w:rsidR="00D43DB3" w:rsidRPr="00693132" w:rsidRDefault="00693132" w:rsidP="00693132">
      <w:pPr>
        <w:pStyle w:val="NormalHanging12a"/>
      </w:pPr>
      <w:r w:rsidRPr="00693132">
        <w:t>6.</w:t>
      </w:r>
      <w:r w:rsidRPr="00693132">
        <w:tab/>
        <w:t>bemærker, at udvalgets endeligt vedtagne budget for 2022 var på 152 451 643 EUR, hvilket svarer til en samlet stigning på 5,1 % samme</w:t>
      </w:r>
      <w:r w:rsidRPr="00693132">
        <w:t>nlignet med 2021; bemærker, at budgetposten for vederlag og godtgørelser steg med 5 % mellem 2021 og 2022 som følge af den årlige indeksering af lønninger; bemærker, at budgetposten for indretning af lokaler faldt med 77 % mellem 2021 og 2022 og kom tilbag</w:t>
      </w:r>
      <w:r w:rsidRPr="00693132">
        <w:t>e til det sædvanlige niveau efter gennemførelsen af vigtige renoveringsarbejder i 2021; bemærker, at fordelingen af bevillinger på budgetposterne i 2022-budgettet ellers fortsat var sammenlignelig med fordelingen i de foregående år;</w:t>
      </w:r>
    </w:p>
    <w:p w:rsidR="00D43DB3" w:rsidRPr="00693132" w:rsidRDefault="00693132" w:rsidP="00693132">
      <w:pPr>
        <w:pStyle w:val="NormalHanging12a"/>
      </w:pPr>
      <w:r w:rsidRPr="00693132">
        <w:t>7.</w:t>
      </w:r>
      <w:r w:rsidRPr="00693132">
        <w:tab/>
        <w:t>bemærker, at budgetg</w:t>
      </w:r>
      <w:r w:rsidRPr="00693132">
        <w:t>ennemførelsesgraden var på 96,12 % i 2022 efter to år med lavere budgetgennemførelse som følge af covid-19-pandemien og de dermed forbundne rejserestriktioner; bemærker, at udnyttelsesgraden for betalinger fulgte samme tendens og nåede op på 88,12 % i 2022</w:t>
      </w:r>
      <w:r w:rsidRPr="00693132">
        <w:t>;</w:t>
      </w:r>
    </w:p>
    <w:p w:rsidR="00D43DB3" w:rsidRPr="00693132" w:rsidRDefault="00693132" w:rsidP="00693132">
      <w:pPr>
        <w:pStyle w:val="NormalHanging12a"/>
      </w:pPr>
      <w:r w:rsidRPr="00693132">
        <w:t>8.</w:t>
      </w:r>
      <w:r w:rsidRPr="00693132">
        <w:tab/>
        <w:t>bemærker, at fremførslen af bevillinger til regnskabsåret 2022 beløb sig til 20 162 518 EUR, dvs. ca. 13 % af det årlige budget for 2022, hvilket var betydeligt mere end gennemsnittet i de foregående år; forstår, at denne fremførsel var knyttet til ud</w:t>
      </w:r>
      <w:r w:rsidRPr="00693132">
        <w:t>sættelsen af bygningsarbejder i 2020 og 2021;</w:t>
      </w:r>
    </w:p>
    <w:p w:rsidR="00D43DB3" w:rsidRPr="00693132" w:rsidRDefault="00693132" w:rsidP="00693132">
      <w:pPr>
        <w:pStyle w:val="NormalHanging12a"/>
      </w:pPr>
      <w:r w:rsidRPr="00693132">
        <w:t>9.</w:t>
      </w:r>
      <w:r w:rsidRPr="00693132">
        <w:tab/>
        <w:t>bemærker, at den gennemsnitlige betalingstid i 2022 var 18 dage, hvilket er et kraftigt fald siden 2019, hvor den var 30,19 dage; glæder sig over, at brugen af elektronisk fakturering samtidig steg fra 58,54</w:t>
      </w:r>
      <w:r w:rsidRPr="00693132">
        <w:t> % i 2018 til 88,84 % i 2022, hvilket formodentlig bidrog til nedgangen i betalingstiden i denne periode; glæder sig over, at udvalget ændrede sine praksis som følge af interne revisionshenstillinger om betalingsfrister, som blev iværksat og afsluttet i 20</w:t>
      </w:r>
      <w:r w:rsidRPr="00693132">
        <w:t>22 og bidrog til et fald i andelen af forsinkede betalinger til ca. 10 % i 2022;</w:t>
      </w:r>
    </w:p>
    <w:p w:rsidR="00D43DB3" w:rsidRPr="00693132" w:rsidRDefault="00693132" w:rsidP="00693132">
      <w:pPr>
        <w:pStyle w:val="NormalHanging12a"/>
      </w:pPr>
      <w:r w:rsidRPr="00693132">
        <w:lastRenderedPageBreak/>
        <w:t>10.</w:t>
      </w:r>
      <w:r w:rsidRPr="00693132">
        <w:tab/>
        <w:t>bemærker, at udvalgets egne tjenester iværksatte 15 udbud med forhandling på under 60 000 EUR i 2022, hovedsagelig med henblik på ekspertise, undersøgelser og logistisk st</w:t>
      </w:r>
      <w:r w:rsidRPr="00693132">
        <w:t>øtte; noterede sig, at der blev iværksat udbudsprocedurer på logistikområdet af de fælles tjenestegrene, som udvalget deler med Regionsudvalget ("RU");</w:t>
      </w:r>
    </w:p>
    <w:p w:rsidR="00D43DB3" w:rsidRPr="00693132" w:rsidRDefault="00693132" w:rsidP="00693132">
      <w:pPr>
        <w:pStyle w:val="NormalHanging12a"/>
      </w:pPr>
      <w:r w:rsidRPr="00693132">
        <w:t>11.</w:t>
      </w:r>
      <w:r w:rsidRPr="00693132">
        <w:tab/>
        <w:t>bemærker, at udvalget i 2022 fortsatte med at forbedre omkostningseffektiviteten af sine arbejdsmeto</w:t>
      </w:r>
      <w:r w:rsidRPr="00693132">
        <w:t>der, navnlig takket være hybridarbejde, fuld dematerialisering af finansielle kredsløb og reduceret energiforbrug; bemærker endvidere, at der blev opnået budgetmæssige og administrative besparelser gennem interinstitutionelt samarbejde, navnlig gennem de f</w:t>
      </w:r>
      <w:r w:rsidRPr="00693132">
        <w:t>ælles tjenestegrene med RU og outsourcing af specifikke tjenester til Kommissionen (mod et årligt gebyr) til håndtering af HR-spørgsmål og anvendelse af forskellige IT-platforme til økonomisk forvaltning og HR samt deltagelse i interinstitutionelle udbudsp</w:t>
      </w:r>
      <w:r w:rsidRPr="00693132">
        <w:t>rocedurer ledet af andre institutioner;</w:t>
      </w:r>
    </w:p>
    <w:p w:rsidR="00D43DB3" w:rsidRPr="00693132" w:rsidRDefault="00693132" w:rsidP="00693132">
      <w:pPr>
        <w:pStyle w:val="NormalHanging12a"/>
      </w:pPr>
      <w:r w:rsidRPr="00693132">
        <w:t>12.</w:t>
      </w:r>
      <w:r w:rsidRPr="00693132">
        <w:tab/>
        <w:t>er klar over, at afgørelserne vedrørende dagpenge til udvalgets medlemmer for deltagelse i møder og størrelsen af sådanne godtgørelser træffes af Rådet; bemærker, at Rådet efter den gradvise ophævelse af rejseres</w:t>
      </w:r>
      <w:r w:rsidRPr="00693132">
        <w:t>triktionerne i forbindelse med covid-19-pandemien besluttede ikke at ophæve den midlertidige afgørelse fra 2021 om at yde en godtgørelse på 145 EUR for medlemmernes fjerndeltagelse i møder, som forblev i kraft indtil den 25. maj 2023, hvor en ny rådsafgøre</w:t>
      </w:r>
      <w:r w:rsidRPr="00693132">
        <w:t>lse blev vedtaget med en fast sats på 145 EUR pr. dag for fjerndeltagelse i møder; mener, at fjerndeltagelse er et vigtigt instrument for moderne institutioner, eftersom det bl.a. reducerer omkostningerne til møder og giver mulighed for bredere deltagelse,</w:t>
      </w:r>
      <w:r w:rsidRPr="00693132">
        <w:t xml:space="preserve"> navnlig i krisesituationer, som det blev demonstreret under covid-19-pandemien; mener ikke desto mindre, at det er vanskeligt for offentligheden at forstå en godtgørelse for fjerndeltagelse, selv om den er blevet reduceret, og dette gælder så meget desto </w:t>
      </w:r>
      <w:r w:rsidRPr="00693132">
        <w:t>mere, når der tages hensyn til forskellen i det beløb, der udbetales til udvalgets medlemmer og Regionsudvalgets medlemmer for fjerndeltagelse;</w:t>
      </w:r>
      <w:r w:rsidRPr="00693132">
        <w:rPr>
          <w:rStyle w:val="normaltextrun"/>
          <w:rFonts w:asciiTheme="minorHAnsi" w:hAnsiTheme="minorHAnsi"/>
        </w:rPr>
        <w:t xml:space="preserve"> </w:t>
      </w:r>
      <w:r w:rsidRPr="00693132">
        <w:t>noterer sig de forskellige kontrollag, der er foretaget for at bevise, at et medlem deltager i et møde på afstan</w:t>
      </w:r>
      <w:r w:rsidRPr="00693132">
        <w:t>d forud for udbetalingen af godtgørelsen; forstår, at deltagelse i møder på afstand gjorde det muligt for udvalget at fungere under covid-19-pandemien, og at den tid, medlemmerne brugte på at forberede og deltage i fjernmøder, er den samme som den tid, der</w:t>
      </w:r>
      <w:r w:rsidRPr="00693132">
        <w:t xml:space="preserve"> bruges på at forberede og deltage i fysiske møder;</w:t>
      </w:r>
    </w:p>
    <w:p w:rsidR="00D43DB3" w:rsidRPr="00693132" w:rsidRDefault="00693132" w:rsidP="00693132">
      <w:pPr>
        <w:pStyle w:val="NormalHanging12a"/>
      </w:pPr>
      <w:r w:rsidRPr="00693132">
        <w:t>13.</w:t>
      </w:r>
      <w:r w:rsidRPr="00693132">
        <w:tab/>
        <w:t>bemærker, at Ruslands angrebskrig mod Ukraine skabte et budgetpres på udvalget, herunder gennem stigende inflation og løntilpasninger, stærkt stigende energiomkostninger og byggeomkostninger og omkost</w:t>
      </w:r>
      <w:r w:rsidRPr="00693132">
        <w:t>ninger til råvarer; bemærker navnlig, at energiomkostningerne steg fra 726 000 EUR til 3 125 000 EUR mellem 2021 og 2022, dvs. en stigning på 330 %; bemærker, at ad hoc-aktiviteter til støtte for det ukrainske civilsamfund førte til direkte og indirekte om</w:t>
      </w:r>
      <w:r w:rsidRPr="00693132">
        <w:t>kostninger såsom omkostninger i forbindelse med oversættelse og tolkning til og fra ukrainsk, værtskabet for ukrainske NGO'er samt sikkerhedstjenester og uddannelse i forbindelse med tjenesterejser til Ukraine;</w:t>
      </w:r>
    </w:p>
    <w:p w:rsidR="00D43DB3" w:rsidRPr="00693132" w:rsidRDefault="00693132" w:rsidP="00693132">
      <w:pPr>
        <w:pStyle w:val="NormalHanging12a"/>
        <w:rPr>
          <w:b/>
          <w:i/>
        </w:rPr>
      </w:pPr>
      <w:r w:rsidRPr="00693132">
        <w:t>14.</w:t>
      </w:r>
      <w:r w:rsidRPr="00693132">
        <w:tab/>
        <w:t>bemærker, at budgettet for 2022 til perso</w:t>
      </w:r>
      <w:r w:rsidRPr="00693132">
        <w:t>nalets tjenesterejser steg med 25 000 EUR i forhold til 2021, hvilket blev finansieret ved en budgetoverførsel for at dække højere udgifter som følge af stigningen i fly- og hotelpriserne i 2022, og beløb sig til i alt 398 974 EUR; bemærker, at udvalgets f</w:t>
      </w:r>
      <w:r w:rsidRPr="00693132">
        <w:t>ormand i 2022 deltog i 26 tjenesterejser med samlede udgifter på 38 042 EUR sammenlignet med 12 tjenesterejser med samlede udgifter på 15 327 EUR i 2021 efter ophævelsen af rejserestriktionerne efter covid-19-pandemiens afslutning;</w:t>
      </w:r>
    </w:p>
    <w:p w:rsidR="00D43DB3" w:rsidRPr="00693132" w:rsidRDefault="00693132" w:rsidP="00693132">
      <w:pPr>
        <w:pStyle w:val="NormalHanging12a"/>
        <w:rPr>
          <w:b/>
          <w:i/>
        </w:rPr>
      </w:pPr>
      <w:r w:rsidRPr="00693132">
        <w:rPr>
          <w:b/>
          <w:i/>
        </w:rPr>
        <w:lastRenderedPageBreak/>
        <w:t>Intern forvaltning, perf</w:t>
      </w:r>
      <w:r w:rsidRPr="00693132">
        <w:rPr>
          <w:b/>
          <w:i/>
        </w:rPr>
        <w:t>ormance og intern kontrol</w:t>
      </w:r>
    </w:p>
    <w:p w:rsidR="00D43DB3" w:rsidRPr="00693132" w:rsidRDefault="00693132" w:rsidP="00693132">
      <w:pPr>
        <w:pStyle w:val="NormalHanging12a"/>
      </w:pPr>
      <w:r w:rsidRPr="00693132">
        <w:t>15.</w:t>
      </w:r>
      <w:r w:rsidRPr="00693132">
        <w:tab/>
        <w:t xml:space="preserve">bemærker, at udvalget varetager sin opgave gennem udtalelser, som henviser til lovgivningsforslag fra Kommissionen (høringsanmodninger), initiativudtalelser, som opfordrer EU-institutionerne til at træffe foranstaltninger, og </w:t>
      </w:r>
      <w:r w:rsidRPr="00693132">
        <w:t>sonderende udtalelser, som indgår i Kommissionens arbejde vedrørende planlagte initiativer, og at udvalgets holdninger kan fremhæves i beslutninger eller medtages i evaluerings- og informationsrapporter; bemærker, at udvalget i 2022 vedtog 202 udtalelser o</w:t>
      </w:r>
      <w:r w:rsidRPr="00693132">
        <w:t>g rapporter, hvilket er i overensstemmelse med dets gennemsnitlige årlige resultater, bortset fra 2019 og 2020, hvor udvalgets aktivitet var lavere; bemærker, at udvalget også øgede sit engagement i den politiske og lovgivningsmæssige cyklus ved at deltage</w:t>
      </w:r>
      <w:r w:rsidRPr="00693132">
        <w:t xml:space="preserve"> i 345 møder, topmøder og konferencer på højt nationalt plan, EU-plan og internationalt plan og ved at tilrettelægge 116 høringer og 29 konferencer;</w:t>
      </w:r>
    </w:p>
    <w:p w:rsidR="00D43DB3" w:rsidRPr="00693132" w:rsidRDefault="00693132" w:rsidP="00693132">
      <w:pPr>
        <w:pStyle w:val="NormalHanging12a"/>
      </w:pPr>
      <w:r w:rsidRPr="00693132">
        <w:t>16.</w:t>
      </w:r>
      <w:r w:rsidRPr="00693132">
        <w:tab/>
        <w:t>noterer sig med tilfredshed de projekter, der blev iværksat i 2022 i forbindelse med styrkede opfølgend</w:t>
      </w:r>
      <w:r w:rsidRPr="00693132">
        <w:t>e udtalelser med henblik på at øge rækkevidden og virkningen af udvalgte udtalelser og forbedre udvalgets kapacitet til at prioritere sit arbejde og med hensyn til at forbedre rettidigheden af udvalgets udtalelser; bemærker, at disse initiativer ved udgang</w:t>
      </w:r>
      <w:r w:rsidRPr="00693132">
        <w:t>en af 2022 blev suppleret med overvejelser om udtalelsernes format, hvis sigte var at fremme en mere effektiv og virkningsfuld anvendelse af udvalgets udtalelser i den lovgivningsmæssige beslutningsproces;</w:t>
      </w:r>
    </w:p>
    <w:p w:rsidR="00D43DB3" w:rsidRPr="00693132" w:rsidRDefault="00693132" w:rsidP="00693132">
      <w:pPr>
        <w:pStyle w:val="NormalHanging12a"/>
      </w:pPr>
      <w:r w:rsidRPr="00693132">
        <w:t>17.</w:t>
      </w:r>
      <w:r w:rsidRPr="00693132">
        <w:tab/>
        <w:t>bemærker, at Parlamentets medlemmer i 2022 del</w:t>
      </w:r>
      <w:r w:rsidRPr="00693132">
        <w:t>tog i møder eller arrangementer organiseret af udvalget ved 68 lejligheder, hvilket var næsten samme niveau som i 2021, mens udvalgets medlemmer næsten fordoblede deres deltagelse i arrangementer, som Parlamentet afholdt i samme periode; glæder sig over, a</w:t>
      </w:r>
      <w:r w:rsidRPr="00693132">
        <w:t>t udvalget i 2022 fokuserede på at intensivere sine forbindelser med Parlamentet og på at fremme udvalgets merværdi og dermed skabe endnu tættere forbindelser mellem udvalgets sektioner og de parlamentariske udvalg;</w:t>
      </w:r>
    </w:p>
    <w:p w:rsidR="00D43DB3" w:rsidRPr="00693132" w:rsidRDefault="00693132" w:rsidP="00693132">
      <w:pPr>
        <w:pStyle w:val="NormalHanging12a"/>
      </w:pPr>
      <w:r w:rsidRPr="00693132">
        <w:t>18.</w:t>
      </w:r>
      <w:r w:rsidRPr="00693132">
        <w:tab/>
        <w:t xml:space="preserve">bemærker, at udvalget fortsatte med </w:t>
      </w:r>
      <w:r w:rsidRPr="00693132">
        <w:t>at styrke sin interne kontrolramme i 2022 med forenklingen af de finansielle kredsløb under proceduren "Kontrolprocedure light" for visse transaktioner af lav værdi og med at udvikle sin politik for følsomme stillinger, som anbefalet af Revisionsretten i d</w:t>
      </w:r>
      <w:r w:rsidRPr="00693132">
        <w:t>ens årsberetning for regnskabsåret 2019; bemærker, at udvalget på grundlag af ajourføringen af listen over følsomme stillinger i hele 2022 og på tidspunktet for offentliggørelsen af den ajourførte liste over 36 stillinger i begyndelsen af 2023 stadig arbej</w:t>
      </w:r>
      <w:r w:rsidRPr="00693132">
        <w:t>dede på at revidere metoden og risikostyringssystemet under hensyntagen til både institutionens størrelse og arten af dens aktiviteter; anmoder udvalget om at underrette dechargemyndigheden om de fremskridt, der er gjort med hensyn til gennemførelsen af me</w:t>
      </w:r>
      <w:r w:rsidRPr="00693132">
        <w:t>toden for følsomme stillinger i 2023;</w:t>
      </w:r>
    </w:p>
    <w:p w:rsidR="00D43DB3" w:rsidRPr="00693132" w:rsidRDefault="00693132" w:rsidP="00693132">
      <w:pPr>
        <w:pStyle w:val="NormalHanging12a"/>
      </w:pPr>
      <w:r w:rsidRPr="00693132">
        <w:t>19.</w:t>
      </w:r>
      <w:r w:rsidRPr="00693132">
        <w:tab/>
        <w:t>glæder sig over udvalgets bestræbelser på at etablere en bedre defineret og mere konsekvent revisionsramme gennem færdiggørelsen af chartret for intern revision og chartret for revisionsudvalget med procedureregler</w:t>
      </w:r>
      <w:r w:rsidRPr="00693132">
        <w:t>, som blev godkendt af revisionsudvalget i december 2022 og vedtaget af præsidiet i begyndelsen af 2023; bemærker med tilfredshed, at udvalgets interne revisionsfunktion blev styrket i 2022, navnlig med ansættelsen af en administrator i Den Interne Revisio</w:t>
      </w:r>
      <w:r w:rsidRPr="00693132">
        <w:t>nstjeneste og tæt koordinering med RU's interne revisor i alle aspekter vedrørende revision af fælles tjenester; bemærker, at der blev iværksat fire revisioner i 2022 om følgende emner; forsinkede betalinger, mødetilladelser, den strategiske cyklus og udvæ</w:t>
      </w:r>
      <w:r w:rsidRPr="00693132">
        <w:t xml:space="preserve">lgelse af </w:t>
      </w:r>
      <w:r w:rsidRPr="00693132">
        <w:lastRenderedPageBreak/>
        <w:t>delegerede til Den Rådgivende Kommission for Industrielle Ændringer;</w:t>
      </w:r>
    </w:p>
    <w:p w:rsidR="00D43DB3" w:rsidRPr="00693132" w:rsidRDefault="00693132" w:rsidP="00693132">
      <w:pPr>
        <w:pStyle w:val="NormalHanging12a"/>
        <w:rPr>
          <w:b/>
          <w:i/>
        </w:rPr>
      </w:pPr>
      <w:r w:rsidRPr="00693132">
        <w:rPr>
          <w:b/>
          <w:i/>
        </w:rPr>
        <w:t>Menneskelige ressourcer, ligestilling og personalets trivsel</w:t>
      </w:r>
    </w:p>
    <w:p w:rsidR="00D43DB3" w:rsidRPr="00693132" w:rsidRDefault="00693132" w:rsidP="00693132">
      <w:pPr>
        <w:pStyle w:val="NormalHanging12a"/>
      </w:pPr>
      <w:r w:rsidRPr="00693132">
        <w:t>20.</w:t>
      </w:r>
      <w:r w:rsidRPr="00693132">
        <w:tab/>
        <w:t>bemærker, at udvalget ved udgangen af 2022 havde i alt 706 medarbejdere sammenlignet med 699 i 2021; bemærker, a</w:t>
      </w:r>
      <w:r w:rsidRPr="00693132">
        <w:t>t der ved udgangen af 2022 var 50 kontraktansatte og 128 midlertidigt ansatte i udvalget, herunder 19 kontraktansatte og 3 midlertidigt ansatte med tidsubegrænset kontrakt; bemærker endvidere, at udvalget havde 12 vikarer og 7 eksterne medarbejdere, der ar</w:t>
      </w:r>
      <w:r w:rsidRPr="00693132">
        <w:t>bejdede på stedet, eksklusive eksterne tjenesteydere inden for logistik og IT; bemærker, at besættelsesgraden for stillingerne i stillingsfortegnelsen i 2022 var på 95,1 %;</w:t>
      </w:r>
    </w:p>
    <w:p w:rsidR="00D43DB3" w:rsidRPr="00693132" w:rsidRDefault="00693132" w:rsidP="00693132">
      <w:pPr>
        <w:pStyle w:val="NormalHanging12a"/>
      </w:pPr>
      <w:r w:rsidRPr="00693132">
        <w:t>21.</w:t>
      </w:r>
      <w:r w:rsidRPr="00693132">
        <w:tab/>
        <w:t xml:space="preserve">glæder sig over udvalgets fortsatte bestræbelser på at forbedre sin HR-ramme </w:t>
      </w:r>
      <w:r w:rsidRPr="00693132">
        <w:t xml:space="preserve">med henblik på at blive en attraktiv arbejdsgiver og en fuldt inklusiv arbejdsplads, hvor alle værdsættes og fuldt ud kan udvikle deres potentiale; bemærker, at den integrerede HR-strategi, der blev vedtaget i juni 2022, er formuleret omkring principperne </w:t>
      </w:r>
      <w:r w:rsidRPr="00693132">
        <w:t>om inklusion, fastholdelse, kompetencer og resultater; bemærker med tilfredshed, at en af de første opfølgende foranstaltninger var lanceringen af en medarbejdertilfredshedsundersøgelse i januar 2023 med fokus på personalets engagement;</w:t>
      </w:r>
    </w:p>
    <w:p w:rsidR="00D43DB3" w:rsidRPr="00693132" w:rsidRDefault="00693132" w:rsidP="00693132">
      <w:pPr>
        <w:pStyle w:val="NormalHanging12a"/>
      </w:pPr>
      <w:r w:rsidRPr="00693132">
        <w:t>22.</w:t>
      </w:r>
      <w:r w:rsidRPr="00693132">
        <w:tab/>
        <w:t>understreger, a</w:t>
      </w:r>
      <w:r w:rsidRPr="00693132">
        <w:t>t indslusning af nytilkomne udgør en vigtig faktor for strategisk tilpasning ved at sikre, at personalet informeres om de gældende regler og strategier i en institution; bemærker, at introduktionskurser for udvalgets nytilkomne blev genoptaget i april 2022</w:t>
      </w:r>
      <w:r w:rsidRPr="00693132">
        <w:t>; bemærker med tilfredshed, at udvalget har udviklet en mentorordning, hvor mentorer fik støtte og rådgivning i form af udveksling af bedste praksis for at tilpasse deres metoder til det hybride arbejdsmiljø;</w:t>
      </w:r>
    </w:p>
    <w:p w:rsidR="00D43DB3" w:rsidRPr="00693132" w:rsidRDefault="00693132" w:rsidP="00693132">
      <w:pPr>
        <w:pStyle w:val="NormalHanging12a"/>
      </w:pPr>
      <w:r w:rsidRPr="00693132">
        <w:t>23.</w:t>
      </w:r>
      <w:r w:rsidRPr="00693132">
        <w:tab/>
        <w:t>bemærker, at udvalget med henblik på en bed</w:t>
      </w:r>
      <w:r w:rsidRPr="00693132">
        <w:t>re fordeling af sine knappe ressourcer i 2022 bestilte en ekstern kortlægning af menneskelige ressourcer, som bekræftede den store arbejdsbyrde i mange forskellige tjenester i udvalget i lyset af de knappe ressourcer efter reduktionen af stillingsfortegnel</w:t>
      </w:r>
      <w:r w:rsidRPr="00693132">
        <w:t>sen i 2013; bemærker, at udvalget som opfølgning på den eksterne revision af HR-kortlægningen begyndte at udarbejde en handlingsplan, der omfatter foranstaltninger inden for rammerne af den integrerede HR-strategi, såsom en gennemgang af bedømmelses- og re</w:t>
      </w:r>
      <w:r w:rsidRPr="00693132">
        <w:t>sultatsystemet, udvikling af en intern kommunikationsstrategi, vedtagelse af den nye afgørelse om arbejdsvilkår og tilrettelæggelse af regelmæssig overvågning af personalets engagement; opfordrer udvalget til at give en opdatering om opfølgningen på HR-kor</w:t>
      </w:r>
      <w:r w:rsidRPr="00693132">
        <w:t>tlægningen i 2023;</w:t>
      </w:r>
    </w:p>
    <w:p w:rsidR="00D43DB3" w:rsidRPr="00693132" w:rsidRDefault="00693132" w:rsidP="00693132">
      <w:pPr>
        <w:pStyle w:val="NormalHanging12a"/>
      </w:pPr>
      <w:r w:rsidRPr="00693132">
        <w:t>24.</w:t>
      </w:r>
      <w:r w:rsidRPr="00693132">
        <w:tab/>
        <w:t>bemærker med tilfredshed, at en ny afgørelse om fleksible arbejdsordninger, som omfatter en fleksibel og tillidsbaseret politik for hybridarbejde, trådte i kraft den 1. april 2022 i form af et pilotprojekt, der sikrer en bred vifte a</w:t>
      </w:r>
      <w:r w:rsidRPr="00693132">
        <w:t>f ordninger for deltidsarbejde og fleksible daglige og ugentlige ordninger for personalet; bemærker, at omkring 25 % af kvinderne og 14,4 % af de mænd, der er ansat i udvalget, anvendte ikkestandardmæssige arbejdsordninger i 2022; bemærker, at afgørelsen o</w:t>
      </w:r>
      <w:r w:rsidRPr="00693132">
        <w:t>m arbejdsvilkår giver personalet mulighed for at telearbejde op til 60 % af deres arbejdstid, forudsat at det er foreneligt med tjenestens interesse, og for at telearbejde et andet sted end på tjenestestedet 15 dage pr. kalenderår; bemærker, at udvalgets p</w:t>
      </w:r>
      <w:r w:rsidRPr="00693132">
        <w:t>ersonale har det nødvendige udstyr til at have gode arbejdsvilkår, når de fjernarbejder;</w:t>
      </w:r>
    </w:p>
    <w:p w:rsidR="00D43DB3" w:rsidRPr="00693132" w:rsidRDefault="00693132" w:rsidP="00693132">
      <w:pPr>
        <w:pStyle w:val="NormalHanging12a"/>
      </w:pPr>
      <w:r w:rsidRPr="00693132">
        <w:t>25.</w:t>
      </w:r>
      <w:r w:rsidRPr="00693132">
        <w:tab/>
        <w:t xml:space="preserve">beklager, at udvalget heller ikke i 2022 var i stand til at fremlægge data om tilfælde af udbrændthed i udvalget; respekterer databeskyttelsesbegrænsningerne, men </w:t>
      </w:r>
      <w:r w:rsidRPr="00693132">
        <w:t xml:space="preserve">minder </w:t>
      </w:r>
      <w:r w:rsidRPr="00693132">
        <w:lastRenderedPageBreak/>
        <w:t>udvalget om betydningen af anonymiserede statistiske data inden for en institution med henblik på at understøtte ledelsesbeslutninger; gentager, at der bør tages hensyn til oplysningskampagner, god praksis i forbindelse med håndtering af arbejdsbyrd</w:t>
      </w:r>
      <w:r w:rsidRPr="00693132">
        <w:t>en, kommunikation og konfliktløsning samt en politik for tilbagevenden til arbejdet; forstår, at vedtagelsen af de nye arbejdsordninger er et positivt skridt i retning af en mere effektiv forebyggelse af udbrændthed på organisatorisk plan, som også bør tag</w:t>
      </w:r>
      <w:r w:rsidRPr="00693132">
        <w:t>e hensyn til resultaterne af kortlægningen af menneskelige ressourcer;</w:t>
      </w:r>
    </w:p>
    <w:p w:rsidR="00D43DB3" w:rsidRPr="00693132" w:rsidRDefault="00693132" w:rsidP="00693132">
      <w:pPr>
        <w:pStyle w:val="NormalHanging12a"/>
      </w:pPr>
      <w:r w:rsidRPr="00693132">
        <w:t>26.</w:t>
      </w:r>
      <w:r w:rsidRPr="00693132">
        <w:tab/>
        <w:t xml:space="preserve">bemærker, at udvalget i 2022 fortsat beskæftigede en høj andel af kvindelige medarbejdere (64,6 % af alt personale), herunder på mellemlederniveau (59 % af alle ledere); bemærker, </w:t>
      </w:r>
      <w:r w:rsidRPr="00693132">
        <w:t>at kvinders repræsentation i den øverste ledelse stadig skal forbedres, eftersom kun tre ud af syv topledere var kvinder ved udgangen af 2022; opfordrer udvalget til at fortsætte sine bestræbelser med hensyn til kønsbalance, navnlig gennem bevidstgørelse a</w:t>
      </w:r>
      <w:r w:rsidRPr="00693132">
        <w:t>f ansættelsesmyndigheden og sikring af, at sammensætningen af forskellige organer, herunder personalerekrutterings- og udvælgelsespaneler, forbliver kønsbalanceret;</w:t>
      </w:r>
    </w:p>
    <w:p w:rsidR="00D43DB3" w:rsidRPr="00693132" w:rsidRDefault="00693132" w:rsidP="00693132">
      <w:pPr>
        <w:pStyle w:val="NormalHanging12a"/>
      </w:pPr>
      <w:r w:rsidRPr="00693132">
        <w:t>27.</w:t>
      </w:r>
      <w:r w:rsidRPr="00693132">
        <w:tab/>
        <w:t>glæder sig over arbejdet hen imod vedtagelsen af en ny mangfoldigheds- og inklusionspol</w:t>
      </w:r>
      <w:r w:rsidRPr="00693132">
        <w:t>itik fra 2022 til 2023 i samråd med udvalgets ledelse, Det Paritetiske Ligestillingsudvalg og udvalgets personaleudvalg; bemærker, at der ud over de interne kommunikationstiltag, der blev gennemført, blev gennemført en specifik oplysningskampagne mod homof</w:t>
      </w:r>
      <w:r w:rsidRPr="00693132">
        <w:t>obi i december 2022; glæder sig over, at et særligt kursus i mangfoldighed og inklusion blev gjort obligatorisk for ledere og anbefalet for personalet, og at der blev tilbudt et særligt kursus om mangfoldighed og inklusion til udvalgets medlemmer som led i</w:t>
      </w:r>
      <w:r w:rsidRPr="00693132">
        <w:t xml:space="preserve"> deres årlige uddannelsesprogram; opfordrer udvalget til at fortsætte sine drøftelser med Parlamentet med henblik på at tilslutte sig Parlamentets program for positiv særbehandling af personer med handicap med henblik på at ansætte kontraktansatte med hand</w:t>
      </w:r>
      <w:r w:rsidRPr="00693132">
        <w:t>icap; gentager sin opfordring fra dechargeproceduren for 2021 til at færdiggøre en ajourført strategi og handlingsplan for mangfoldighed og inklusion;</w:t>
      </w:r>
    </w:p>
    <w:p w:rsidR="00D43DB3" w:rsidRPr="00693132" w:rsidRDefault="00693132" w:rsidP="00693132">
      <w:pPr>
        <w:pStyle w:val="NormalHanging12a"/>
      </w:pPr>
      <w:r w:rsidRPr="00693132">
        <w:t>28.</w:t>
      </w:r>
      <w:r w:rsidRPr="00693132">
        <w:tab/>
        <w:t>bemærker, at selv om alle medlemsstater er repræsenteret blandt udvalgets personale, kan den geografi</w:t>
      </w:r>
      <w:r w:rsidRPr="00693132">
        <w:t xml:space="preserve">ske balance stadig forbedres, da nogle nationaliteter fortsat er overrepræsenteret i forhold til andre; gentager sin opfordring til udvalget til fortsat at tage skridt til at opnå en reel afbalanceret geografisk fordeling af sit personale med særlig fokus </w:t>
      </w:r>
      <w:r w:rsidRPr="00693132">
        <w:t>på ledelsen;</w:t>
      </w:r>
    </w:p>
    <w:p w:rsidR="00D43DB3" w:rsidRPr="00693132" w:rsidRDefault="00693132" w:rsidP="00693132">
      <w:pPr>
        <w:pStyle w:val="NormalHanging12a"/>
      </w:pPr>
      <w:r w:rsidRPr="00693132">
        <w:t>29.</w:t>
      </w:r>
      <w:r w:rsidRPr="00693132">
        <w:tab/>
        <w:t>bemærker, at udvalget i 2022 tog imod i alt 52 praktikanter for en periode på fem måneder, fire praktikanter for en periode på tre måneder og to praktikanter, som modtog tilskud fra eksterne offentlige organer; bemærker, at alle praktikant</w:t>
      </w:r>
      <w:r w:rsidRPr="00693132">
        <w:t>er med et ophold af en varighed på fem måneder modtog et månedligt tilskud og godtgørelse, mens praktikanter med kortere ophold ikke var berettiget til noget finansielt bidrag; glæder sig over, at der også efter Parlamentets opfordring under dechargeproced</w:t>
      </w:r>
      <w:r w:rsidRPr="00693132">
        <w:t>uren for 2020 blev iværksat en revision af afgørelsen om udvalgets praktikophold i 2022 med det formål at ophøre med at tilbyde ulønnede kortvarige praktikophold og sikre, at alle praktikanter modtager en anstændig løn; understreger, at den nye afgørelse o</w:t>
      </w:r>
      <w:r w:rsidRPr="00693132">
        <w:t>m praktikophold trådte i kraft i juli 2023 og sikrede en månedlig indkomst samt rejse- og mobilitetsgodtgørelse og en invaliditetsydelse, hvor det er relevant, for praktikanter med ophold af både længere og kortere varighed;</w:t>
      </w:r>
    </w:p>
    <w:p w:rsidR="00D43DB3" w:rsidRPr="00693132" w:rsidRDefault="00693132" w:rsidP="00693132">
      <w:pPr>
        <w:pStyle w:val="NormalHanging12a"/>
        <w:keepNext/>
        <w:keepLines/>
        <w:rPr>
          <w:b/>
          <w:i/>
        </w:rPr>
      </w:pPr>
      <w:r w:rsidRPr="00693132">
        <w:rPr>
          <w:b/>
          <w:i/>
        </w:rPr>
        <w:t>Etiske rammer og gennemsigtighe</w:t>
      </w:r>
      <w:r w:rsidRPr="00693132">
        <w:rPr>
          <w:b/>
          <w:i/>
        </w:rPr>
        <w:t>d</w:t>
      </w:r>
    </w:p>
    <w:p w:rsidR="00D43DB3" w:rsidRPr="00693132" w:rsidRDefault="00693132" w:rsidP="00693132">
      <w:pPr>
        <w:pStyle w:val="NormalHanging12a"/>
      </w:pPr>
      <w:r w:rsidRPr="00693132">
        <w:lastRenderedPageBreak/>
        <w:t>30</w:t>
      </w:r>
      <w:r w:rsidRPr="00693132">
        <w:rPr>
          <w:b/>
          <w:i/>
        </w:rPr>
        <w:t>.</w:t>
      </w:r>
      <w:r w:rsidRPr="00693132">
        <w:rPr>
          <w:b/>
          <w:i/>
        </w:rPr>
        <w:tab/>
      </w:r>
      <w:r w:rsidRPr="00693132">
        <w:t>bemærker, at udvalget fortsatte sin interne reformproces med vedtagelsen af en ny forretningsorden i marts 2022 og gennemførelsesbestemmelserne hertil i november 2022; beklager stadig, at specifikke forbindelser mellem et medlem og en tjenestemand ik</w:t>
      </w:r>
      <w:r w:rsidRPr="00693132">
        <w:t>ke behandles særskilt i forbindelse med chikane; bemærker, at forretningsordenen nu er tilpasset og i overensstemmelse med den adfærdskodeks, der blev vedtaget i 2021 efter udvalgets interne revision af etik og integritet; anmoder udvalget om at underrette</w:t>
      </w:r>
      <w:r w:rsidRPr="00693132">
        <w:t xml:space="preserve"> Parlamentet om, hvorvidt en evaluering af gennemførelsen af handlingsplanen for revision af etik og integritet blev gennemført som planlagt, og hvad resultatet af denne evaluering var; glæder sig over de overvejelser, der blev indledt i 2022 med henblik p</w:t>
      </w:r>
      <w:r w:rsidRPr="00693132">
        <w:t>å at udarbejde et værdicharter for udvalgets personale efter en inklusiv og deltagelsesbaseret proces, som blev afsluttet og meddelt personalet i 2023;</w:t>
      </w:r>
    </w:p>
    <w:p w:rsidR="00D43DB3" w:rsidRPr="00693132" w:rsidRDefault="00693132" w:rsidP="00693132">
      <w:pPr>
        <w:pStyle w:val="NormalHanging12a"/>
      </w:pPr>
      <w:r w:rsidRPr="00693132">
        <w:t>31.</w:t>
      </w:r>
      <w:r w:rsidRPr="00693132">
        <w:tab/>
        <w:t>bemærker, at efter ikrafttrædelsen af udvalgets reviderede afgørelse om whistleblowing den 15. decem</w:t>
      </w:r>
      <w:r w:rsidRPr="00693132">
        <w:t>ber 2021 (afgørelse 297/21A) og af den reviderede afgørelse om procedurer for forebyggelse og bekæmpelse af psykologisk og seksuel chikane på arbejdspladsen (afgørelse 090/22A), der blev vedtaget den 31. marts 2022, forventes den fornyede etiske retlige ra</w:t>
      </w:r>
      <w:r w:rsidRPr="00693132">
        <w:t>mme at blive suppleret med en revideret afgørelse om generelle gennemførelsesbestemmelser for disciplinærprocedurer og administrative undersøgelser i 2023 i samordning med RU; bemærker, at der i 2022 blev vedtaget en ny afgørelse om arbejdsopgaver og ekste</w:t>
      </w:r>
      <w:r w:rsidRPr="00693132">
        <w:t>rne aktiviteter (afgørelse nr. 141/22A), som finder anvendelse på tjenstgørende personale, udstationeret personale og tidligere ansatte, i overensstemmelse med de bestemmelser i personalevedtægten, der var gældende på tidspunktet for udtrædelsen af tjenest</w:t>
      </w:r>
      <w:r w:rsidRPr="00693132">
        <w:t>en;</w:t>
      </w:r>
    </w:p>
    <w:p w:rsidR="00D43DB3" w:rsidRPr="00693132" w:rsidRDefault="00693132" w:rsidP="00693132">
      <w:pPr>
        <w:pStyle w:val="NormalHanging12a"/>
      </w:pPr>
      <w:r w:rsidRPr="00693132">
        <w:t>32.</w:t>
      </w:r>
      <w:r w:rsidRPr="00693132">
        <w:tab/>
        <w:t>bemærker, at udvalget i 2022 fortsatte med at uddanne personale og øge bevidstheden om den eksisterende etiske ramme, navnlig den nye adfærdskodeks, chikane og whistleblowing, og rollen og ansvarsområderne for de etiske rådgivere, hvis mandat begyn</w:t>
      </w:r>
      <w:r w:rsidRPr="00693132">
        <w:t>dte i januar 2022; bemærker, at 116 medarbejdere, herunder ledere og nytilkomne, i 2022 deltog i interne uddannelseskurser om etik, og at 26 medarbejdere deltog i kurser i etik, der blev afholdt af Kommissionen og Den Europæiske Forvaltningsskole; bemærker</w:t>
      </w:r>
      <w:r w:rsidRPr="00693132">
        <w:t>, at der blev udviklet og stillet et skræddersyet uddannelseskursus til rådighed for teamet af etiske rådgivere; glæder sig over, at 83 % af respondenterne i den medarbejdertilfredshedsundersøgelse, der blev iværksat i 2022, viste en stærk bevidsthed om et</w:t>
      </w:r>
      <w:r w:rsidRPr="00693132">
        <w:t>isk adfærd og den styrkede etiske ramme for udvalget;</w:t>
      </w:r>
    </w:p>
    <w:p w:rsidR="00D43DB3" w:rsidRPr="00693132" w:rsidRDefault="00693132" w:rsidP="00693132">
      <w:pPr>
        <w:pStyle w:val="NormalHanging12a"/>
        <w:rPr>
          <w:color w:val="000000" w:themeColor="text1"/>
        </w:rPr>
      </w:pPr>
      <w:r w:rsidRPr="00693132">
        <w:t>33.</w:t>
      </w:r>
      <w:r w:rsidRPr="00693132">
        <w:tab/>
        <w:t>bemærker med hensyn til de chikanesager, der blev rapporteret om i de seneste års dechargeprocedurer, at den sidste forligsaftale vedrørende sag OC/2018/0666/A1 fra Det Europæiske Kontor for Bekæmpe</w:t>
      </w:r>
      <w:r w:rsidRPr="00693132">
        <w:t>lse af Svig (OLAF) blev indgået den 1. oktober 2022, hvilket gjorde det muligt for udvalget fuldt ud at afslutte alle anmodninger om bistand i forbindelse med denne sag; glæder sig over, at udvalgets formand den 13. april 2022 fremsatte en offentlig erklær</w:t>
      </w:r>
      <w:r w:rsidRPr="00693132">
        <w:t>ing, der blev offentliggjort på udvalgets websted, og hvori hun på udvalgets vegne rettede sin officielle undskyldning til alle ofrene i den pågældende sag både de ansatte og det tidligere medlem;</w:t>
      </w:r>
      <w:r w:rsidRPr="00693132">
        <w:rPr>
          <w:color w:val="000000" w:themeColor="text1"/>
        </w:rPr>
        <w:t xml:space="preserve"> glæder sig over, at Domstolen ved sin afgørelse af den 6. o</w:t>
      </w:r>
      <w:r w:rsidRPr="00693132">
        <w:rPr>
          <w:color w:val="000000" w:themeColor="text1"/>
        </w:rPr>
        <w:t>ktober 2022 i sag C-673/21</w:t>
      </w:r>
      <w:r w:rsidRPr="00693132">
        <w:rPr>
          <w:rStyle w:val="FootnoteReference"/>
          <w:color w:val="000000" w:themeColor="text1"/>
        </w:rPr>
        <w:footnoteReference w:id="6"/>
      </w:r>
      <w:r w:rsidRPr="00693132">
        <w:rPr>
          <w:color w:val="000000" w:themeColor="text1"/>
        </w:rPr>
        <w:t xml:space="preserve"> bekræftede lovligheden af de foranstaltninger, der var truffet ved udvalgets præsidiums afgørelse af 9. juni 2020;</w:t>
      </w:r>
    </w:p>
    <w:p w:rsidR="00D43DB3" w:rsidRPr="00693132" w:rsidRDefault="00693132" w:rsidP="00693132">
      <w:pPr>
        <w:pStyle w:val="NormalHanging12a"/>
      </w:pPr>
      <w:r w:rsidRPr="00693132">
        <w:t>34.</w:t>
      </w:r>
      <w:r w:rsidRPr="00693132">
        <w:tab/>
        <w:t>gentager sin opfordring til udvalget om en ekstern og uafhængig undersøgelse med henblik på specifikt at genn</w:t>
      </w:r>
      <w:r w:rsidRPr="00693132">
        <w:t xml:space="preserve">emgå udvalgets procedurer for menneskelige ressourcer og </w:t>
      </w:r>
      <w:r w:rsidRPr="00693132">
        <w:lastRenderedPageBreak/>
        <w:t>effektiviteten heraf med fokus på at identificere det administrative hierarkis ansvar med hensyn til håndtering af påstande om chikane og sikring af personalets trivsel; afviser på trods af de forans</w:t>
      </w:r>
      <w:r w:rsidRPr="00693132">
        <w:t>taltninger, der er truffet for at styrke udvalgets etiske rammer i de seneste år, udvalgets holdning om, at en sådan undersøgelse ikke er nødvendig, eftersom de gældende foranstaltninger gjorde det muligt at behandle chikanesagen, og minder om, at Parlamen</w:t>
      </w:r>
      <w:r w:rsidRPr="00693132">
        <w:t>tet allerede har udtrykt bekymring over udvalgets langsomme reaktion i de pågældende sager;</w:t>
      </w:r>
    </w:p>
    <w:p w:rsidR="00D43DB3" w:rsidRPr="00693132" w:rsidRDefault="00693132" w:rsidP="00693132">
      <w:pPr>
        <w:spacing w:after="240"/>
        <w:ind w:left="567" w:hanging="567"/>
        <w:rPr>
          <w:szCs w:val="24"/>
        </w:rPr>
      </w:pPr>
      <w:r w:rsidRPr="00693132">
        <w:t>35.</w:t>
      </w:r>
      <w:r w:rsidRPr="00693132">
        <w:tab/>
        <w:t>bemærker, at fire igangværende sager om påstået chikane stadig var under behandling i udvalget i 2022; anmoder udvalget om rettidigt at underrette Parlamentet o</w:t>
      </w:r>
      <w:r w:rsidRPr="00693132">
        <w:t>m opfølgningen på disse sager; bemærker med tilfredshed, at der ikke blev indberettet nye tilfælde af påstået chikane i udvalget vedrørende hverken dets ansatte eller dets medlemmer i 2022, men er bekendt med, at påstande om chikane, der involverer en ansa</w:t>
      </w:r>
      <w:r w:rsidRPr="00693132">
        <w:t>t i udvalget, blev indberettet i en anden institution i 2022; anmoder udvalget om at holde Parlamentet underrettet om opfølgningen på denne sag i samarbejde med den anden berørte institution;</w:t>
      </w:r>
    </w:p>
    <w:p w:rsidR="00D43DB3" w:rsidRPr="00693132" w:rsidRDefault="00693132" w:rsidP="00693132">
      <w:pPr>
        <w:spacing w:after="240"/>
        <w:ind w:left="567" w:hanging="567"/>
        <w:rPr>
          <w:szCs w:val="24"/>
        </w:rPr>
      </w:pPr>
      <w:r w:rsidRPr="00693132">
        <w:t>36.</w:t>
      </w:r>
      <w:r w:rsidRPr="00693132">
        <w:tab/>
        <w:t>bemærker, at udvalget er en civil part i de verserende retss</w:t>
      </w:r>
      <w:r w:rsidRPr="00693132">
        <w:t>ager, som de belgiske nationale myndigheder har indledt mod et tidligere medlem, der er anklaget for at have begået forseelser, og som i øjeblikket er anlagt ved den belgiske domstol og afventer en afgørelse; anmoder udvalget om rettidigt at underrette Par</w:t>
      </w:r>
      <w:r w:rsidRPr="00693132">
        <w:t>lamentet om sagens udvikling;</w:t>
      </w:r>
    </w:p>
    <w:p w:rsidR="00D43DB3" w:rsidRPr="00693132" w:rsidRDefault="00693132" w:rsidP="00693132">
      <w:pPr>
        <w:spacing w:after="240"/>
        <w:ind w:left="567" w:hanging="567"/>
        <w:rPr>
          <w:szCs w:val="24"/>
        </w:rPr>
      </w:pPr>
      <w:r w:rsidRPr="00693132">
        <w:t>37.</w:t>
      </w:r>
      <w:r w:rsidRPr="00693132">
        <w:tab/>
        <w:t>bemærker, at der formelt blev åbnet tre whistleblowersager af enten medlemmer eller ansatte i 2022; bemærker, at alle tre sager blev behandlet og afsluttet hurtigt med behørig respekt for beskyttelsen af whistleblowere i o</w:t>
      </w:r>
      <w:r w:rsidRPr="00693132">
        <w:t>verensstemmelse med afgørelsen om whistleblowing (afgørelse 297/21A); bemærker endvidere, at to tilfælde af potentiel whistleblowing blev forelagt for de etiske rådgivere i 2022, men at ingen af dem blev bekræftet;</w:t>
      </w:r>
    </w:p>
    <w:p w:rsidR="00D43DB3" w:rsidRPr="00693132" w:rsidRDefault="00693132" w:rsidP="00693132">
      <w:pPr>
        <w:spacing w:after="240"/>
        <w:ind w:left="567" w:hanging="567"/>
        <w:rPr>
          <w:szCs w:val="24"/>
        </w:rPr>
      </w:pPr>
      <w:r w:rsidRPr="00693132">
        <w:t>38.</w:t>
      </w:r>
      <w:r w:rsidRPr="00693132">
        <w:tab/>
        <w:t>påskønner udvalgets vilje til at sama</w:t>
      </w:r>
      <w:r w:rsidRPr="00693132">
        <w:t>rbejde med Unionens undersøgelsesorganer (OLAF og Den Europæiske Anklagemyndighed (EPPO)); bemærker, at OLAF i 2022 afsluttede to sager om påstået uretmæssig tilegnelse af EU-midler og mulige uregelmæssigheder og alvorlige forseelser vedrørende to medlemme</w:t>
      </w:r>
      <w:r w:rsidRPr="00693132">
        <w:t xml:space="preserve">r i mangel af beviser for svig og konklusioner; bemærker, at OLAF indledte tre nye sager mod medlemmer vedrørende potentiel svig i 2023, hvoraf to blev afsluttet samme år og fremsendt til EPPO til undersøgelse; bemærker, at OLAF henviste én sag vedrørende </w:t>
      </w:r>
      <w:r w:rsidRPr="00693132">
        <w:t>et medlems påståede overtrædelse af adfærdskodeksen til udvalgets etiske udvalg; anmoder udvalget om rettidigt at underrette Parlamentet om opfølgningen på denne sag;</w:t>
      </w:r>
    </w:p>
    <w:p w:rsidR="00D43DB3" w:rsidRPr="00693132" w:rsidRDefault="00693132" w:rsidP="00693132">
      <w:pPr>
        <w:spacing w:after="240"/>
        <w:ind w:left="567" w:hanging="567"/>
        <w:rPr>
          <w:szCs w:val="24"/>
        </w:rPr>
      </w:pPr>
      <w:r w:rsidRPr="00693132">
        <w:t>39.</w:t>
      </w:r>
      <w:r w:rsidRPr="00693132">
        <w:tab/>
        <w:t>lykønsker udvalget for at træffe beslutningen om formelt pr. 1 juni 2023 at tilslutte</w:t>
      </w:r>
      <w:r w:rsidRPr="00693132">
        <w:t xml:space="preserve"> sig EU's åbenhedsregister, der blev oprettet ved den interinstitutionelle aftale af 20. maj 2021 mellem Europa-Parlamentet, Rådet for Den Europæiske Union og Europa-Kommissionen om et obligatorisk åbenhedsregister</w:t>
      </w:r>
      <w:r w:rsidRPr="00693132">
        <w:rPr>
          <w:szCs w:val="24"/>
          <w:vertAlign w:val="superscript"/>
        </w:rPr>
        <w:footnoteReference w:id="7"/>
      </w:r>
      <w:r w:rsidRPr="00693132">
        <w:t>; bemærker, at udvalget den 21. marts 202</w:t>
      </w:r>
      <w:r w:rsidRPr="00693132">
        <w:t>3 vedtog flere åbenhedsforanstaltninger i overensstemmelse med de principper, der er fastlagt med hensyn til EU's åbenhedsregister, såsom en henstilling til medlemmer, der varetager formandskab, om kun mødes med registrerede interessenter, forpligtelsen fo</w:t>
      </w:r>
      <w:r w:rsidRPr="00693132">
        <w:t xml:space="preserve">r medlemmer, der varetager formandskab, til at offentliggøre deres lister </w:t>
      </w:r>
      <w:r w:rsidRPr="00693132">
        <w:lastRenderedPageBreak/>
        <w:t>over møder og indførelsen af et frivilligt lovgivningsmæssigt "fodaftryk" for ordførere;</w:t>
      </w:r>
    </w:p>
    <w:p w:rsidR="00D43DB3" w:rsidRPr="00693132" w:rsidRDefault="00693132" w:rsidP="00693132">
      <w:pPr>
        <w:spacing w:after="240"/>
        <w:ind w:left="567" w:hanging="567"/>
        <w:rPr>
          <w:szCs w:val="24"/>
        </w:rPr>
      </w:pPr>
      <w:r w:rsidRPr="00693132">
        <w:t>40.</w:t>
      </w:r>
      <w:r w:rsidRPr="00693132">
        <w:tab/>
        <w:t>beklager, at udvalget har indført en række foranstaltninger til forebyggelse af svig, men</w:t>
      </w:r>
      <w:r w:rsidRPr="00693132">
        <w:t xml:space="preserve"> ikke har indført en integreret strategi for bekæmpelse af svig; bemærker med tilfredshed, at udvalget har udarbejdet en opgørelse over de områder, der er relevante for iværksættelsen af en intern analyse af risikoen for svig, såsom politikker og procedure</w:t>
      </w:r>
      <w:r w:rsidRPr="00693132">
        <w:t>r, personaleuddannelse og samarbejde med andre organer, med henblik på at forbedre rammen for bekæmpelse af svig;</w:t>
      </w:r>
    </w:p>
    <w:p w:rsidR="00D43DB3" w:rsidRPr="00693132" w:rsidRDefault="00693132" w:rsidP="00693132">
      <w:pPr>
        <w:pStyle w:val="NormalHanging12a"/>
        <w:rPr>
          <w:b/>
          <w:i/>
        </w:rPr>
      </w:pPr>
      <w:r w:rsidRPr="00693132">
        <w:rPr>
          <w:b/>
          <w:i/>
        </w:rPr>
        <w:t>Digitalisering, cybersikkerhed og databeskyttelse</w:t>
      </w:r>
    </w:p>
    <w:p w:rsidR="00D43DB3" w:rsidRPr="00693132" w:rsidRDefault="00693132" w:rsidP="00693132">
      <w:pPr>
        <w:pStyle w:val="NormalHanging12a"/>
      </w:pPr>
      <w:r w:rsidRPr="00693132">
        <w:t>41.</w:t>
      </w:r>
      <w:r w:rsidRPr="00693132">
        <w:tab/>
        <w:t>bemærker, at udvalgets og RU's samlede IT-budget beløb sig til 11 712 000 EUR i 2022, he</w:t>
      </w:r>
      <w:r w:rsidRPr="00693132">
        <w:t>runder en forhøjelse på 750 000 EUR gennem en intern budgetoverførsel i løbet af året sammenlignet med 12 860 000 EUR i 2021, dvs. et fald på 9 %;</w:t>
      </w:r>
    </w:p>
    <w:p w:rsidR="00D43DB3" w:rsidRPr="00693132" w:rsidRDefault="00693132" w:rsidP="00693132">
      <w:pPr>
        <w:pStyle w:val="NormalHanging12a"/>
      </w:pPr>
      <w:r w:rsidRPr="00693132">
        <w:t>42</w:t>
      </w:r>
      <w:r w:rsidRPr="00693132">
        <w:tab/>
        <w:t>bemærker, at udvalget har en digital strategi, der har til formål at levere IT-tjenester i overensstemmels</w:t>
      </w:r>
      <w:r w:rsidRPr="00693132">
        <w:t>e med bedste praksis inden for IT-forvaltning, samtidig med at anvendelsen af menneskelige og finansielle ressourcer optimeres; bemærker, at udvalget arbejdede på tilpasning og udvikling af flere strategiske IT-værktøjer i løbet af 2022 med henblik på at ø</w:t>
      </w:r>
      <w:r w:rsidRPr="00693132">
        <w:t>ge effektiviteten af udvalgets politiske arbejde og af dets administrative processer og arbejdsgange; bemærker, at det vigtigste IT-infrastrukturprojekt i 2022 vedrørte en tilpasning af den netværkstypologi, der var nødvendig for det nye computerrum i Jacq</w:t>
      </w:r>
      <w:r w:rsidRPr="00693132">
        <w:t>ues Delors-bygningen (JDE) i overensstemmelse med den hybride cloudkøreplan;</w:t>
      </w:r>
    </w:p>
    <w:p w:rsidR="00D43DB3" w:rsidRPr="00693132" w:rsidRDefault="00693132" w:rsidP="00693132">
      <w:pPr>
        <w:pStyle w:val="NormalHanging12a"/>
      </w:pPr>
      <w:r w:rsidRPr="00693132">
        <w:t>43.</w:t>
      </w:r>
      <w:r w:rsidRPr="00693132">
        <w:tab/>
        <w:t>bemærker, at udvalget øgede antallet af hybridmøder i 2022 for at tilpasse sig hybridarbejde og optimere sin arbejdsmåde, navnlig ved at reducere antallet af tjenesterejser; f</w:t>
      </w:r>
      <w:r w:rsidRPr="00693132">
        <w:t>orstår, at denne nye måde at arbejde på krævede en teknisk opgradering med hensyn til udstyr til hybridmødelokaler;</w:t>
      </w:r>
    </w:p>
    <w:p w:rsidR="00D43DB3" w:rsidRPr="00693132" w:rsidRDefault="00693132" w:rsidP="00693132">
      <w:pPr>
        <w:pStyle w:val="NormalHanging12a"/>
      </w:pPr>
      <w:r w:rsidRPr="00693132">
        <w:t>44.</w:t>
      </w:r>
      <w:r w:rsidRPr="00693132">
        <w:tab/>
        <w:t>bemærker, at udvalget ikke blev udsat for cyberangreb i 2022; bemærker, at udvalgets og RU's nye fælles direktorat for innovation og inf</w:t>
      </w:r>
      <w:r w:rsidRPr="00693132">
        <w:t>ormationsteknologi omfatter en enhed for digitale platforme, der bl.a. er ansvarlig for cybersikkerhed; anmoder udvalget om at underrette dechargemyndigheden om, hvordan oprettelsen af denne nye struktur bidrog til at forbedre dets personales cybersikkerhe</w:t>
      </w:r>
      <w:r w:rsidRPr="00693132">
        <w:t>dsberedskab i overensstemmelse med cybersikkerhedsrammen fra National Institute of Standards and Technology (NIST) og i samarbejde med IT-Beredskabsenheden for EU's Institutioner, Organer og Agenturer (CERT-EU);</w:t>
      </w:r>
    </w:p>
    <w:p w:rsidR="00D43DB3" w:rsidRPr="00693132" w:rsidRDefault="00693132" w:rsidP="00693132">
      <w:pPr>
        <w:pStyle w:val="NormalHanging12a"/>
      </w:pPr>
      <w:r w:rsidRPr="00693132">
        <w:t>45.</w:t>
      </w:r>
      <w:r w:rsidRPr="00693132">
        <w:tab/>
        <w:t>glæder sig over udvalgets bestræbelser p</w:t>
      </w:r>
      <w:r w:rsidRPr="00693132">
        <w:t>å at fremme open source-teknologi i sine egne systemer, navnlig de vigtigste operationelle applikationer, der anvendes til at forvalte udvalgets politiske arbejde ("Agora" og "Phoenix"); bemærker endvidere, at udvalget følger anvendelsen af open source-tek</w:t>
      </w:r>
      <w:r w:rsidRPr="00693132">
        <w:t>nologier i sin årlige IT-portefølje, således at de anvendes på nye applikationer;</w:t>
      </w:r>
    </w:p>
    <w:p w:rsidR="00D43DB3" w:rsidRPr="00693132" w:rsidRDefault="00693132" w:rsidP="00693132">
      <w:pPr>
        <w:spacing w:after="240"/>
        <w:ind w:left="567" w:hanging="567"/>
        <w:rPr>
          <w:szCs w:val="24"/>
        </w:rPr>
      </w:pPr>
      <w:r w:rsidRPr="00693132">
        <w:t>46.</w:t>
      </w:r>
      <w:r w:rsidRPr="00693132">
        <w:tab/>
        <w:t xml:space="preserve">bemærker, at udvalget i 2022 gjorde fremskridt hen imod vedtagelsen af en ny ramme for håndtering af dokumenter med henblik på at øge gennemsigtigheden og </w:t>
      </w:r>
      <w:r w:rsidRPr="00693132">
        <w:t>tilgængeligheden; bemærker med interesse, at udvalget begyndte at evaluere den tekniske gennemførlighed og de finansielle konsekvenser af at anvende Kommissionens system til elektronisk forvaltning af dokumenter (Ares) på et senere tidspunkt;</w:t>
      </w:r>
    </w:p>
    <w:p w:rsidR="00D43DB3" w:rsidRPr="00693132" w:rsidRDefault="00693132" w:rsidP="00693132">
      <w:pPr>
        <w:pStyle w:val="NormalHanging12a"/>
        <w:ind w:left="0" w:firstLine="0"/>
        <w:rPr>
          <w:b/>
          <w:i/>
        </w:rPr>
      </w:pPr>
      <w:r w:rsidRPr="00693132">
        <w:rPr>
          <w:b/>
          <w:i/>
        </w:rPr>
        <w:lastRenderedPageBreak/>
        <w:t xml:space="preserve">Bygninger </w:t>
      </w:r>
    </w:p>
    <w:p w:rsidR="00D43DB3" w:rsidRPr="00693132" w:rsidRDefault="00693132" w:rsidP="00693132">
      <w:pPr>
        <w:spacing w:after="240"/>
        <w:ind w:left="567" w:hanging="567"/>
        <w:rPr>
          <w:szCs w:val="24"/>
        </w:rPr>
      </w:pPr>
      <w:r w:rsidRPr="00693132">
        <w:t>47</w:t>
      </w:r>
      <w:r w:rsidRPr="00693132">
        <w:t>.</w:t>
      </w:r>
      <w:r w:rsidRPr="00693132">
        <w:tab/>
        <w:t>bemærker, at udvalget og RU mistede 5 000 m² i kontorarealer efter overtagelsen af lejekontrakten for EU-Udenrigstjenestens tidligere bygning i Belliard 100 (B100), som trådte i kraft i september 2021, og udvekslingen af bygninger mellem udvalget og RU's</w:t>
      </w:r>
      <w:r w:rsidRPr="00693132">
        <w:t xml:space="preserve"> Belliard 68 (B68) og Trèves 74 (TRE74) og Kommissionens Van Maerlant 2 (VMA), som trådte i kraft i september 2022; bemærker, at indretningsarbejder i de to nyerhvervede bygninger var nødvendige for at muliggøre en tættere anvendelse af kontorlokalerne; gl</w:t>
      </w:r>
      <w:r w:rsidRPr="00693132">
        <w:t>æder sig over oprettelsen i 2022 af en fælles taskforce om nye arbejdsmetoder med henblik på at overveje en mulig optimering af den måde, hvorpå arbejdet tilrettelægges, og hvordan kontorlokalerne anvendes, samtidig med at miljøaftrykket reduceres;</w:t>
      </w:r>
    </w:p>
    <w:p w:rsidR="00D43DB3" w:rsidRPr="00693132" w:rsidRDefault="00693132" w:rsidP="00693132">
      <w:pPr>
        <w:pStyle w:val="NormalHanging12a"/>
      </w:pPr>
      <w:r w:rsidRPr="00693132">
        <w:t>48.</w:t>
      </w:r>
      <w:r w:rsidRPr="00693132">
        <w:tab/>
        <w:t>bem</w:t>
      </w:r>
      <w:r w:rsidRPr="00693132">
        <w:t>ærker, at det samlede budget, som udvalget og RU i 2021 og 2022 forpligtede til renovering af VMA-bygningen fra tredje til niende sal, beløb sig til 9,54 mio. EUR; bemærker, at udvalgets og RU's renoveringsarbejde integrerede anvendelsen af intelligente en</w:t>
      </w:r>
      <w:r w:rsidRPr="00693132">
        <w:t>ergibesparende teknologier med en stærk miljøkomponent; anmoder udvalget om at give en opdatering om afkastet af investeringerne i disse teknologiske anlæg;</w:t>
      </w:r>
    </w:p>
    <w:p w:rsidR="00D43DB3" w:rsidRPr="00693132" w:rsidRDefault="00693132" w:rsidP="00693132">
      <w:pPr>
        <w:spacing w:after="240"/>
        <w:ind w:left="567" w:hanging="567"/>
        <w:rPr>
          <w:szCs w:val="24"/>
        </w:rPr>
      </w:pPr>
      <w:r w:rsidRPr="00693132">
        <w:t>49.</w:t>
      </w:r>
      <w:r w:rsidRPr="00693132">
        <w:tab/>
        <w:t>bemærker, at udvalgets og RU's bygningsstrategi i 2022 fokuserede på den geografiske koncentrat</w:t>
      </w:r>
      <w:r w:rsidRPr="00693132">
        <w:t>ion af bygningerne, som blev opnået ved fysisk at forbinde alle de bygninger, der anvendes af udvalgene, med deres hovedbygning (JDE); glæder sig over den nye fysiske forbindelse til Parlamentets bygninger, som blev taget i brug i november 2022, og som giv</w:t>
      </w:r>
      <w:r w:rsidRPr="00693132">
        <w:t>er en mere direkte, lettere og 125 m kortere vej mellem udvalgets og RU's bygninger og Parlamentets bygninger;</w:t>
      </w:r>
    </w:p>
    <w:p w:rsidR="00D43DB3" w:rsidRPr="00693132" w:rsidRDefault="00693132" w:rsidP="00693132">
      <w:pPr>
        <w:pStyle w:val="NormalHanging12a"/>
      </w:pPr>
      <w:r w:rsidRPr="00693132">
        <w:t>50.</w:t>
      </w:r>
      <w:r w:rsidRPr="00693132">
        <w:tab/>
        <w:t>glæder sig over udvalgets og RU's tilsagn om systematisk at anvende princippet om "design for alle" på deres infrastruktur og sikre adgang ti</w:t>
      </w:r>
      <w:r w:rsidRPr="00693132">
        <w:t>l deres bygninger gennem design; bemærker, at udvalget og RU traf en række forskellige foranstaltninger for at sikre adgangen til deres bygninger for personer med forskellige former for handicap;</w:t>
      </w:r>
    </w:p>
    <w:p w:rsidR="00D43DB3" w:rsidRPr="00693132" w:rsidRDefault="00693132" w:rsidP="00693132">
      <w:pPr>
        <w:pStyle w:val="NormalHanging12a"/>
        <w:ind w:left="0" w:firstLine="0"/>
        <w:rPr>
          <w:b/>
          <w:i/>
        </w:rPr>
      </w:pPr>
      <w:r w:rsidRPr="00693132">
        <w:rPr>
          <w:b/>
          <w:i/>
        </w:rPr>
        <w:t>Miljø og bæredygtighed</w:t>
      </w:r>
    </w:p>
    <w:p w:rsidR="00D43DB3" w:rsidRPr="00693132" w:rsidRDefault="00693132" w:rsidP="00693132">
      <w:pPr>
        <w:pStyle w:val="NormalHanging12a"/>
      </w:pPr>
      <w:r w:rsidRPr="00693132">
        <w:t>51.</w:t>
      </w:r>
      <w:r w:rsidRPr="00693132">
        <w:tab/>
        <w:t>glæder sig over den grønne praksi</w:t>
      </w:r>
      <w:r w:rsidRPr="00693132">
        <w:t>s og navnlig udvalgets og RU's papirløse tilgang, som bidrog til at reducere deres miljøaftryk i overensstemmelse med den digitale strategi; lykønsker udvalgene med at have overgået EMAS-målene for 2021-2025, bortset fra målene vedrørende gasforbrug; bemær</w:t>
      </w:r>
      <w:r w:rsidRPr="00693132">
        <w:t>ker, at et budget på 60 000 EUR blev øremærket til udvalgets CO</w:t>
      </w:r>
      <w:r w:rsidRPr="00693132">
        <w:rPr>
          <w:vertAlign w:val="subscript"/>
        </w:rPr>
        <w:t>2</w:t>
      </w:r>
      <w:r w:rsidRPr="00693132">
        <w:t>-kompensationsordning ved at købe CO</w:t>
      </w:r>
      <w:r w:rsidRPr="00693132">
        <w:rPr>
          <w:vertAlign w:val="subscript"/>
        </w:rPr>
        <w:t>2</w:t>
      </w:r>
      <w:r w:rsidRPr="00693132">
        <w:t>-kreditter af høj kvalitet i 2023;</w:t>
      </w:r>
    </w:p>
    <w:p w:rsidR="00D43DB3" w:rsidRPr="00693132" w:rsidRDefault="00693132" w:rsidP="00693132">
      <w:pPr>
        <w:pStyle w:val="NormalHanging12a"/>
      </w:pPr>
      <w:r w:rsidRPr="00693132">
        <w:t>52.</w:t>
      </w:r>
      <w:r w:rsidRPr="00693132">
        <w:tab/>
        <w:t>bemærker, at den samlede elproduktion fra solpaneler i udvalgets og RU's bygninger i 2022 var på ca. 15,5 MWh, hvilk</w:t>
      </w:r>
      <w:r w:rsidRPr="00693132">
        <w:t xml:space="preserve">et svarer til 0,25 % af udvalgets og RU's samlede årlige forbrug; bemærker, at kun JDE-bygningen var udstyret med solpaneler pr. 16. september 2022; er klar over, at udvalget og RU på grund af de administrative procedurer vil blive ramt af en forsinkelse, </w:t>
      </w:r>
      <w:r w:rsidRPr="00693132">
        <w:t>inden de kan udvide deres solcellepanelinstallation;</w:t>
      </w:r>
    </w:p>
    <w:p w:rsidR="00D43DB3" w:rsidRPr="00693132" w:rsidRDefault="00693132" w:rsidP="00693132">
      <w:pPr>
        <w:pStyle w:val="NormalHanging12a"/>
      </w:pPr>
      <w:r w:rsidRPr="00693132">
        <w:t>53.</w:t>
      </w:r>
      <w:r w:rsidRPr="00693132">
        <w:tab/>
        <w:t>lykønsker udvalget med udarbejdelsen af en forretningstransportplan efter aftale med mobilitetsafdelingen i hovedstadsregionen Bruxelles, hvorefter udvalget forpligter sig til at gennemføre en obliga</w:t>
      </w:r>
      <w:r w:rsidRPr="00693132">
        <w:t xml:space="preserve">torisk mobilitetsundersøgelse blandt sine ansatte hvert tredje år; </w:t>
      </w:r>
      <w:r w:rsidRPr="00693132">
        <w:lastRenderedPageBreak/>
        <w:t>bemærker, at udvalget har indført en plan for bæredygtig mobilitet, der har til formål at tilskynde dets personale til at anvende mere bæredygtige transportmidler, herunder gennem et finans</w:t>
      </w:r>
      <w:r w:rsidRPr="00693132">
        <w:t xml:space="preserve">ielt bidrag til personalets abonnementer på offentlig transport eller et månedligt finansielt bidrag til medarbejdere, der cykler på arbejde; bemærker, at udvalget er i færd med at undersøge yderligere løsninger såsom tilrådighedsstillelse af elektroniske </w:t>
      </w:r>
      <w:r w:rsidRPr="00693132">
        <w:t>cykler og installation af yderligere opladere til elbiler;</w:t>
      </w:r>
    </w:p>
    <w:p w:rsidR="00D43DB3" w:rsidRPr="00693132" w:rsidRDefault="00693132" w:rsidP="00693132">
      <w:pPr>
        <w:pStyle w:val="NormalHanging12a"/>
        <w:rPr>
          <w:b/>
          <w:i/>
        </w:rPr>
      </w:pPr>
      <w:r w:rsidRPr="00693132">
        <w:rPr>
          <w:b/>
          <w:i/>
        </w:rPr>
        <w:t>Interinstitutionelt samarbejde</w:t>
      </w:r>
    </w:p>
    <w:p w:rsidR="00D43DB3" w:rsidRPr="00693132" w:rsidRDefault="00693132" w:rsidP="00693132">
      <w:pPr>
        <w:pStyle w:val="NormalHanging12a"/>
      </w:pPr>
      <w:r w:rsidRPr="00693132">
        <w:t>54.</w:t>
      </w:r>
      <w:r w:rsidRPr="00693132">
        <w:tab/>
        <w:t xml:space="preserve">glæder sig over de budgetmæssige og administrative besparelser, der er opnået gennem det interinstitutionelle samarbejde, navnlig det tætte samarbejde, der er </w:t>
      </w:r>
      <w:r w:rsidRPr="00693132">
        <w:t>etableret på administrativt plan med RU, som udvalget deler lokaler og fælles tjenester med inden for oversættelse, infrastruktur, logistik og IT, samtidig med at det bevarer sin fulde institutionelle autonomi; bemærker, at der den 1. oktober 2022 blev opr</w:t>
      </w:r>
      <w:r w:rsidRPr="00693132">
        <w:t>ettet nye fælles tjenester, herunder et nyt direktorat for innovation og informationsteknologi, en sikkerhedstjeneste og en enhed for offentlige indkøb og finansiel forvaltning som led i den nye samarbejdsaftale, der blev undertegnet med RU i 2022; bemærke</w:t>
      </w:r>
      <w:r w:rsidRPr="00693132">
        <w:t>r endvidere, at 470 ansatte og 55 mio. EUR blev samlet af udvalget og RU i 2022, hvoraf mere end 30 mio. EUR kom fra udvalget, eksklusive lønrelaterede udgifter; opfordrer udvalget til at fortsætte og udvide dette samarbejde på andre områder med henblik på</w:t>
      </w:r>
      <w:r w:rsidRPr="00693132">
        <w:t xml:space="preserve"> at undgå dobbeltarbejde og yderligere at rationalisere driftsomkostningerne for de tjenester, der er til rådighed i de lokaler, som de to udvalg deler; opfordrer udvalget og RU til at undersøge muligheden for at oprette en fælles administration for deres </w:t>
      </w:r>
      <w:r w:rsidRPr="00693132">
        <w:t>fælles tjenester og beholde separate direktorater eller enheder for de tjenester, der beskæftiger sig med spørgsmål vedrørende deres specifikke og uafhængige mandater;</w:t>
      </w:r>
    </w:p>
    <w:p w:rsidR="00D43DB3" w:rsidRPr="00693132" w:rsidRDefault="00693132" w:rsidP="00693132">
      <w:pPr>
        <w:pStyle w:val="NormalHanging12a"/>
      </w:pPr>
      <w:r w:rsidRPr="00693132">
        <w:t>55.</w:t>
      </w:r>
      <w:r w:rsidRPr="00693132">
        <w:tab/>
        <w:t>glæder sig over udvalgets søgen efter synergier ved at købe tjenester fra andre inst</w:t>
      </w:r>
      <w:r w:rsidRPr="00693132">
        <w:t>itutioner gennem serviceleveranceaftaler og ved at deltage i interinstitutionelle koordineringsorganer og interinstitutionelle udbudsprocedurer; bemærker, at Parlamentet navnlig yder tolketjenester til udvalgets plenarforsamlinger, der finder sted i Parlam</w:t>
      </w:r>
      <w:r w:rsidRPr="00693132">
        <w:t>entets bygninger, og til visse møder, der finder sted i udvalgets bygninger;</w:t>
      </w:r>
    </w:p>
    <w:p w:rsidR="00D43DB3" w:rsidRPr="00693132" w:rsidRDefault="00693132" w:rsidP="00693132">
      <w:pPr>
        <w:pStyle w:val="NormalHanging12a"/>
      </w:pPr>
      <w:r w:rsidRPr="00693132">
        <w:t>56.</w:t>
      </w:r>
      <w:r w:rsidRPr="00693132">
        <w:tab/>
        <w:t xml:space="preserve">bemærker, at udvalget fortsatte og intensiverede sit samarbejde med Kommissionen i 2022 i forbindelse med serviceleveranceaftalen med Undersøgelses- og Disciplinærkontoret om </w:t>
      </w:r>
      <w:r w:rsidRPr="00693132">
        <w:t xml:space="preserve">støtte til administrative undersøgelser og inden for rammerne af samarbejdsprotokollen, der blev ajourført i 2022, og som styrkede de politiske, lovgivningsmæssige og kommunikationsmæssige synergier mellem disse to institutioner, navnlig i forbindelse med </w:t>
      </w:r>
      <w:r w:rsidRPr="00693132">
        <w:t>gennemførelsen af det europæiske borgerinitiativ og det europæiske semester; bemærker, at Kommissionens anvendelse af udvalgets sonderende udtalelser i henhold til den opdaterede protokol blev styrket, hvilket styrkede udvalgets deltagelse i Unionens lovgi</w:t>
      </w:r>
      <w:r w:rsidRPr="00693132">
        <w:t>vningscyklus;</w:t>
      </w:r>
    </w:p>
    <w:p w:rsidR="00D43DB3" w:rsidRPr="00693132" w:rsidRDefault="00693132" w:rsidP="00693132">
      <w:pPr>
        <w:pStyle w:val="NormalHanging12a"/>
      </w:pPr>
      <w:r w:rsidRPr="00693132">
        <w:t>57.</w:t>
      </w:r>
      <w:r w:rsidRPr="00693132">
        <w:tab/>
        <w:t>bemærker, at udvalget spiller en central rolle med hensyn til at styrke forbindelserne med og mellem de nationale økonomiske og sociale råd i Unionen; opfordrer udvalget til fortsat at fremme samarbejdet om emner af fælles interesse og om</w:t>
      </w:r>
      <w:r w:rsidRPr="00693132">
        <w:t xml:space="preserve"> god praksis og fremhæve, hvordan civilsamfundet bidrager til Unionens aktuelle udfordringer, navnlig gennem udveksling af personale og afholdelse af fælles arrangementer;</w:t>
      </w:r>
    </w:p>
    <w:p w:rsidR="00D43DB3" w:rsidRPr="00693132" w:rsidRDefault="00693132" w:rsidP="00693132">
      <w:pPr>
        <w:pStyle w:val="NormalHanging12a"/>
        <w:keepNext/>
        <w:keepLines/>
        <w:rPr>
          <w:b/>
          <w:i/>
        </w:rPr>
      </w:pPr>
      <w:r w:rsidRPr="00693132">
        <w:rPr>
          <w:b/>
          <w:i/>
        </w:rPr>
        <w:t>Kommunikation</w:t>
      </w:r>
    </w:p>
    <w:p w:rsidR="00D43DB3" w:rsidRPr="00693132" w:rsidRDefault="00693132" w:rsidP="00693132">
      <w:pPr>
        <w:pStyle w:val="NormalHanging12a"/>
      </w:pPr>
      <w:r w:rsidRPr="00693132">
        <w:t>58.</w:t>
      </w:r>
      <w:r w:rsidRPr="00693132">
        <w:tab/>
        <w:t>bemærker, at udvalgets samlede budget til kommunikation i 2022 var</w:t>
      </w:r>
      <w:r w:rsidRPr="00693132">
        <w:t xml:space="preserve"> på 1,5 mio. EUR, </w:t>
      </w:r>
      <w:r w:rsidRPr="00693132">
        <w:lastRenderedPageBreak/>
        <w:t>hvilket er det samme beløb som i 2021; bemærker, at dette budget primært blev afsat til at støtte udviklingen og vedligeholdelsen af udvalgets websted, kommunikation på de sociale medier, medieovervågning, medierelationer og fremme af udv</w:t>
      </w:r>
      <w:r w:rsidRPr="00693132">
        <w:t>algets større aktiviteter og arrangementer såsom civilsamfundsprisen og aktiviteter i relation til udvalget i forbindelse med arbejdet på konferencen om Europas fremtid og udvalgets støtte til Ukraine;</w:t>
      </w:r>
    </w:p>
    <w:p w:rsidR="00D43DB3" w:rsidRPr="00693132" w:rsidRDefault="00693132" w:rsidP="00693132">
      <w:pPr>
        <w:pStyle w:val="NormalHanging12a"/>
      </w:pPr>
      <w:r w:rsidRPr="00693132">
        <w:t>59.</w:t>
      </w:r>
      <w:r w:rsidRPr="00693132">
        <w:tab/>
        <w:t>lykønsker udvalget med vedtagelsen af en ny datadr</w:t>
      </w:r>
      <w:r w:rsidRPr="00693132">
        <w:t>evet kommunikationsstrategi i oktober 2022, der har til formål at øge rækkevidden af udvalgets kommunikation og virkningen af dets udtalelser og definere europæiske civilsamfundsorganisationer og de øvrige EU-institutioner som dets vigtigste kommunikations</w:t>
      </w:r>
      <w:r w:rsidRPr="00693132">
        <w:t>mål; bemærker endvidere, at udvalget i 2022 ajourførte reglerne om partnerskab med henblik på at styrke sit strategiske engagement med civilsamfundsorganisationer gennem tematiske arrangementer;</w:t>
      </w:r>
    </w:p>
    <w:p w:rsidR="00D43DB3" w:rsidRPr="00693132" w:rsidRDefault="00693132" w:rsidP="00693132">
      <w:pPr>
        <w:pStyle w:val="NormalHanging12a"/>
      </w:pPr>
      <w:r w:rsidRPr="00693132">
        <w:t>60.</w:t>
      </w:r>
      <w:r w:rsidRPr="00693132">
        <w:tab/>
        <w:t>bemærker, at udvalget afholdt store hybride arrangementer</w:t>
      </w:r>
      <w:r w:rsidRPr="00693132">
        <w:t xml:space="preserve"> om aktuelle emner af relevans for civilsamfundet, såsom arrangementet på højt niveau inden for rammerne af konferencen om Europas fremtid om "Shaping Europe together – the future is in your hand", det årlige ungdomsarrangement "Dit Europa, din mening" for</w:t>
      </w:r>
      <w:r w:rsidRPr="00693132">
        <w:t xml:space="preserve"> elever og lærere i Unionen og kandidatlandene og den årlige ungdomsplenarforsamling "Sandheden om løgne. Unge til kamp mod desinformation" for studerende; bemærker, at udvalget også tilrettelagde mere specialiserede aktiviteter med fokus på ungdomsåret og</w:t>
      </w:r>
      <w:r w:rsidRPr="00693132">
        <w:t xml:space="preserve"> angrebskrigen mod Ukraine rettet mod journalister og kommunikationsfagfolk fra civilsamfundsorganisationer;</w:t>
      </w:r>
    </w:p>
    <w:p w:rsidR="00D43DB3" w:rsidRPr="00693132" w:rsidRDefault="00693132" w:rsidP="00693132">
      <w:pPr>
        <w:pStyle w:val="NormalHanging12a"/>
      </w:pPr>
      <w:r w:rsidRPr="00693132">
        <w:t>61.</w:t>
      </w:r>
      <w:r w:rsidRPr="00693132">
        <w:tab/>
        <w:t>bemærker, at den samlede rækkevidde af udvalgets kommunikation steg i 2022 i forhold til 2021, navnlig gennem mediedækning og tilstedeværelse p</w:t>
      </w:r>
      <w:r w:rsidRPr="00693132">
        <w:t>å internettet og sociale medier; bemærker, at antallet af besøg på den centrale Facebookside steg med 96,9 % (57 000 besøg), og at antallet af besøg på Instagram-kontoen steg med 97,9 % (20 000 besøg), mens antallet af Facebook-brugere steg med 1,1 % (6 mi</w:t>
      </w:r>
      <w:r w:rsidRPr="00693132">
        <w:t>o. brugere), rækkevidden på Instagram steg med 33 % (over 3 mio. brugere), de opslag, der blev offentliggjort på LinkedIn, genererede næsten 1,2 mio. visninger, og de tweets, der blev offentliggjort på X (tidligere Twitter), fik over 6 mio. visninger; lykø</w:t>
      </w:r>
      <w:r w:rsidRPr="00693132">
        <w:t>nsker udvalgets deltagelse fra og med 2023 i det pilotprojekt, der gennemføres under ledelse af Den Europæiske Tilsynsførende for Databeskyttelse, og som har til formål at få EU's institutioner til at anvende EU-Voice og EU-Video, som er to gratis open sou</w:t>
      </w:r>
      <w:r w:rsidRPr="00693132">
        <w:t>rce sociale medienetværk baseret på Mastodonsoftware, og som gør det muligt for EU's institutioner at interagere med offentligheden ved at dele tekster, billeder, videoer og podcasts;</w:t>
      </w:r>
    </w:p>
    <w:p w:rsidR="007B23DE" w:rsidRDefault="00693132" w:rsidP="00693132">
      <w:pPr>
        <w:pStyle w:val="NormalHanging12a"/>
      </w:pPr>
      <w:r w:rsidRPr="00693132">
        <w:t>62.</w:t>
      </w:r>
      <w:r w:rsidRPr="00693132">
        <w:tab/>
        <w:t>glæder sig over udvalgets positive tilgang til brugen af open source</w:t>
      </w:r>
      <w:r w:rsidRPr="00693132">
        <w:t>-løsninger til dets onlinekommunikation; bemærker med tilfredshed, at udvalget sikrer, at borgerne har åben adgang til dets dokumenter via et særligt elektronisk register; bemærker, at udvalget bidrager til Kommissionens åbne dataportal med sine egne datas</w:t>
      </w:r>
      <w:r w:rsidRPr="00693132">
        <w:t>æt og dermed støtter større gennemsigtighed i sine aktiviteter gennem frit tilgængelige data i menneskeligt læsbare og maskinlæsbare formater og styrker forbindelsen til borgerne.</w:t>
      </w:r>
    </w:p>
    <w:p w:rsidR="00693132" w:rsidRPr="00693132" w:rsidRDefault="00693132" w:rsidP="00693132">
      <w:pPr>
        <w:pStyle w:val="NormalHanging12a"/>
      </w:pPr>
      <w:bookmarkStart w:id="4" w:name="_GoBack"/>
      <w:bookmarkEnd w:id="4"/>
    </w:p>
    <w:sectPr w:rsidR="00693132" w:rsidRPr="00693132" w:rsidSect="00126B74">
      <w:footnotePr>
        <w:numRestart w:val="eachSect"/>
      </w:footnotePr>
      <w:endnotePr>
        <w:numFmt w:val="decimal"/>
      </w:endnotePr>
      <w:pgSz w:w="11906" w:h="16838" w:code="9"/>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416CB" w:rsidRDefault="00693132">
      <w:r w:rsidRPr="009416CB">
        <w:separator/>
      </w:r>
    </w:p>
  </w:endnote>
  <w:endnote w:type="continuationSeparator" w:id="0">
    <w:p w:rsidR="00000000" w:rsidRPr="009416CB" w:rsidRDefault="00693132">
      <w:r w:rsidRPr="009416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6CB" w:rsidRPr="009416CB" w:rsidRDefault="009416CB" w:rsidP="009416CB">
    <w:pPr>
      <w:pStyle w:val="EPFooter"/>
    </w:pPr>
    <w:r w:rsidRPr="009416CB">
      <w:t>PE</w:t>
    </w:r>
    <w:r w:rsidRPr="009416CB">
      <w:rPr>
        <w:rStyle w:val="HideTWBExt"/>
      </w:rPr>
      <w:t>&lt;NoPE&gt;</w:t>
    </w:r>
    <w:r w:rsidRPr="009416CB">
      <w:t>753.483</w:t>
    </w:r>
    <w:r w:rsidRPr="009416CB">
      <w:rPr>
        <w:rStyle w:val="HideTWBExt"/>
      </w:rPr>
      <w:t>&lt;/NoPE&gt;&lt;Version&gt;</w:t>
    </w:r>
    <w:r w:rsidRPr="009416CB">
      <w:t>v01-00</w:t>
    </w:r>
    <w:r w:rsidRPr="009416CB">
      <w:rPr>
        <w:rStyle w:val="HideTWBExt"/>
      </w:rPr>
      <w:t>&lt;/Version&gt;</w:t>
    </w:r>
    <w:r w:rsidRPr="009416CB">
      <w:tab/>
    </w:r>
    <w:r w:rsidRPr="009416CB">
      <w:fldChar w:fldCharType="begin"/>
    </w:r>
    <w:r w:rsidRPr="009416CB">
      <w:instrText xml:space="preserve"> PAGE  \* MERGEFORMAT </w:instrText>
    </w:r>
    <w:r w:rsidRPr="009416CB">
      <w:fldChar w:fldCharType="separate"/>
    </w:r>
    <w:r w:rsidR="00693132">
      <w:rPr>
        <w:noProof/>
      </w:rPr>
      <w:t>16</w:t>
    </w:r>
    <w:r w:rsidRPr="009416CB">
      <w:fldChar w:fldCharType="end"/>
    </w:r>
    <w:r w:rsidRPr="009416CB">
      <w:t>/</w:t>
    </w:r>
    <w:fldSimple w:instr=" NUMPAGES  \* MERGEFORMAT ">
      <w:r w:rsidR="00693132">
        <w:rPr>
          <w:noProof/>
        </w:rPr>
        <w:t>16</w:t>
      </w:r>
    </w:fldSimple>
    <w:r w:rsidRPr="009416CB">
      <w:tab/>
    </w:r>
    <w:r w:rsidRPr="009416CB">
      <w:rPr>
        <w:rStyle w:val="HideTWBExt"/>
      </w:rPr>
      <w:t>&lt;PathFdR&gt;</w:t>
    </w:r>
    <w:r w:rsidRPr="009416CB">
      <w:t>PR\1286080DA.docx</w:t>
    </w:r>
    <w:r w:rsidRPr="009416CB">
      <w:rPr>
        <w:rStyle w:val="HideTWBExt"/>
      </w:rPr>
      <w:t>&lt;/PathFdR&gt;</w:t>
    </w:r>
  </w:p>
  <w:p w:rsidR="00F9137D" w:rsidRPr="009416CB" w:rsidRDefault="009416CB" w:rsidP="009416CB">
    <w:pPr>
      <w:pStyle w:val="EPFooter2"/>
    </w:pPr>
    <w:r w:rsidRPr="009416CB">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6CB" w:rsidRPr="009416CB" w:rsidRDefault="009416CB" w:rsidP="009416CB">
    <w:pPr>
      <w:pStyle w:val="EPFooter"/>
    </w:pPr>
    <w:r w:rsidRPr="009416CB">
      <w:rPr>
        <w:rStyle w:val="HideTWBExt"/>
      </w:rPr>
      <w:t>&lt;PathFdR&gt;</w:t>
    </w:r>
    <w:r w:rsidRPr="009416CB">
      <w:t>PR\1286080DA.docx</w:t>
    </w:r>
    <w:r w:rsidRPr="009416CB">
      <w:rPr>
        <w:rStyle w:val="HideTWBExt"/>
      </w:rPr>
      <w:t>&lt;/PathFdR&gt;</w:t>
    </w:r>
    <w:r w:rsidRPr="009416CB">
      <w:tab/>
    </w:r>
    <w:r w:rsidRPr="009416CB">
      <w:fldChar w:fldCharType="begin"/>
    </w:r>
    <w:r w:rsidRPr="009416CB">
      <w:instrText xml:space="preserve"> PAGE  \* MERGEFORMAT </w:instrText>
    </w:r>
    <w:r w:rsidRPr="009416CB">
      <w:fldChar w:fldCharType="separate"/>
    </w:r>
    <w:r w:rsidR="00693132">
      <w:rPr>
        <w:noProof/>
      </w:rPr>
      <w:t>15</w:t>
    </w:r>
    <w:r w:rsidRPr="009416CB">
      <w:fldChar w:fldCharType="end"/>
    </w:r>
    <w:r w:rsidRPr="009416CB">
      <w:t>/</w:t>
    </w:r>
    <w:fldSimple w:instr=" NUMPAGES  \* MERGEFORMAT ">
      <w:r w:rsidR="00693132">
        <w:rPr>
          <w:noProof/>
        </w:rPr>
        <w:t>16</w:t>
      </w:r>
    </w:fldSimple>
    <w:r w:rsidRPr="009416CB">
      <w:tab/>
      <w:t>PE</w:t>
    </w:r>
    <w:r w:rsidRPr="009416CB">
      <w:rPr>
        <w:rStyle w:val="HideTWBExt"/>
      </w:rPr>
      <w:t>&lt;NoPE&gt;</w:t>
    </w:r>
    <w:r w:rsidRPr="009416CB">
      <w:t>753.483</w:t>
    </w:r>
    <w:r w:rsidRPr="009416CB">
      <w:rPr>
        <w:rStyle w:val="HideTWBExt"/>
      </w:rPr>
      <w:t>&lt;/NoPE&gt;&lt;Version&gt;</w:t>
    </w:r>
    <w:r w:rsidRPr="009416CB">
      <w:t>v01-00</w:t>
    </w:r>
    <w:r w:rsidRPr="009416CB">
      <w:rPr>
        <w:rStyle w:val="HideTWBExt"/>
      </w:rPr>
      <w:t>&lt;/Version&gt;</w:t>
    </w:r>
  </w:p>
  <w:p w:rsidR="00F9137D" w:rsidRPr="009416CB" w:rsidRDefault="009416CB" w:rsidP="009416CB">
    <w:pPr>
      <w:pStyle w:val="EPFooter2"/>
    </w:pPr>
    <w:r w:rsidRPr="009416CB">
      <w:tab/>
    </w:r>
    <w:r w:rsidRPr="009416CB">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6CB" w:rsidRPr="009416CB" w:rsidRDefault="009416CB" w:rsidP="009416CB">
    <w:pPr>
      <w:pStyle w:val="EPFooter"/>
    </w:pPr>
    <w:r w:rsidRPr="009416CB">
      <w:rPr>
        <w:rStyle w:val="HideTWBExt"/>
      </w:rPr>
      <w:t>&lt;PathFdR&gt;</w:t>
    </w:r>
    <w:r w:rsidRPr="009416CB">
      <w:t>PR\1286080DA.docx</w:t>
    </w:r>
    <w:r w:rsidRPr="009416CB">
      <w:rPr>
        <w:rStyle w:val="HideTWBExt"/>
      </w:rPr>
      <w:t>&lt;/PathFdR&gt;</w:t>
    </w:r>
    <w:r w:rsidRPr="009416CB">
      <w:tab/>
    </w:r>
    <w:r w:rsidRPr="009416CB">
      <w:tab/>
      <w:t>PE</w:t>
    </w:r>
    <w:r w:rsidRPr="009416CB">
      <w:rPr>
        <w:rStyle w:val="HideTWBExt"/>
      </w:rPr>
      <w:t>&lt;NoPE&gt;</w:t>
    </w:r>
    <w:r w:rsidRPr="009416CB">
      <w:t>753.483</w:t>
    </w:r>
    <w:r w:rsidRPr="009416CB">
      <w:rPr>
        <w:rStyle w:val="HideTWBExt"/>
      </w:rPr>
      <w:t>&lt;/NoPE&gt;&lt;Version&gt;</w:t>
    </w:r>
    <w:r w:rsidRPr="009416CB">
      <w:t>v01-00</w:t>
    </w:r>
    <w:r w:rsidRPr="009416CB">
      <w:rPr>
        <w:rStyle w:val="HideTWBExt"/>
      </w:rPr>
      <w:t>&lt;/Version&gt;</w:t>
    </w:r>
  </w:p>
  <w:p w:rsidR="00F9137D" w:rsidRPr="009416CB" w:rsidRDefault="009416CB" w:rsidP="009416CB">
    <w:pPr>
      <w:pStyle w:val="EPFooter2"/>
    </w:pPr>
    <w:r w:rsidRPr="009416CB">
      <w:t>DA</w:t>
    </w:r>
    <w:r w:rsidRPr="009416CB">
      <w:tab/>
    </w:r>
    <w:r w:rsidRPr="009416CB">
      <w:rPr>
        <w:b w:val="0"/>
        <w:i/>
        <w:color w:val="C0C0C0"/>
        <w:sz w:val="22"/>
      </w:rPr>
      <w:t>Forenet i mangfoldighed</w:t>
    </w:r>
    <w:r w:rsidRPr="009416CB">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6D50" w:rsidRPr="009416CB" w:rsidRDefault="00693132">
      <w:r w:rsidRPr="009416CB">
        <w:separator/>
      </w:r>
    </w:p>
  </w:footnote>
  <w:footnote w:type="continuationSeparator" w:id="0">
    <w:p w:rsidR="00436D50" w:rsidRPr="009416CB" w:rsidRDefault="00693132">
      <w:r w:rsidRPr="009416CB">
        <w:continuationSeparator/>
      </w:r>
    </w:p>
  </w:footnote>
  <w:footnote w:id="1">
    <w:p w:rsidR="00D43DB3" w:rsidRPr="009416CB" w:rsidRDefault="00693132" w:rsidP="0052176C">
      <w:pPr>
        <w:pStyle w:val="FootnoteText"/>
        <w:ind w:left="567" w:hanging="567"/>
      </w:pPr>
      <w:r w:rsidRPr="009416CB">
        <w:rPr>
          <w:rStyle w:val="FootnoteReference"/>
        </w:rPr>
        <w:footnoteRef/>
      </w:r>
      <w:r w:rsidRPr="009416CB">
        <w:t xml:space="preserve"> EUT L 45 af 24.2.2022.</w:t>
      </w:r>
    </w:p>
  </w:footnote>
  <w:footnote w:id="2">
    <w:p w:rsidR="00D43DB3" w:rsidRPr="009416CB" w:rsidRDefault="00693132" w:rsidP="0052176C">
      <w:pPr>
        <w:pStyle w:val="FootnoteText"/>
        <w:ind w:left="567" w:hanging="567"/>
      </w:pPr>
      <w:r w:rsidRPr="009416CB">
        <w:rPr>
          <w:rStyle w:val="FootnoteReference"/>
        </w:rPr>
        <w:footnoteRef/>
      </w:r>
      <w:r w:rsidRPr="009416CB">
        <w:t xml:space="preserve"> EUT C, C/2023/2, 12.10 2023.</w:t>
      </w:r>
    </w:p>
  </w:footnote>
  <w:footnote w:id="3">
    <w:p w:rsidR="00D43DB3" w:rsidRPr="009416CB" w:rsidRDefault="00693132" w:rsidP="0052176C">
      <w:pPr>
        <w:pStyle w:val="FootnoteText"/>
        <w:ind w:left="567" w:hanging="567"/>
      </w:pPr>
      <w:r w:rsidRPr="009416CB">
        <w:rPr>
          <w:rStyle w:val="FootnoteReference"/>
        </w:rPr>
        <w:footnoteRef/>
      </w:r>
      <w:r w:rsidRPr="009416CB">
        <w:t xml:space="preserve"> EUT C, C/2023/103, 4.10 2023.</w:t>
      </w:r>
    </w:p>
  </w:footnote>
  <w:footnote w:id="4">
    <w:p w:rsidR="00D43DB3" w:rsidRPr="009416CB" w:rsidRDefault="00693132" w:rsidP="0052176C">
      <w:pPr>
        <w:pStyle w:val="FootnoteText"/>
        <w:ind w:left="567" w:hanging="567"/>
      </w:pPr>
      <w:r w:rsidRPr="009416CB">
        <w:rPr>
          <w:rStyle w:val="FootnoteReference"/>
        </w:rPr>
        <w:footnoteRef/>
      </w:r>
      <w:r w:rsidRPr="009416CB">
        <w:t xml:space="preserve"> EUT C, C/2023/112, 12.10.2023.</w:t>
      </w:r>
    </w:p>
  </w:footnote>
  <w:footnote w:id="5">
    <w:p w:rsidR="00D43DB3" w:rsidRPr="009416CB" w:rsidRDefault="00693132" w:rsidP="0052176C">
      <w:pPr>
        <w:pStyle w:val="FootnoteText"/>
        <w:ind w:left="567" w:hanging="567"/>
      </w:pPr>
      <w:r w:rsidRPr="009416CB">
        <w:rPr>
          <w:rStyle w:val="FootnoteReference"/>
        </w:rPr>
        <w:footnoteRef/>
      </w:r>
      <w:r w:rsidRPr="009416CB">
        <w:t xml:space="preserve"> EUT L 193 af 30.7.2018, s. 1.</w:t>
      </w:r>
    </w:p>
  </w:footnote>
  <w:footnote w:id="6">
    <w:p w:rsidR="00D43DB3" w:rsidRPr="009416CB" w:rsidRDefault="00693132" w:rsidP="0052176C">
      <w:pPr>
        <w:pStyle w:val="FootnoteText"/>
        <w:ind w:left="567" w:hanging="567"/>
      </w:pPr>
      <w:r w:rsidRPr="009416CB">
        <w:rPr>
          <w:rStyle w:val="FootnoteReference"/>
        </w:rPr>
        <w:footnoteRef/>
      </w:r>
      <w:r w:rsidRPr="009416CB">
        <w:t xml:space="preserve"> Domstolens dom af 6. oktober 2022, KN mod Det Europæiske Økonomiske og Sociale Udvalg, i sag C-673/21, ECLI:EU:C:2022:759.</w:t>
      </w:r>
    </w:p>
  </w:footnote>
  <w:footnote w:id="7">
    <w:p w:rsidR="0078555E" w:rsidRPr="009416CB" w:rsidRDefault="00693132" w:rsidP="0078555E">
      <w:pPr>
        <w:pStyle w:val="FootnoteText"/>
        <w:ind w:left="567" w:hanging="567"/>
      </w:pPr>
      <w:r w:rsidRPr="009416CB">
        <w:rPr>
          <w:rStyle w:val="FootnoteReference"/>
        </w:rPr>
        <w:footnoteRef/>
      </w:r>
      <w:r w:rsidRPr="009416CB">
        <w:t xml:space="preserve"> EUT L 207 af 11.6.2021,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132" w:rsidRDefault="006931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132" w:rsidRDefault="006931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132" w:rsidRDefault="006931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1228D3D6">
      <w:start w:val="1"/>
      <w:numFmt w:val="upperLetter"/>
      <w:lvlText w:val="%1."/>
      <w:lvlJc w:val="left"/>
      <w:pPr>
        <w:tabs>
          <w:tab w:val="num" w:pos="360"/>
        </w:tabs>
        <w:ind w:left="360" w:hanging="360"/>
      </w:pPr>
      <w:rPr>
        <w:rFonts w:hint="default"/>
      </w:rPr>
    </w:lvl>
    <w:lvl w:ilvl="1" w:tplc="58BA6454" w:tentative="1">
      <w:start w:val="1"/>
      <w:numFmt w:val="lowerLetter"/>
      <w:lvlText w:val="%2."/>
      <w:lvlJc w:val="left"/>
      <w:pPr>
        <w:tabs>
          <w:tab w:val="num" w:pos="1080"/>
        </w:tabs>
        <w:ind w:left="1080" w:hanging="360"/>
      </w:pPr>
    </w:lvl>
    <w:lvl w:ilvl="2" w:tplc="76D66D70" w:tentative="1">
      <w:start w:val="1"/>
      <w:numFmt w:val="lowerRoman"/>
      <w:lvlText w:val="%3."/>
      <w:lvlJc w:val="right"/>
      <w:pPr>
        <w:tabs>
          <w:tab w:val="num" w:pos="1800"/>
        </w:tabs>
        <w:ind w:left="1800" w:hanging="180"/>
      </w:pPr>
    </w:lvl>
    <w:lvl w:ilvl="3" w:tplc="C170878E" w:tentative="1">
      <w:start w:val="1"/>
      <w:numFmt w:val="decimal"/>
      <w:lvlText w:val="%4."/>
      <w:lvlJc w:val="left"/>
      <w:pPr>
        <w:tabs>
          <w:tab w:val="num" w:pos="2520"/>
        </w:tabs>
        <w:ind w:left="2520" w:hanging="360"/>
      </w:pPr>
    </w:lvl>
    <w:lvl w:ilvl="4" w:tplc="EB12BC42" w:tentative="1">
      <w:start w:val="1"/>
      <w:numFmt w:val="lowerLetter"/>
      <w:lvlText w:val="%5."/>
      <w:lvlJc w:val="left"/>
      <w:pPr>
        <w:tabs>
          <w:tab w:val="num" w:pos="3240"/>
        </w:tabs>
        <w:ind w:left="3240" w:hanging="360"/>
      </w:pPr>
    </w:lvl>
    <w:lvl w:ilvl="5" w:tplc="E5126C0E" w:tentative="1">
      <w:start w:val="1"/>
      <w:numFmt w:val="lowerRoman"/>
      <w:lvlText w:val="%6."/>
      <w:lvlJc w:val="right"/>
      <w:pPr>
        <w:tabs>
          <w:tab w:val="num" w:pos="3960"/>
        </w:tabs>
        <w:ind w:left="3960" w:hanging="180"/>
      </w:pPr>
    </w:lvl>
    <w:lvl w:ilvl="6" w:tplc="AE1638D4" w:tentative="1">
      <w:start w:val="1"/>
      <w:numFmt w:val="decimal"/>
      <w:lvlText w:val="%7."/>
      <w:lvlJc w:val="left"/>
      <w:pPr>
        <w:tabs>
          <w:tab w:val="num" w:pos="4680"/>
        </w:tabs>
        <w:ind w:left="4680" w:hanging="360"/>
      </w:pPr>
    </w:lvl>
    <w:lvl w:ilvl="7" w:tplc="AEDA4ECA" w:tentative="1">
      <w:start w:val="1"/>
      <w:numFmt w:val="lowerLetter"/>
      <w:lvlText w:val="%8."/>
      <w:lvlJc w:val="left"/>
      <w:pPr>
        <w:tabs>
          <w:tab w:val="num" w:pos="5400"/>
        </w:tabs>
        <w:ind w:left="5400" w:hanging="360"/>
      </w:pPr>
    </w:lvl>
    <w:lvl w:ilvl="8" w:tplc="1C78AEBA"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6FF81244">
      <w:start w:val="1"/>
      <w:numFmt w:val="decimal"/>
      <w:lvlText w:val="%1."/>
      <w:lvlJc w:val="left"/>
      <w:pPr>
        <w:tabs>
          <w:tab w:val="num" w:pos="720"/>
        </w:tabs>
        <w:ind w:left="720" w:hanging="360"/>
      </w:pPr>
    </w:lvl>
    <w:lvl w:ilvl="1" w:tplc="FECEE3EE" w:tentative="1">
      <w:start w:val="1"/>
      <w:numFmt w:val="lowerLetter"/>
      <w:lvlText w:val="%2."/>
      <w:lvlJc w:val="left"/>
      <w:pPr>
        <w:tabs>
          <w:tab w:val="num" w:pos="1440"/>
        </w:tabs>
        <w:ind w:left="1440" w:hanging="360"/>
      </w:pPr>
    </w:lvl>
    <w:lvl w:ilvl="2" w:tplc="E174A668" w:tentative="1">
      <w:start w:val="1"/>
      <w:numFmt w:val="lowerRoman"/>
      <w:lvlText w:val="%3."/>
      <w:lvlJc w:val="right"/>
      <w:pPr>
        <w:tabs>
          <w:tab w:val="num" w:pos="2160"/>
        </w:tabs>
        <w:ind w:left="2160" w:hanging="180"/>
      </w:pPr>
    </w:lvl>
    <w:lvl w:ilvl="3" w:tplc="644AF35E" w:tentative="1">
      <w:start w:val="1"/>
      <w:numFmt w:val="decimal"/>
      <w:lvlText w:val="%4."/>
      <w:lvlJc w:val="left"/>
      <w:pPr>
        <w:tabs>
          <w:tab w:val="num" w:pos="2880"/>
        </w:tabs>
        <w:ind w:left="2880" w:hanging="360"/>
      </w:pPr>
    </w:lvl>
    <w:lvl w:ilvl="4" w:tplc="FD204982" w:tentative="1">
      <w:start w:val="1"/>
      <w:numFmt w:val="lowerLetter"/>
      <w:lvlText w:val="%5."/>
      <w:lvlJc w:val="left"/>
      <w:pPr>
        <w:tabs>
          <w:tab w:val="num" w:pos="3600"/>
        </w:tabs>
        <w:ind w:left="3600" w:hanging="360"/>
      </w:pPr>
    </w:lvl>
    <w:lvl w:ilvl="5" w:tplc="5FF008A8" w:tentative="1">
      <w:start w:val="1"/>
      <w:numFmt w:val="lowerRoman"/>
      <w:lvlText w:val="%6."/>
      <w:lvlJc w:val="right"/>
      <w:pPr>
        <w:tabs>
          <w:tab w:val="num" w:pos="4320"/>
        </w:tabs>
        <w:ind w:left="4320" w:hanging="180"/>
      </w:pPr>
    </w:lvl>
    <w:lvl w:ilvl="6" w:tplc="82AA3700" w:tentative="1">
      <w:start w:val="1"/>
      <w:numFmt w:val="decimal"/>
      <w:lvlText w:val="%7."/>
      <w:lvlJc w:val="left"/>
      <w:pPr>
        <w:tabs>
          <w:tab w:val="num" w:pos="5040"/>
        </w:tabs>
        <w:ind w:left="5040" w:hanging="360"/>
      </w:pPr>
    </w:lvl>
    <w:lvl w:ilvl="7" w:tplc="7E0857A0" w:tentative="1">
      <w:start w:val="1"/>
      <w:numFmt w:val="lowerLetter"/>
      <w:lvlText w:val="%8."/>
      <w:lvlJc w:val="left"/>
      <w:pPr>
        <w:tabs>
          <w:tab w:val="num" w:pos="5760"/>
        </w:tabs>
        <w:ind w:left="5760" w:hanging="360"/>
      </w:pPr>
    </w:lvl>
    <w:lvl w:ilvl="8" w:tplc="1D9061AE"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DITSMNU" w:val=" 1"/>
    <w:docVar w:name="CITMNU" w:val=" 2"/>
    <w:docVar w:name="CopyToNetwork" w:val="-1"/>
    <w:docVar w:name="DECISIONMNU" w:val=" 3"/>
    <w:docVar w:name="FN1DT" w:val="24/02/2022"/>
    <w:docVar w:name="FN2DT" w:val="..."/>
    <w:docVar w:name="FN3DT" w:val="..."/>
    <w:docVar w:name="FN4DT" w:val="..."/>
    <w:docVar w:name="LastEditedSection" w:val=" 1"/>
    <w:docVar w:name="LETTERSMNU" w:val=" 3"/>
    <w:docVar w:name="NRAUDITSMNU" w:val=" 1"/>
    <w:docVar w:name="OPINIONSMNU" w:val=" 3"/>
    <w:docVar w:name="POSITIONSMNU" w:val=" 3"/>
    <w:docVar w:name="strDocTypeID" w:val="PR_DEC_Other"/>
    <w:docVar w:name="strSubDir" w:val="1286"/>
    <w:docVar w:name="TITLEMNU" w:val=" 4"/>
    <w:docVar w:name="TXTBUDYEAR" w:val="2022"/>
    <w:docVar w:name="TXTFN1" w:val="45"/>
    <w:docVar w:name="TXTFN2" w:val="…"/>
    <w:docVar w:name="TXTFN3" w:val="…"/>
    <w:docVar w:name="TXTFN4" w:val="…"/>
    <w:docVar w:name="TXTLANGUE" w:val="DA"/>
    <w:docVar w:name="TXTLANGUEMIN" w:val="da"/>
    <w:docVar w:name="TXTNRAUDITS" w:val="…"/>
    <w:docVar w:name="TXTNRCACCOUNTS" w:val="0254/2023"/>
    <w:docVar w:name="TXTNRCOMACCOUNTS" w:val="(2023)0391(07)"/>
    <w:docVar w:name="TXTNRDEC" w:val="2023/2135"/>
    <w:docVar w:name="TXTNRPE" w:val="753.483"/>
    <w:docVar w:name="TXTPEorAP" w:val="PE"/>
    <w:docVar w:name="TXTPG2" w:val="…"/>
    <w:docVar w:name="TXTPG3" w:val="…"/>
    <w:docVar w:name="TXTPG4" w:val="…"/>
    <w:docVar w:name="TXTROUTE" w:val="PR\1286080DA.docx"/>
    <w:docVar w:name="TXTVERSION" w:val="01-00"/>
  </w:docVars>
  <w:rsids>
    <w:rsidRoot w:val="00436D50"/>
    <w:rsid w:val="00010232"/>
    <w:rsid w:val="00024A79"/>
    <w:rsid w:val="00065488"/>
    <w:rsid w:val="00090E0B"/>
    <w:rsid w:val="00091455"/>
    <w:rsid w:val="000B2381"/>
    <w:rsid w:val="000B47E5"/>
    <w:rsid w:val="000D1B54"/>
    <w:rsid w:val="000E1400"/>
    <w:rsid w:val="001007BC"/>
    <w:rsid w:val="0010430C"/>
    <w:rsid w:val="00106468"/>
    <w:rsid w:val="00112332"/>
    <w:rsid w:val="0012398B"/>
    <w:rsid w:val="00126B74"/>
    <w:rsid w:val="0013079A"/>
    <w:rsid w:val="00132F6B"/>
    <w:rsid w:val="001A169C"/>
    <w:rsid w:val="001B4494"/>
    <w:rsid w:val="001D308F"/>
    <w:rsid w:val="001D417C"/>
    <w:rsid w:val="001E4760"/>
    <w:rsid w:val="001F353F"/>
    <w:rsid w:val="00204095"/>
    <w:rsid w:val="002046D7"/>
    <w:rsid w:val="00211D2B"/>
    <w:rsid w:val="00214755"/>
    <w:rsid w:val="00216504"/>
    <w:rsid w:val="00266373"/>
    <w:rsid w:val="00267483"/>
    <w:rsid w:val="002705BF"/>
    <w:rsid w:val="002724BE"/>
    <w:rsid w:val="00275BFA"/>
    <w:rsid w:val="002857B0"/>
    <w:rsid w:val="002B357E"/>
    <w:rsid w:val="002B55B8"/>
    <w:rsid w:val="002C3B35"/>
    <w:rsid w:val="003002BE"/>
    <w:rsid w:val="00337B15"/>
    <w:rsid w:val="00351A14"/>
    <w:rsid w:val="00370ED0"/>
    <w:rsid w:val="00371A87"/>
    <w:rsid w:val="003B0493"/>
    <w:rsid w:val="003B5094"/>
    <w:rsid w:val="003B78DF"/>
    <w:rsid w:val="003C3ECF"/>
    <w:rsid w:val="003C7D3D"/>
    <w:rsid w:val="003E3994"/>
    <w:rsid w:val="003E5821"/>
    <w:rsid w:val="003F0E64"/>
    <w:rsid w:val="003F4FBB"/>
    <w:rsid w:val="00423901"/>
    <w:rsid w:val="00436D50"/>
    <w:rsid w:val="00451472"/>
    <w:rsid w:val="00481C81"/>
    <w:rsid w:val="00491E31"/>
    <w:rsid w:val="004A01FD"/>
    <w:rsid w:val="004A4461"/>
    <w:rsid w:val="004C343D"/>
    <w:rsid w:val="004D13BA"/>
    <w:rsid w:val="005129E8"/>
    <w:rsid w:val="00512C34"/>
    <w:rsid w:val="0052176C"/>
    <w:rsid w:val="0052327B"/>
    <w:rsid w:val="005250F0"/>
    <w:rsid w:val="00536896"/>
    <w:rsid w:val="00540DB0"/>
    <w:rsid w:val="00541A35"/>
    <w:rsid w:val="00561FB3"/>
    <w:rsid w:val="005753A1"/>
    <w:rsid w:val="005A51FC"/>
    <w:rsid w:val="005B2950"/>
    <w:rsid w:val="005D43B1"/>
    <w:rsid w:val="005F7B1E"/>
    <w:rsid w:val="00613ADD"/>
    <w:rsid w:val="0062591D"/>
    <w:rsid w:val="0063324A"/>
    <w:rsid w:val="00693132"/>
    <w:rsid w:val="006A3D0F"/>
    <w:rsid w:val="006B0ED0"/>
    <w:rsid w:val="006C29E9"/>
    <w:rsid w:val="006D458A"/>
    <w:rsid w:val="006D45C7"/>
    <w:rsid w:val="006E6AE6"/>
    <w:rsid w:val="006F3199"/>
    <w:rsid w:val="006F5628"/>
    <w:rsid w:val="006F7B5A"/>
    <w:rsid w:val="00713FB6"/>
    <w:rsid w:val="00732F4B"/>
    <w:rsid w:val="00751AE9"/>
    <w:rsid w:val="00751BE9"/>
    <w:rsid w:val="00767949"/>
    <w:rsid w:val="007707A8"/>
    <w:rsid w:val="00771BB9"/>
    <w:rsid w:val="0078555E"/>
    <w:rsid w:val="007B23DE"/>
    <w:rsid w:val="007E6D17"/>
    <w:rsid w:val="007F1AA7"/>
    <w:rsid w:val="00833FBE"/>
    <w:rsid w:val="00840EEC"/>
    <w:rsid w:val="00842FB1"/>
    <w:rsid w:val="008742DF"/>
    <w:rsid w:val="00880FE1"/>
    <w:rsid w:val="00884252"/>
    <w:rsid w:val="00895F7F"/>
    <w:rsid w:val="008A4DC4"/>
    <w:rsid w:val="008A5E37"/>
    <w:rsid w:val="008A6BCA"/>
    <w:rsid w:val="008E2998"/>
    <w:rsid w:val="008F33CD"/>
    <w:rsid w:val="009340B6"/>
    <w:rsid w:val="009416CB"/>
    <w:rsid w:val="00941DA6"/>
    <w:rsid w:val="00946CEB"/>
    <w:rsid w:val="009473BA"/>
    <w:rsid w:val="009807D1"/>
    <w:rsid w:val="009A48A8"/>
    <w:rsid w:val="009A6CA3"/>
    <w:rsid w:val="009D1D8B"/>
    <w:rsid w:val="00A174F9"/>
    <w:rsid w:val="00A66C68"/>
    <w:rsid w:val="00A83C62"/>
    <w:rsid w:val="00A97A9A"/>
    <w:rsid w:val="00AA0CFB"/>
    <w:rsid w:val="00AA1895"/>
    <w:rsid w:val="00AB4789"/>
    <w:rsid w:val="00AC25A9"/>
    <w:rsid w:val="00AC3A3D"/>
    <w:rsid w:val="00AD0E2A"/>
    <w:rsid w:val="00AD4FD5"/>
    <w:rsid w:val="00B24107"/>
    <w:rsid w:val="00B5452C"/>
    <w:rsid w:val="00B5639B"/>
    <w:rsid w:val="00B56984"/>
    <w:rsid w:val="00B6486B"/>
    <w:rsid w:val="00BB31F0"/>
    <w:rsid w:val="00BC7E10"/>
    <w:rsid w:val="00BD0B6C"/>
    <w:rsid w:val="00BD13C4"/>
    <w:rsid w:val="00BD7AAA"/>
    <w:rsid w:val="00BF0771"/>
    <w:rsid w:val="00C04D50"/>
    <w:rsid w:val="00C1531C"/>
    <w:rsid w:val="00C20CC1"/>
    <w:rsid w:val="00C40993"/>
    <w:rsid w:val="00C41BF0"/>
    <w:rsid w:val="00C55E47"/>
    <w:rsid w:val="00C56953"/>
    <w:rsid w:val="00C607B5"/>
    <w:rsid w:val="00C63401"/>
    <w:rsid w:val="00C65EF7"/>
    <w:rsid w:val="00C8216F"/>
    <w:rsid w:val="00C85D0F"/>
    <w:rsid w:val="00CA0342"/>
    <w:rsid w:val="00CC2156"/>
    <w:rsid w:val="00D05CBA"/>
    <w:rsid w:val="00D3662E"/>
    <w:rsid w:val="00D43DB3"/>
    <w:rsid w:val="00D56923"/>
    <w:rsid w:val="00D74CC3"/>
    <w:rsid w:val="00D839DD"/>
    <w:rsid w:val="00D94B43"/>
    <w:rsid w:val="00DA3763"/>
    <w:rsid w:val="00DD61C4"/>
    <w:rsid w:val="00DF2595"/>
    <w:rsid w:val="00E10BF2"/>
    <w:rsid w:val="00E2282B"/>
    <w:rsid w:val="00E23629"/>
    <w:rsid w:val="00E27028"/>
    <w:rsid w:val="00E80B81"/>
    <w:rsid w:val="00E84875"/>
    <w:rsid w:val="00E84A81"/>
    <w:rsid w:val="00EA73D7"/>
    <w:rsid w:val="00ED2E3C"/>
    <w:rsid w:val="00EF5EA7"/>
    <w:rsid w:val="00F02D1B"/>
    <w:rsid w:val="00F21C7F"/>
    <w:rsid w:val="00F31CEC"/>
    <w:rsid w:val="00F426AA"/>
    <w:rsid w:val="00F43F1E"/>
    <w:rsid w:val="00F44B0B"/>
    <w:rsid w:val="00F62B0B"/>
    <w:rsid w:val="00F9137D"/>
    <w:rsid w:val="00F9531F"/>
    <w:rsid w:val="00FB4745"/>
    <w:rsid w:val="00FC5E78"/>
    <w:rsid w:val="00FD18F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0C5D20"/>
  <w15:chartTrackingRefBased/>
  <w15:docId w15:val="{CD8B2593-988A-4982-BC1C-DFECEB808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1A1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67483"/>
    <w:pPr>
      <w:spacing w:before="480" w:after="240"/>
    </w:pPr>
  </w:style>
  <w:style w:type="paragraph" w:styleId="TOC1">
    <w:name w:val="toc 1"/>
    <w:basedOn w:val="Normal"/>
    <w:next w:val="Normal"/>
    <w:uiPriority w:val="39"/>
    <w:rsid w:val="00AC25A9"/>
    <w:pPr>
      <w:spacing w:after="240"/>
    </w:pPr>
  </w:style>
  <w:style w:type="paragraph" w:styleId="TOCHeading">
    <w:name w:val="TOC Heading"/>
    <w:basedOn w:val="Normal"/>
    <w:next w:val="TOCPage"/>
    <w:rsid w:val="00BD7AAA"/>
    <w:pPr>
      <w:keepNext/>
      <w:spacing w:before="240" w:after="240"/>
      <w:jc w:val="center"/>
    </w:pPr>
    <w:rPr>
      <w:rFonts w:ascii="Arial" w:hAnsi="Arial"/>
      <w:b/>
    </w:rPr>
  </w:style>
  <w:style w:type="paragraph" w:customStyle="1" w:styleId="TOCPage">
    <w:name w:val="TOC Page"/>
    <w:basedOn w:val="Normal"/>
    <w:next w:val="TOC1"/>
    <w:rsid w:val="00BD7AAA"/>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qFormat/>
    <w:rsid w:val="005753A1"/>
    <w:pPr>
      <w:spacing w:after="240"/>
      <w:ind w:left="567" w:hanging="567"/>
    </w:pPr>
    <w:rPr>
      <w:szCs w:val="24"/>
    </w:rPr>
  </w:style>
  <w:style w:type="paragraph" w:customStyle="1" w:styleId="EPName">
    <w:name w:val="EPName"/>
    <w:basedOn w:val="Normal"/>
    <w:rsid w:val="003B5094"/>
    <w:pPr>
      <w:spacing w:before="80" w:after="80"/>
    </w:pPr>
    <w:rPr>
      <w:rFonts w:ascii="Arial Narrow" w:hAnsi="Arial Narrow" w:cs="Arial"/>
      <w:b/>
      <w:sz w:val="32"/>
      <w:szCs w:val="22"/>
    </w:rPr>
  </w:style>
  <w:style w:type="paragraph" w:customStyle="1" w:styleId="CoverNormal24a">
    <w:name w:val="CoverNormal24a"/>
    <w:basedOn w:val="Normal"/>
    <w:rsid w:val="00481C8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561FB3"/>
    <w:pPr>
      <w:spacing w:before="1080"/>
      <w:jc w:val="right"/>
    </w:pPr>
    <w:rPr>
      <w:rFonts w:ascii="Arial" w:hAnsi="Arial" w:cs="Arial"/>
      <w:b/>
    </w:rPr>
  </w:style>
  <w:style w:type="paragraph" w:customStyle="1" w:styleId="CoverDocType24a">
    <w:name w:val="CoverDocType24a"/>
    <w:basedOn w:val="Normal"/>
    <w:rsid w:val="007F1AA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046D7"/>
    <w:pPr>
      <w:tabs>
        <w:tab w:val="center" w:pos="4513"/>
        <w:tab w:val="right" w:pos="9026"/>
      </w:tabs>
    </w:pPr>
  </w:style>
  <w:style w:type="paragraph" w:customStyle="1" w:styleId="EPTerm">
    <w:name w:val="EPTerm"/>
    <w:basedOn w:val="Normal"/>
    <w:next w:val="Normal"/>
    <w:rsid w:val="003B5094"/>
    <w:pPr>
      <w:spacing w:after="80"/>
    </w:pPr>
    <w:rPr>
      <w:rFonts w:ascii="Arial" w:hAnsi="Arial" w:cs="Arial"/>
      <w:sz w:val="20"/>
      <w:szCs w:val="22"/>
    </w:rPr>
  </w:style>
  <w:style w:type="paragraph" w:styleId="TOC2">
    <w:name w:val="toc 2"/>
    <w:basedOn w:val="Normal"/>
    <w:next w:val="Normal"/>
    <w:semiHidden/>
    <w:pPr>
      <w:ind w:left="227"/>
    </w:pPr>
  </w:style>
  <w:style w:type="table" w:styleId="TableGrid">
    <w:name w:val="Table Grid"/>
    <w:basedOn w:val="TableNormal"/>
    <w:rsid w:val="00F913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F9137D"/>
    <w:pPr>
      <w:jc w:val="center"/>
    </w:pPr>
    <w:rPr>
      <w:rFonts w:ascii="Arial" w:hAnsi="Arial" w:cs="Arial"/>
      <w:i/>
      <w:sz w:val="22"/>
      <w:szCs w:val="22"/>
    </w:rPr>
  </w:style>
  <w:style w:type="paragraph" w:customStyle="1" w:styleId="LineTop">
    <w:name w:val="LineTop"/>
    <w:basedOn w:val="Normal"/>
    <w:next w:val="Normal"/>
    <w:rsid w:val="00F913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9137D"/>
    <w:pPr>
      <w:pBdr>
        <w:bottom w:val="single" w:sz="4" w:space="1" w:color="auto"/>
      </w:pBdr>
      <w:spacing w:after="240"/>
      <w:jc w:val="center"/>
    </w:pPr>
    <w:rPr>
      <w:rFonts w:ascii="Arial" w:hAnsi="Arial" w:cs="Arial"/>
      <w:sz w:val="16"/>
      <w:szCs w:val="16"/>
    </w:rPr>
  </w:style>
  <w:style w:type="paragraph" w:customStyle="1" w:styleId="EPLogo">
    <w:name w:val="EPLogo"/>
    <w:basedOn w:val="Normal"/>
    <w:qFormat/>
    <w:rsid w:val="003B5094"/>
    <w:pPr>
      <w:jc w:val="right"/>
    </w:pPr>
  </w:style>
  <w:style w:type="paragraph" w:customStyle="1" w:styleId="EPFooter">
    <w:name w:val="EPFooter"/>
    <w:basedOn w:val="Normal"/>
    <w:rsid w:val="00481C8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046D7"/>
    <w:rPr>
      <w:sz w:val="24"/>
    </w:rPr>
  </w:style>
  <w:style w:type="paragraph" w:styleId="FootnoteText">
    <w:name w:val="footnote text"/>
    <w:basedOn w:val="Normal"/>
    <w:link w:val="FootnoteTextChar"/>
    <w:rsid w:val="005753A1"/>
    <w:rPr>
      <w:sz w:val="20"/>
    </w:rPr>
  </w:style>
  <w:style w:type="character" w:customStyle="1" w:styleId="FootnoteTextChar">
    <w:name w:val="Footnote Text Char"/>
    <w:basedOn w:val="DefaultParagraphFont"/>
    <w:link w:val="FootnoteText"/>
    <w:rsid w:val="005753A1"/>
  </w:style>
  <w:style w:type="character" w:styleId="FootnoteReference">
    <w:name w:val="footnote reference"/>
    <w:basedOn w:val="DefaultParagraphFont"/>
    <w:rsid w:val="005753A1"/>
    <w:rPr>
      <w:vertAlign w:val="superscript"/>
    </w:rPr>
  </w:style>
  <w:style w:type="paragraph" w:styleId="Footer">
    <w:name w:val="footer"/>
    <w:basedOn w:val="Normal"/>
    <w:link w:val="FooterChar"/>
    <w:semiHidden/>
    <w:rsid w:val="005753A1"/>
    <w:pPr>
      <w:tabs>
        <w:tab w:val="center" w:pos="4513"/>
        <w:tab w:val="right" w:pos="9026"/>
      </w:tabs>
    </w:pPr>
  </w:style>
  <w:style w:type="character" w:customStyle="1" w:styleId="FooterChar">
    <w:name w:val="Footer Char"/>
    <w:basedOn w:val="DefaultParagraphFont"/>
    <w:link w:val="Footer"/>
    <w:semiHidden/>
    <w:rsid w:val="005753A1"/>
    <w:rPr>
      <w:sz w:val="24"/>
    </w:rPr>
  </w:style>
  <w:style w:type="character" w:customStyle="1" w:styleId="NormalHanging12aChar">
    <w:name w:val="NormalHanging12a Char"/>
    <w:basedOn w:val="DefaultParagraphFont"/>
    <w:link w:val="NormalHanging12a"/>
    <w:locked/>
    <w:rsid w:val="00D43DB3"/>
    <w:rPr>
      <w:sz w:val="24"/>
      <w:szCs w:val="24"/>
    </w:rPr>
  </w:style>
  <w:style w:type="character" w:customStyle="1" w:styleId="normaltextrun">
    <w:name w:val="normaltextrun"/>
    <w:basedOn w:val="DefaultParagraphFont"/>
    <w:rsid w:val="00D43DB3"/>
  </w:style>
  <w:style w:type="character" w:styleId="CommentReference">
    <w:name w:val="annotation reference"/>
    <w:basedOn w:val="DefaultParagraphFont"/>
    <w:rsid w:val="00491E31"/>
    <w:rPr>
      <w:sz w:val="16"/>
      <w:szCs w:val="16"/>
    </w:rPr>
  </w:style>
  <w:style w:type="paragraph" w:styleId="CommentText">
    <w:name w:val="annotation text"/>
    <w:basedOn w:val="Normal"/>
    <w:link w:val="CommentTextChar"/>
    <w:rsid w:val="00491E31"/>
    <w:rPr>
      <w:sz w:val="20"/>
    </w:rPr>
  </w:style>
  <w:style w:type="character" w:customStyle="1" w:styleId="CommentTextChar">
    <w:name w:val="Comment Text Char"/>
    <w:basedOn w:val="DefaultParagraphFont"/>
    <w:link w:val="CommentText"/>
    <w:rsid w:val="00491E31"/>
  </w:style>
  <w:style w:type="paragraph" w:styleId="CommentSubject">
    <w:name w:val="annotation subject"/>
    <w:basedOn w:val="CommentText"/>
    <w:next w:val="CommentText"/>
    <w:link w:val="CommentSubjectChar"/>
    <w:semiHidden/>
    <w:unhideWhenUsed/>
    <w:rsid w:val="00491E31"/>
    <w:rPr>
      <w:b/>
      <w:bCs/>
    </w:rPr>
  </w:style>
  <w:style w:type="character" w:customStyle="1" w:styleId="CommentSubjectChar">
    <w:name w:val="Comment Subject Char"/>
    <w:basedOn w:val="CommentTextChar"/>
    <w:link w:val="CommentSubject"/>
    <w:semiHidden/>
    <w:rsid w:val="00491E31"/>
    <w:rPr>
      <w:b/>
      <w:bCs/>
    </w:rPr>
  </w:style>
  <w:style w:type="paragraph" w:styleId="BalloonText">
    <w:name w:val="Balloon Text"/>
    <w:basedOn w:val="Normal"/>
    <w:link w:val="BalloonTextChar"/>
    <w:semiHidden/>
    <w:unhideWhenUsed/>
    <w:rsid w:val="00491E31"/>
    <w:rPr>
      <w:rFonts w:ascii="Segoe UI" w:hAnsi="Segoe UI" w:cs="Segoe UI"/>
      <w:sz w:val="18"/>
      <w:szCs w:val="18"/>
    </w:rPr>
  </w:style>
  <w:style w:type="character" w:customStyle="1" w:styleId="BalloonTextChar">
    <w:name w:val="Balloon Text Char"/>
    <w:basedOn w:val="DefaultParagraphFont"/>
    <w:link w:val="BalloonText"/>
    <w:semiHidden/>
    <w:rsid w:val="00491E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46473-2A67-4800-A87F-218A1DD7F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6195</Words>
  <Characters>37481</Characters>
  <Application>Microsoft Office Word</Application>
  <DocSecurity>0</DocSecurity>
  <Lines>585</Lines>
  <Paragraphs>133</Paragraphs>
  <ScaleCrop>false</ScaleCrop>
  <HeadingPairs>
    <vt:vector size="2" baseType="variant">
      <vt:variant>
        <vt:lpstr>Title</vt:lpstr>
      </vt:variant>
      <vt:variant>
        <vt:i4>1</vt:i4>
      </vt:variant>
    </vt:vector>
  </HeadingPairs>
  <TitlesOfParts>
    <vt:vector size="1" baseType="lpstr">
      <vt:lpstr>PR_Dec_Other</vt:lpstr>
    </vt:vector>
  </TitlesOfParts>
  <Company/>
  <LinksUpToDate>false</LinksUpToDate>
  <CharactersWithSpaces>43543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PR_Dec_Other</dc:title>
  <dc:creator>BALCANU Anca</dc:creator>
  <cp:lastModifiedBy>HEINSOEE Katja</cp:lastModifiedBy>
  <cp:revision>2</cp:revision>
  <cp:lastPrinted>2004-12-08T15:27:00Z</cp:lastPrinted>
  <dcterms:created xsi:type="dcterms:W3CDTF">2024-01-18T12:06:00Z</dcterms:created>
  <dcterms:modified xsi:type="dcterms:W3CDTF">2024-01-18T12:06:00Z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1286080</vt:lpwstr>
  </property>
  <property fmtid="{D5CDD505-2E9C-101B-9397-08002B2CF9AE}" pid="4" name="&lt;Model&gt;">
    <vt:lpwstr>PR_DEC_Other</vt:lpwstr>
  </property>
  <property fmtid="{D5CDD505-2E9C-101B-9397-08002B2CF9AE}" pid="5" name="&lt;ModelCod&gt;">
    <vt:lpwstr>\\eiciBRUpr1\pdocep$\DocEP\DOCS\General\PR\PR_BUD\DEC\PR_DEC_Other.dotx(13/10/2022 07:29:32)</vt:lpwstr>
  </property>
  <property fmtid="{D5CDD505-2E9C-101B-9397-08002B2CF9AE}" pid="6" name="&lt;ModelTra&gt;">
    <vt:lpwstr>\\eiciBRUpr1\pdocep$\DocEP\TRANSFIL\EN\PR_DEC_Other.EN(25/09/2023 08:38:00)</vt:lpwstr>
  </property>
  <property fmtid="{D5CDD505-2E9C-101B-9397-08002B2CF9AE}" pid="7" name="&lt;Type&gt;">
    <vt:lpwstr>PR</vt:lpwstr>
  </property>
  <property fmtid="{D5CDD505-2E9C-101B-9397-08002B2CF9AE}" pid="8" name="Created with">
    <vt:lpwstr>9.16.1 Build [20230915]</vt:lpwstr>
  </property>
  <property fmtid="{D5CDD505-2E9C-101B-9397-08002B2CF9AE}" pid="9" name="FooterPath">
    <vt:lpwstr>PR\1286080DA.docx</vt:lpwstr>
  </property>
  <property fmtid="{D5CDD505-2E9C-101B-9397-08002B2CF9AE}" pid="10" name="LastEdited with">
    <vt:lpwstr>9.17.1 Build [20240101]</vt:lpwstr>
  </property>
  <property fmtid="{D5CDD505-2E9C-101B-9397-08002B2CF9AE}" pid="11" name="PE number">
    <vt:lpwstr>753.483</vt:lpwstr>
  </property>
  <property fmtid="{D5CDD505-2E9C-101B-9397-08002B2CF9AE}" pid="12" name="SDLStudio">
    <vt:lpwstr/>
  </property>
  <property fmtid="{D5CDD505-2E9C-101B-9397-08002B2CF9AE}" pid="13" name="SendToEpades">
    <vt:lpwstr>OK - 2023/12/13 12:36</vt:lpwstr>
  </property>
  <property fmtid="{D5CDD505-2E9C-101B-9397-08002B2CF9AE}" pid="14" name="Bookout">
    <vt:lpwstr>OK - 2024/01/18 13:06</vt:lpwstr>
  </property>
</Properties>
</file>