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AA2B01" w:rsidTr="00C85D0F">
        <w:trPr>
          <w:trHeight w:hRule="exact" w:val="1418"/>
        </w:trPr>
        <w:tc>
          <w:tcPr>
            <w:tcW w:w="6804" w:type="dxa"/>
            <w:shd w:val="clear" w:color="auto" w:fill="auto"/>
            <w:vAlign w:val="center"/>
          </w:tcPr>
          <w:p w:rsidR="004749EC" w:rsidRPr="00AA2B01" w:rsidRDefault="00AA2B01" w:rsidP="00C85D0F">
            <w:pPr>
              <w:pStyle w:val="EPName"/>
            </w:pPr>
            <w:bookmarkStart w:id="0" w:name="_GoBack"/>
            <w:bookmarkEnd w:id="0"/>
            <w:r>
              <w:t>Evropski parlament</w:t>
            </w:r>
          </w:p>
          <w:p w:rsidR="004749EC" w:rsidRPr="00901196" w:rsidRDefault="00901196" w:rsidP="00901196">
            <w:pPr>
              <w:pStyle w:val="EPTerm"/>
            </w:pPr>
            <w:r>
              <w:t>2019-2024</w:t>
            </w:r>
          </w:p>
        </w:tc>
        <w:tc>
          <w:tcPr>
            <w:tcW w:w="2268" w:type="dxa"/>
            <w:shd w:val="clear" w:color="auto" w:fill="auto"/>
          </w:tcPr>
          <w:p w:rsidR="004749EC" w:rsidRPr="00AA2B01" w:rsidRDefault="004749EC" w:rsidP="00C85D0F">
            <w:pPr>
              <w:pStyle w:val="EPLogo"/>
            </w:pPr>
            <w:r w:rsidRPr="00AA2B01">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AA2B01" w:rsidRDefault="00390068" w:rsidP="00390068">
      <w:pPr>
        <w:pStyle w:val="LineTop"/>
      </w:pPr>
    </w:p>
    <w:p w:rsidR="00390068" w:rsidRPr="00AA2B01" w:rsidRDefault="00390068" w:rsidP="00390068">
      <w:pPr>
        <w:pStyle w:val="EPBody"/>
      </w:pPr>
      <w:r>
        <w:rPr>
          <w:rStyle w:val="HideTWBExt"/>
        </w:rPr>
        <w:t>&lt;</w:t>
      </w:r>
      <w:r>
        <w:rPr>
          <w:rStyle w:val="HideTWBExt"/>
          <w:i w:val="0"/>
        </w:rPr>
        <w:t>Commission</w:t>
      </w:r>
      <w:r>
        <w:rPr>
          <w:rStyle w:val="HideTWBExt"/>
        </w:rPr>
        <w:t>&gt;</w:t>
      </w:r>
      <w:r>
        <w:rPr>
          <w:rStyle w:val="HideTWBInt"/>
          <w:i w:val="0"/>
        </w:rPr>
        <w:t>{CONT}</w:t>
      </w:r>
      <w:r>
        <w:t>Odbor za proračunski nadzor</w:t>
      </w:r>
      <w:r>
        <w:rPr>
          <w:rStyle w:val="HideTWBExt"/>
        </w:rPr>
        <w:t>&lt;/</w:t>
      </w:r>
      <w:r>
        <w:rPr>
          <w:rStyle w:val="HideTWBExt"/>
          <w:i w:val="0"/>
        </w:rPr>
        <w:t>Commission</w:t>
      </w:r>
      <w:r>
        <w:rPr>
          <w:rStyle w:val="HideTWBExt"/>
        </w:rPr>
        <w:t>&gt;</w:t>
      </w:r>
    </w:p>
    <w:p w:rsidR="00390068" w:rsidRPr="00AA2B01" w:rsidRDefault="00390068" w:rsidP="00390068">
      <w:pPr>
        <w:pStyle w:val="LineBottom"/>
      </w:pPr>
    </w:p>
    <w:p w:rsidR="00C1531C" w:rsidRPr="00AA2B01" w:rsidRDefault="00C1531C">
      <w:pPr>
        <w:pStyle w:val="CoverReference"/>
      </w:pPr>
      <w:r>
        <w:rPr>
          <w:rStyle w:val="HideTWBExt"/>
          <w:b w:val="0"/>
        </w:rPr>
        <w:t>&lt;RefProc&gt;</w:t>
      </w:r>
      <w:r>
        <w:t>2023/2146</w:t>
      </w:r>
      <w:r>
        <w:rPr>
          <w:rStyle w:val="HideTWBExt"/>
          <w:b w:val="0"/>
        </w:rPr>
        <w:t>&lt;/RefProc&gt;&lt;RefTypeProc&gt;</w:t>
      </w:r>
      <w:r>
        <w:t>(DEC)</w:t>
      </w:r>
      <w:r>
        <w:rPr>
          <w:rStyle w:val="HideTWBExt"/>
          <w:b w:val="0"/>
        </w:rPr>
        <w:t>&lt;/RefTypeProc&gt;</w:t>
      </w:r>
    </w:p>
    <w:p w:rsidR="00C1531C" w:rsidRPr="00AA2B01" w:rsidRDefault="00C1531C">
      <w:pPr>
        <w:pStyle w:val="CoverDate"/>
      </w:pPr>
      <w:r>
        <w:rPr>
          <w:rStyle w:val="HideTWBExt"/>
        </w:rPr>
        <w:t>&lt;Date&gt;</w:t>
      </w:r>
      <w:r>
        <w:rPr>
          <w:rStyle w:val="HideTWBInt"/>
        </w:rPr>
        <w:t>{16/01/2024}</w:t>
      </w:r>
      <w:r>
        <w:t>16.1.2024</w:t>
      </w:r>
      <w:r>
        <w:rPr>
          <w:rStyle w:val="HideTWBExt"/>
        </w:rPr>
        <w:t>&lt;/Date&gt;</w:t>
      </w:r>
    </w:p>
    <w:p w:rsidR="00C1531C" w:rsidRPr="00AA2B01" w:rsidRDefault="00C1531C">
      <w:pPr>
        <w:pStyle w:val="CoverDocType24a"/>
      </w:pPr>
      <w:r>
        <w:rPr>
          <w:rStyle w:val="HideTWBExt"/>
          <w:b w:val="0"/>
        </w:rPr>
        <w:t>&lt;TitreType&gt;</w:t>
      </w:r>
      <w:r>
        <w:t>OSNUTEK POROČILA</w:t>
      </w:r>
      <w:r>
        <w:rPr>
          <w:rStyle w:val="HideTWBExt"/>
          <w:b w:val="0"/>
        </w:rPr>
        <w:t>&lt;/TitreType&gt;</w:t>
      </w:r>
    </w:p>
    <w:p w:rsidR="00C1531C" w:rsidRPr="00AA2B01" w:rsidRDefault="00C1531C">
      <w:pPr>
        <w:pStyle w:val="CoverNormal"/>
      </w:pPr>
      <w:r>
        <w:rPr>
          <w:rStyle w:val="HideTWBExt"/>
        </w:rPr>
        <w:t>&lt;Titre&gt;</w:t>
      </w:r>
      <w:r>
        <w:t>o razrešnici glede izvrševanja proračuna Evropskega bančnega organa za proračunsko leto 2022</w:t>
      </w:r>
      <w:r>
        <w:rPr>
          <w:rStyle w:val="HideTWBExt"/>
        </w:rPr>
        <w:t>&lt;/Titre&gt;</w:t>
      </w:r>
    </w:p>
    <w:p w:rsidR="00C1531C" w:rsidRPr="00AA2B01" w:rsidRDefault="005C689E">
      <w:pPr>
        <w:pStyle w:val="CoverNormal24a"/>
      </w:pPr>
      <w:r>
        <w:rPr>
          <w:rStyle w:val="HideTWBExt"/>
        </w:rPr>
        <w:t>&lt;DocRef&gt;</w:t>
      </w:r>
      <w:r>
        <w:t>(2023/2146(DEC))</w:t>
      </w:r>
      <w:r>
        <w:rPr>
          <w:rStyle w:val="HideTWBExt"/>
        </w:rPr>
        <w:t>&lt;/DocRef&gt;</w:t>
      </w:r>
    </w:p>
    <w:p w:rsidR="00C1531C" w:rsidRPr="00AA2B01" w:rsidRDefault="00C1531C">
      <w:pPr>
        <w:pStyle w:val="CoverNormal24a"/>
      </w:pPr>
      <w:r>
        <w:rPr>
          <w:rStyle w:val="HideTWBExt"/>
        </w:rPr>
        <w:t>&lt;Commission&gt;</w:t>
      </w:r>
      <w:r>
        <w:rPr>
          <w:rStyle w:val="HideTWBInt"/>
        </w:rPr>
        <w:t>{CONT}</w:t>
      </w:r>
      <w:r>
        <w:t>Odbor za proračunski nadzor</w:t>
      </w:r>
      <w:r>
        <w:rPr>
          <w:rStyle w:val="HideTWBExt"/>
        </w:rPr>
        <w:t>&lt;/Commission&gt;</w:t>
      </w:r>
    </w:p>
    <w:p w:rsidR="00C1531C" w:rsidRPr="00AA2B01" w:rsidRDefault="00901196">
      <w:pPr>
        <w:pStyle w:val="CoverNormal24a"/>
      </w:pPr>
      <w:r>
        <w:t xml:space="preserve">Poročevalec: </w:t>
      </w:r>
      <w:r>
        <w:rPr>
          <w:rStyle w:val="HideTWBExt"/>
        </w:rPr>
        <w:t>&lt;Depute&gt;</w:t>
      </w:r>
      <w:r>
        <w:t>Petri Sarvamaa</w:t>
      </w:r>
      <w:r>
        <w:rPr>
          <w:rStyle w:val="HideTWBExt"/>
        </w:rPr>
        <w:t>&lt;/Depute&gt;</w:t>
      </w:r>
    </w:p>
    <w:p w:rsidR="00320A9A" w:rsidRPr="00AA2B01" w:rsidRDefault="00320A9A" w:rsidP="00320A9A">
      <w:pPr>
        <w:pStyle w:val="CoverNormal"/>
      </w:pPr>
    </w:p>
    <w:p w:rsidR="00C1531C" w:rsidRPr="00AA2B01" w:rsidRDefault="00C1531C" w:rsidP="00D46466">
      <w:pPr>
        <w:widowControl/>
        <w:tabs>
          <w:tab w:val="center" w:pos="4677"/>
        </w:tabs>
      </w:pPr>
      <w:r>
        <w:br w:type="page"/>
      </w:r>
      <w:r>
        <w:lastRenderedPageBreak/>
        <w:t>PR_DEC_Agencies</w:t>
      </w:r>
    </w:p>
    <w:p w:rsidR="00C1531C" w:rsidRPr="00AA2B01" w:rsidRDefault="00AA2B01">
      <w:pPr>
        <w:pStyle w:val="TOCHeading"/>
      </w:pPr>
      <w:r>
        <w:t>VSEBINA</w:t>
      </w:r>
    </w:p>
    <w:p w:rsidR="00837B2B" w:rsidRPr="00AA2B01" w:rsidRDefault="00AA2B01" w:rsidP="00837B2B">
      <w:pPr>
        <w:pStyle w:val="TOCPage"/>
      </w:pPr>
      <w:r>
        <w:t>Stran</w:t>
      </w:r>
    </w:p>
    <w:p w:rsidR="00D35E15" w:rsidRDefault="00837B2B">
      <w:pPr>
        <w:pStyle w:val="TOC1"/>
        <w:tabs>
          <w:tab w:val="right" w:leader="dot" w:pos="9060"/>
        </w:tabs>
        <w:rPr>
          <w:rFonts w:asciiTheme="minorHAnsi" w:eastAsiaTheme="minorEastAsia" w:hAnsiTheme="minorHAnsi" w:cstheme="minorBidi"/>
          <w:sz w:val="22"/>
          <w:szCs w:val="22"/>
          <w:lang w:val="en-GB"/>
        </w:rPr>
      </w:pPr>
      <w:r w:rsidRPr="00AA2B01">
        <w:rPr>
          <w:b/>
        </w:rPr>
        <w:fldChar w:fldCharType="begin"/>
      </w:r>
      <w:r w:rsidRPr="00AA2B01">
        <w:rPr>
          <w:b/>
        </w:rPr>
        <w:instrText xml:space="preserve"> TOC \t "PageHeading</w:instrText>
      </w:r>
      <w:r w:rsidR="00D35E15">
        <w:rPr>
          <w:b/>
        </w:rPr>
        <w:instrText>;</w:instrText>
      </w:r>
      <w:r w:rsidRPr="00AA2B01">
        <w:rPr>
          <w:b/>
        </w:rPr>
        <w:instrText xml:space="preserve">1" </w:instrText>
      </w:r>
      <w:r w:rsidRPr="00AA2B01">
        <w:rPr>
          <w:b/>
        </w:rPr>
        <w:fldChar w:fldCharType="separate"/>
      </w:r>
      <w:r w:rsidR="00D35E15">
        <w:t>1. PREDLOG SKLEPA EVROPSKEGA PARLAMENTA</w:t>
      </w:r>
      <w:r w:rsidR="00D35E15">
        <w:tab/>
      </w:r>
      <w:r w:rsidR="00D35E15">
        <w:fldChar w:fldCharType="begin"/>
      </w:r>
      <w:r w:rsidR="00D35E15">
        <w:instrText xml:space="preserve"> PAGEREF _Toc157157373 \h </w:instrText>
      </w:r>
      <w:r w:rsidR="00D35E15">
        <w:fldChar w:fldCharType="separate"/>
      </w:r>
      <w:r w:rsidR="00D35E15">
        <w:t>3</w:t>
      </w:r>
      <w:r w:rsidR="00D35E15">
        <w:fldChar w:fldCharType="end"/>
      </w:r>
    </w:p>
    <w:p w:rsidR="00D35E15" w:rsidRDefault="00D35E15">
      <w:pPr>
        <w:pStyle w:val="TOC1"/>
        <w:tabs>
          <w:tab w:val="right" w:leader="dot" w:pos="9060"/>
        </w:tabs>
        <w:rPr>
          <w:rFonts w:asciiTheme="minorHAnsi" w:eastAsiaTheme="minorEastAsia" w:hAnsiTheme="minorHAnsi" w:cstheme="minorBidi"/>
          <w:sz w:val="22"/>
          <w:szCs w:val="22"/>
          <w:lang w:val="en-GB"/>
        </w:rPr>
      </w:pPr>
      <w:r>
        <w:t>2. PREDLOG SKLEPA EVROPSKEGA PARLAMENTA</w:t>
      </w:r>
      <w:r>
        <w:tab/>
      </w:r>
      <w:r>
        <w:fldChar w:fldCharType="begin"/>
      </w:r>
      <w:r>
        <w:instrText xml:space="preserve"> PAGEREF _Toc157157374 \h </w:instrText>
      </w:r>
      <w:r>
        <w:fldChar w:fldCharType="separate"/>
      </w:r>
      <w:r>
        <w:t>5</w:t>
      </w:r>
      <w:r>
        <w:fldChar w:fldCharType="end"/>
      </w:r>
    </w:p>
    <w:p w:rsidR="00D35E15" w:rsidRDefault="00D35E15">
      <w:pPr>
        <w:pStyle w:val="TOC1"/>
        <w:tabs>
          <w:tab w:val="right" w:leader="dot" w:pos="9060"/>
        </w:tabs>
        <w:rPr>
          <w:rFonts w:asciiTheme="minorHAnsi" w:eastAsiaTheme="minorEastAsia" w:hAnsiTheme="minorHAnsi" w:cstheme="minorBidi"/>
          <w:sz w:val="22"/>
          <w:szCs w:val="22"/>
          <w:lang w:val="en-GB"/>
        </w:rPr>
      </w:pPr>
      <w:r>
        <w:t>3. PREDLOG RESOLUCIJE EVROPSKEGA PARLAMENTA</w:t>
      </w:r>
      <w:r>
        <w:tab/>
      </w:r>
      <w:r>
        <w:fldChar w:fldCharType="begin"/>
      </w:r>
      <w:r>
        <w:instrText xml:space="preserve"> PAGEREF _Toc157157375 \h </w:instrText>
      </w:r>
      <w:r>
        <w:fldChar w:fldCharType="separate"/>
      </w:r>
      <w:r>
        <w:t>7</w:t>
      </w:r>
      <w:r>
        <w:fldChar w:fldCharType="end"/>
      </w:r>
    </w:p>
    <w:p w:rsidR="00C1531C" w:rsidRPr="00AA2B01" w:rsidRDefault="00837B2B" w:rsidP="003F229D">
      <w:r w:rsidRPr="00AA2B01">
        <w:rPr>
          <w:b/>
        </w:rPr>
        <w:fldChar w:fldCharType="end"/>
      </w:r>
    </w:p>
    <w:p w:rsidR="00C1531C" w:rsidRPr="00AA2B01" w:rsidRDefault="00C1531C" w:rsidP="004D13BA">
      <w:pPr>
        <w:pStyle w:val="PageHeading"/>
      </w:pPr>
      <w:r>
        <w:br w:type="page"/>
      </w:r>
      <w:bookmarkStart w:id="1" w:name="_Toc26759888"/>
      <w:bookmarkStart w:id="2" w:name="_Toc86200285"/>
      <w:bookmarkStart w:id="3" w:name="_Toc157157373"/>
      <w:r>
        <w:t>1. PREDLOG SKLEPA EVROPSKEGA PARLAMENTA</w:t>
      </w:r>
      <w:bookmarkEnd w:id="3"/>
    </w:p>
    <w:p w:rsidR="00C1531C" w:rsidRPr="00AA2B01" w:rsidRDefault="00AA2B01">
      <w:pPr>
        <w:pStyle w:val="NormalBold"/>
      </w:pPr>
      <w:r>
        <w:t>o razrešnici glede izvrševanja proračuna Evropskega bančnega organa za proračunsko leto 2022</w:t>
      </w:r>
    </w:p>
    <w:p w:rsidR="00C1531C" w:rsidRPr="00AA2B01" w:rsidRDefault="00AA2B01" w:rsidP="002421F7">
      <w:pPr>
        <w:pStyle w:val="NormalBold"/>
      </w:pPr>
      <w:r>
        <w:t>(2023/2146(DEC))</w:t>
      </w:r>
    </w:p>
    <w:p w:rsidR="00C1531C" w:rsidRPr="00AA2B01" w:rsidRDefault="00AA2B01">
      <w:pPr>
        <w:pStyle w:val="EPComma"/>
      </w:pPr>
      <w:r>
        <w:rPr>
          <w:i/>
        </w:rPr>
        <w:t>Evropski parlament</w:t>
      </w:r>
      <w:r>
        <w:t>,</w:t>
      </w:r>
    </w:p>
    <w:p w:rsidR="00C1531C" w:rsidRPr="00AA2B01" w:rsidRDefault="00C1531C">
      <w:pPr>
        <w:pStyle w:val="NormalHanging12a"/>
      </w:pPr>
      <w:r>
        <w:t>–</w:t>
      </w:r>
      <w:r>
        <w:tab/>
        <w:t>ob upoštevanju končnega zaključnega računa Evropskega bančnega organa za proračunsko leto 2022,</w:t>
      </w:r>
    </w:p>
    <w:p w:rsidR="005A6CAE" w:rsidRPr="00AA2B01" w:rsidRDefault="005A6CAE" w:rsidP="005A6CAE">
      <w:pPr>
        <w:pStyle w:val="NormalHanging12a"/>
      </w:pPr>
      <w:r>
        <w:t>–</w:t>
      </w:r>
      <w:r>
        <w:tab/>
        <w:t>ob upoštevanju letnega poročila Računskega sodišča o agencijah EU za proračunsko leto 2022 skupaj z odgovori agencij</w:t>
      </w:r>
      <w:r w:rsidR="00901196">
        <w:rPr>
          <w:rStyle w:val="FootnoteReference"/>
        </w:rPr>
        <w:footnoteReference w:id="1"/>
      </w:r>
      <w:r>
        <w:t>,</w:t>
      </w:r>
    </w:p>
    <w:p w:rsidR="009B566F" w:rsidRPr="00AA2B01" w:rsidRDefault="009B566F" w:rsidP="009B566F">
      <w:pPr>
        <w:pStyle w:val="NormalHanging12a"/>
      </w:pPr>
      <w:r>
        <w:t>–</w:t>
      </w:r>
      <w:r>
        <w:tab/>
        <w:t>ob upoštevanju izjave o zanesljivosti</w:t>
      </w:r>
      <w:r w:rsidR="00901196">
        <w:rPr>
          <w:rStyle w:val="FootnoteReference"/>
        </w:rPr>
        <w:footnoteReference w:id="2"/>
      </w:r>
      <w:r>
        <w:t xml:space="preserve"> računovodskih izkazov ter zakonitosti in pravilnosti z njimi povezanih transakcij, ki jo je za proračunsko leto 2022 v skladu s členom 287 Pogodbe o delovanju Evropske unije pripravilo Računsko sodišče,</w:t>
      </w:r>
    </w:p>
    <w:p w:rsidR="005A6CAE" w:rsidRPr="00AA2B01" w:rsidRDefault="005A6CAE" w:rsidP="005A6CAE">
      <w:pPr>
        <w:pStyle w:val="NormalHanging12a"/>
      </w:pPr>
      <w:r>
        <w:t>–</w:t>
      </w:r>
      <w:r>
        <w:tab/>
        <w:t>ob upoštevanju priporočila Sveta z dne ... februarja 2024 o podelitvi razrešnice organu glede izvrševanja proračuna za proračunsko leto 2022 (00000/2024 – C9</w:t>
      </w:r>
      <w:r>
        <w:noBreakHyphen/>
        <w:t>0000/2024),</w:t>
      </w:r>
    </w:p>
    <w:p w:rsidR="005A6CAE" w:rsidRPr="00AA2B01" w:rsidRDefault="005A6CAE" w:rsidP="005A6CAE">
      <w:pPr>
        <w:pStyle w:val="NormalHanging12a"/>
      </w:pPr>
      <w:r>
        <w:t>–</w:t>
      </w:r>
      <w:r>
        <w:tab/>
        <w:t>ob upoštevanju člena 319 Pogodbe o delovanju Evropske unije,</w:t>
      </w:r>
    </w:p>
    <w:p w:rsidR="00C0769E" w:rsidRPr="00AA2B01" w:rsidRDefault="00686BB9" w:rsidP="00C0769E">
      <w:pPr>
        <w:pStyle w:val="NormalHanging12a"/>
      </w:pPr>
      <w:r>
        <w:t>–</w:t>
      </w:r>
      <w: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00901196">
        <w:rPr>
          <w:rStyle w:val="FootnoteReference"/>
        </w:rPr>
        <w:footnoteReference w:id="3"/>
      </w:r>
      <w:r>
        <w:t xml:space="preserve"> in zlasti člena 70,</w:t>
      </w:r>
    </w:p>
    <w:p w:rsidR="005A6CAE" w:rsidRPr="00AA2B01" w:rsidRDefault="005A6CAE" w:rsidP="0017746B">
      <w:pPr>
        <w:pStyle w:val="NormalHanging12a"/>
      </w:pPr>
      <w:r>
        <w:t>–</w:t>
      </w:r>
      <w:r>
        <w:tab/>
        <w:t>ob upoštevanju Uredbe (EU) št. 1093/2010 Evropskega parlamenta in Sveta z dne 24. novembra 2010 o ustanovitvi Evropskega nadzornega organa (Evropski bančni organ) in o spremembi Sklepa št. 716/2009/ES ter razveljavitvi Sklepa Komisije 2009/78/ES</w:t>
      </w:r>
      <w:r w:rsidR="00901196">
        <w:rPr>
          <w:rStyle w:val="FootnoteReference"/>
        </w:rPr>
        <w:footnoteReference w:id="4"/>
      </w:r>
      <w:r>
        <w:t xml:space="preserve"> in zlasti člena 64,</w:t>
      </w:r>
    </w:p>
    <w:p w:rsidR="00BB3008" w:rsidRPr="00AA2B01" w:rsidRDefault="00BB3008" w:rsidP="002D1E60">
      <w:pPr>
        <w:pStyle w:val="NormalHanging12a"/>
      </w:pPr>
      <w:r>
        <w:t>–</w:t>
      </w:r>
      <w:r>
        <w:tab/>
        <w:t>ob upoštevanju Delegirane uredbe Komisije (EU) 2019/715 z dne 18. decembra 2018 o okvirni finančni uredbi za organe, ustanovljene na podlagi PDEU in Pogodbe Euratom, iz člena 70 Uredbe (EU, Euratom) 2018/1046 Evropskega parlamenta in Sveta</w:t>
      </w:r>
      <w:r w:rsidR="00901196">
        <w:rPr>
          <w:rStyle w:val="FootnoteReference"/>
        </w:rPr>
        <w:footnoteReference w:id="5"/>
      </w:r>
      <w:r>
        <w:t xml:space="preserve"> in zlasti člena 105,</w:t>
      </w:r>
    </w:p>
    <w:p w:rsidR="005A6CAE" w:rsidRPr="00AA2B01" w:rsidRDefault="005A6CAE" w:rsidP="005A6CAE">
      <w:pPr>
        <w:pStyle w:val="NormalHanging12a"/>
      </w:pPr>
      <w:r>
        <w:t>–</w:t>
      </w:r>
      <w:r>
        <w:tab/>
        <w:t>ob upoštevanju člena 100 in Priloge V Poslovnika,</w:t>
      </w:r>
    </w:p>
    <w:p w:rsidR="002502C8" w:rsidRPr="00AA2B01" w:rsidRDefault="002502C8" w:rsidP="002502C8">
      <w:pPr>
        <w:pStyle w:val="NormalHanging12a"/>
      </w:pPr>
      <w:r>
        <w:t>–</w:t>
      </w:r>
      <w:r>
        <w:tab/>
        <w:t>ob upoštevanju poročila Odbora za proračunski nadzor (A9</w:t>
      </w:r>
      <w:r>
        <w:noBreakHyphen/>
        <w:t>0000/2024),</w:t>
      </w:r>
    </w:p>
    <w:p w:rsidR="00C1531C" w:rsidRPr="00AA2B01" w:rsidRDefault="00C1531C">
      <w:pPr>
        <w:pStyle w:val="NormalHanging12a"/>
      </w:pPr>
      <w:r>
        <w:t>1.</w:t>
      </w:r>
      <w:r>
        <w:tab/>
        <w:t>podeli razrešnico/odloži podelitev razrešnice izvršnemu direktorju Evropskega bančnega organa glede izvrševanja proračuna organa za proračunsko leto 2022;</w:t>
      </w:r>
    </w:p>
    <w:p w:rsidR="00C1531C" w:rsidRPr="00AA2B01" w:rsidRDefault="00C1531C">
      <w:pPr>
        <w:pStyle w:val="NormalHanging12a"/>
      </w:pPr>
      <w:r>
        <w:t>2.</w:t>
      </w:r>
      <w:r>
        <w:tab/>
        <w:t>navaja svoje pripombe v spodnji resoluciji;</w:t>
      </w:r>
    </w:p>
    <w:p w:rsidR="00C1531C" w:rsidRPr="00AA2B01" w:rsidRDefault="00C1531C">
      <w:pPr>
        <w:pStyle w:val="NormalHanging12a"/>
      </w:pPr>
      <w:r>
        <w:t>3.</w:t>
      </w:r>
      <w:r>
        <w:tab/>
        <w:t xml:space="preserve">naroči svoji predsednici, naj ta sklep in resolucijo, ki je del sklepa, posreduje izvršnemu direktorju Evropskega bančnega organa, Svetu, Komisiji in Računskemu sodišču in poskrbi za objavo v </w:t>
      </w:r>
      <w:r>
        <w:rPr>
          <w:i/>
        </w:rPr>
        <w:t>Uradnem listu Evropske unije</w:t>
      </w:r>
      <w:r>
        <w:t xml:space="preserve"> (serija L).</w:t>
      </w:r>
    </w:p>
    <w:p w:rsidR="002377CC" w:rsidRPr="00AA2B01" w:rsidRDefault="002377CC" w:rsidP="009C4C82"/>
    <w:p w:rsidR="002377CC" w:rsidRPr="00AA2B01" w:rsidRDefault="002377CC" w:rsidP="004D13BA">
      <w:pPr>
        <w:pStyle w:val="PageHeading"/>
        <w:sectPr w:rsidR="002377CC" w:rsidRPr="00AA2B01" w:rsidSect="009378F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AA2B01" w:rsidRDefault="00AA2B01" w:rsidP="004D13BA">
      <w:pPr>
        <w:pStyle w:val="PageHeading"/>
      </w:pPr>
      <w:bookmarkStart w:id="4" w:name="_Toc157157374"/>
      <w:r>
        <w:t>2. PREDLOG SKLEPA EVROPSKEGA PARLAMENTA</w:t>
      </w:r>
      <w:bookmarkEnd w:id="4"/>
    </w:p>
    <w:p w:rsidR="00C1531C" w:rsidRPr="00AA2B01" w:rsidRDefault="00AA2B01">
      <w:pPr>
        <w:pStyle w:val="NormalBold"/>
      </w:pPr>
      <w:r>
        <w:t>o zaključnem računu Evropskega bančnega organa za proračunsko leto 2022</w:t>
      </w:r>
    </w:p>
    <w:p w:rsidR="00C1531C" w:rsidRPr="00AA2B01" w:rsidRDefault="00AA2B01" w:rsidP="002421F7">
      <w:pPr>
        <w:pStyle w:val="NormalBold"/>
      </w:pPr>
      <w:r>
        <w:t>(2023/2146(DEC))</w:t>
      </w:r>
    </w:p>
    <w:p w:rsidR="00C1531C" w:rsidRPr="00AA2B01" w:rsidRDefault="00AA2B01">
      <w:pPr>
        <w:pStyle w:val="EPComma"/>
      </w:pPr>
      <w:r>
        <w:rPr>
          <w:i/>
        </w:rPr>
        <w:t>Evropski parlament</w:t>
      </w:r>
      <w:r>
        <w:t>,</w:t>
      </w:r>
    </w:p>
    <w:p w:rsidR="009A1AE4" w:rsidRPr="00AA2B01" w:rsidRDefault="009A1AE4" w:rsidP="009A1AE4">
      <w:pPr>
        <w:pStyle w:val="NormalHanging12a"/>
      </w:pPr>
      <w:r>
        <w:t>–</w:t>
      </w:r>
      <w:r>
        <w:tab/>
        <w:t>ob upoštevanju končnega zaključnega računa Evropskega bančnega organa za proračunsko leto 2022,</w:t>
      </w:r>
    </w:p>
    <w:p w:rsidR="009A1AE4" w:rsidRPr="00AA2B01" w:rsidRDefault="009A1AE4" w:rsidP="009A1AE4">
      <w:pPr>
        <w:pStyle w:val="NormalHanging12a"/>
      </w:pPr>
      <w:r>
        <w:t>–</w:t>
      </w:r>
      <w:r>
        <w:tab/>
        <w:t>ob upoštevanju letnega poročila Računskega sodišča o agencijah EU za proračunsko leto 2022 skupaj z odgovori agencij</w:t>
      </w:r>
      <w:r w:rsidR="00901196">
        <w:rPr>
          <w:rStyle w:val="FootnoteReference"/>
        </w:rPr>
        <w:footnoteReference w:id="6"/>
      </w:r>
      <w:r>
        <w:t>,</w:t>
      </w:r>
    </w:p>
    <w:p w:rsidR="009A1AE4" w:rsidRPr="00AA2B01" w:rsidRDefault="009A1AE4" w:rsidP="009A1AE4">
      <w:pPr>
        <w:pStyle w:val="NormalHanging12a"/>
      </w:pPr>
      <w:r>
        <w:t>–</w:t>
      </w:r>
      <w:r>
        <w:tab/>
        <w:t>ob upoštevanju izjave o zanesljivosti</w:t>
      </w:r>
      <w:r w:rsidR="00901196">
        <w:rPr>
          <w:rStyle w:val="FootnoteReference"/>
        </w:rPr>
        <w:footnoteReference w:id="7"/>
      </w:r>
      <w:r>
        <w:t xml:space="preserve"> računovodskih izkazov ter zakonitosti in pravilnosti z njimi povezanih transakcij, ki jo je za proračunsko leto 2022 v skladu s členom 287 Pogodbe o delovanju Evropske unije pripravilo Računsko sodišče,</w:t>
      </w:r>
    </w:p>
    <w:p w:rsidR="009A1AE4" w:rsidRPr="00AA2B01" w:rsidRDefault="009A1AE4" w:rsidP="009A1AE4">
      <w:pPr>
        <w:pStyle w:val="NormalHanging12a"/>
      </w:pPr>
      <w:r>
        <w:t>–</w:t>
      </w:r>
      <w:r>
        <w:tab/>
        <w:t>ob upoštevanju priporočila Sveta z dne ... februarja 2024 o podelitvi razrešnice organu glede izvrševanja proračuna za proračunsko leto 2022 (00000/2024 – C9</w:t>
      </w:r>
      <w:r>
        <w:noBreakHyphen/>
        <w:t>0000/2024),</w:t>
      </w:r>
    </w:p>
    <w:p w:rsidR="009A1AE4" w:rsidRPr="00AA2B01" w:rsidRDefault="009A1AE4" w:rsidP="009A1AE4">
      <w:pPr>
        <w:pStyle w:val="NormalHanging12a"/>
      </w:pPr>
      <w:r>
        <w:t>–</w:t>
      </w:r>
      <w:r>
        <w:tab/>
        <w:t>ob upoštevanju člena 319 Pogodbe o delovanju Evropske unije,</w:t>
      </w:r>
    </w:p>
    <w:p w:rsidR="00FE62F7" w:rsidRPr="00AA2B01" w:rsidRDefault="00D52EA4" w:rsidP="00FE62F7">
      <w:pPr>
        <w:pStyle w:val="NormalHanging12a"/>
      </w:pPr>
      <w:r>
        <w:t>–</w:t>
      </w:r>
      <w: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00901196">
        <w:rPr>
          <w:rStyle w:val="FootnoteReference"/>
        </w:rPr>
        <w:footnoteReference w:id="8"/>
      </w:r>
      <w:r>
        <w:t xml:space="preserve"> in zlasti člena 70,</w:t>
      </w:r>
    </w:p>
    <w:p w:rsidR="009A1AE4" w:rsidRPr="00AA2B01" w:rsidRDefault="009A1AE4" w:rsidP="009A1AE4">
      <w:pPr>
        <w:pStyle w:val="NormalHanging12a"/>
      </w:pPr>
      <w:r>
        <w:t>–</w:t>
      </w:r>
      <w:r>
        <w:tab/>
        <w:t>ob upoštevanju Uredbe (EU) št. 1093/2010 Evropskega parlamenta in Sveta z dne 24. novembra 2010 o ustanovitvi Evropskega nadzornega organa (Evropski bančni organ) in o spremembi Sklepa št. 716/2009/ES ter razveljavitvi Sklepa Komisije 2009/78/ES</w:t>
      </w:r>
      <w:r w:rsidR="00901196">
        <w:rPr>
          <w:rStyle w:val="FootnoteReference"/>
        </w:rPr>
        <w:footnoteReference w:id="9"/>
      </w:r>
      <w:r>
        <w:t xml:space="preserve"> in zlasti člena 64,</w:t>
      </w:r>
    </w:p>
    <w:p w:rsidR="00BB3008" w:rsidRPr="00AA2B01" w:rsidRDefault="00BB3008" w:rsidP="00D52EA4">
      <w:pPr>
        <w:pStyle w:val="NormalHanging12a"/>
      </w:pPr>
      <w:r>
        <w:t>–</w:t>
      </w:r>
      <w:r>
        <w:tab/>
        <w:t>ob upoštevanju Delegirane uredbe Komisije (EU) 2019/715 z dne 18. decembra 2018 o okvirni finančni uredbi za organe, ustanovljene na podlagi PDEU in Pogodbe Euratom, iz člena 70 Uredbe (EU, Euratom) 2018/1046 Evropskega parlamenta in Sveta</w:t>
      </w:r>
      <w:r w:rsidR="00901196">
        <w:rPr>
          <w:rStyle w:val="FootnoteReference"/>
        </w:rPr>
        <w:footnoteReference w:id="10"/>
      </w:r>
      <w:r>
        <w:t xml:space="preserve"> in zlasti člena 105,</w:t>
      </w:r>
    </w:p>
    <w:p w:rsidR="009A1AE4" w:rsidRPr="00AA2B01" w:rsidRDefault="009A1AE4" w:rsidP="009A1AE4">
      <w:pPr>
        <w:pStyle w:val="NormalHanging12a"/>
      </w:pPr>
      <w:r>
        <w:t>–</w:t>
      </w:r>
      <w:r>
        <w:tab/>
        <w:t>ob upoštevanju člena 100 in Priloge V Poslovnika,</w:t>
      </w:r>
    </w:p>
    <w:p w:rsidR="002502C8" w:rsidRPr="00AA2B01" w:rsidRDefault="002502C8" w:rsidP="002502C8">
      <w:pPr>
        <w:pStyle w:val="NormalHanging12a"/>
      </w:pPr>
      <w:r>
        <w:t>–</w:t>
      </w:r>
      <w:r>
        <w:tab/>
        <w:t>ob upoštevanju poročila Odbora za proračunski nadzor (A9</w:t>
      </w:r>
      <w:r>
        <w:noBreakHyphen/>
        <w:t>0000/2024),</w:t>
      </w:r>
    </w:p>
    <w:p w:rsidR="00C1531C" w:rsidRPr="00AA2B01" w:rsidRDefault="00EB31C4" w:rsidP="008A23A3">
      <w:pPr>
        <w:pStyle w:val="NormalHanging12a"/>
      </w:pPr>
      <w:r>
        <w:t>1.</w:t>
      </w:r>
      <w:r>
        <w:tab/>
        <w:t>odobri zaključni račun/odloži odobritev zaključnega računa Evropskega bančnega organa za proračunsko leto 2022;</w:t>
      </w:r>
    </w:p>
    <w:p w:rsidR="00C1531C" w:rsidRPr="00AA2B01" w:rsidRDefault="00EB31C4">
      <w:pPr>
        <w:pStyle w:val="NormalHanging12a"/>
      </w:pPr>
      <w:r>
        <w:t>2.</w:t>
      </w:r>
      <w:r>
        <w:tab/>
        <w:t xml:space="preserve">naroči svoji predsednici, naj ta sklep posreduje izvršnemu direktorju Evropskega bančnega organa, Svetu, Komisiji in Računskemu sodišču in poskrbi za objavo v </w:t>
      </w:r>
      <w:r>
        <w:rPr>
          <w:i/>
        </w:rPr>
        <w:t>Uradnem listu Evropske unije</w:t>
      </w:r>
      <w:r>
        <w:t xml:space="preserve"> (serija L).</w:t>
      </w:r>
    </w:p>
    <w:p w:rsidR="002377CC" w:rsidRPr="00AA2B01" w:rsidRDefault="002377CC" w:rsidP="009C4C82"/>
    <w:p w:rsidR="002377CC" w:rsidRPr="00AA2B01" w:rsidRDefault="002377CC" w:rsidP="004D13BA">
      <w:pPr>
        <w:pStyle w:val="PageHeading"/>
        <w:sectPr w:rsidR="002377CC" w:rsidRPr="00AA2B01" w:rsidSect="007F713D">
          <w:footnotePr>
            <w:numRestart w:val="eachSect"/>
          </w:footnotePr>
          <w:endnotePr>
            <w:numFmt w:val="decimal"/>
          </w:endnotePr>
          <w:pgSz w:w="11906" w:h="16838" w:code="9"/>
          <w:pgMar w:top="1134" w:right="1418" w:bottom="1418" w:left="1418" w:header="567" w:footer="567" w:gutter="0"/>
          <w:cols w:space="720"/>
          <w:noEndnote/>
        </w:sectPr>
      </w:pPr>
    </w:p>
    <w:p w:rsidR="00C1531C" w:rsidRPr="00AA2B01" w:rsidRDefault="00AA2B01" w:rsidP="004D13BA">
      <w:pPr>
        <w:pStyle w:val="PageHeading"/>
      </w:pPr>
      <w:bookmarkStart w:id="5" w:name="_Toc157157375"/>
      <w:bookmarkEnd w:id="1"/>
      <w:bookmarkEnd w:id="2"/>
      <w:r>
        <w:t>3. PREDLOG RESOLUCIJE EVROPSKEGA PARLAMENTA</w:t>
      </w:r>
      <w:bookmarkEnd w:id="5"/>
    </w:p>
    <w:p w:rsidR="00C1531C" w:rsidRPr="00AA2B01" w:rsidRDefault="00AA2B01">
      <w:pPr>
        <w:pStyle w:val="NormalBold"/>
      </w:pPr>
      <w:r>
        <w:t>s pripombami, ki so del sklepa o razrešnici glede izvrševanja proračuna Evropskega bančnega organa za proračunsko leto 2022</w:t>
      </w:r>
    </w:p>
    <w:p w:rsidR="00C1531C" w:rsidRPr="00AA2B01" w:rsidRDefault="00AA2B01" w:rsidP="002421F7">
      <w:pPr>
        <w:pStyle w:val="NormalBold"/>
      </w:pPr>
      <w:r>
        <w:t>(2023/2146(DEC))</w:t>
      </w:r>
    </w:p>
    <w:p w:rsidR="00C1531C" w:rsidRPr="00AA2B01" w:rsidRDefault="00AA2B01">
      <w:pPr>
        <w:pStyle w:val="EPComma"/>
      </w:pPr>
      <w:r>
        <w:rPr>
          <w:i/>
        </w:rPr>
        <w:t>Evropski parlament</w:t>
      </w:r>
      <w:r>
        <w:t>,</w:t>
      </w:r>
    </w:p>
    <w:p w:rsidR="00A35902" w:rsidRPr="00AA2B01" w:rsidRDefault="00A35902" w:rsidP="00A35902">
      <w:pPr>
        <w:pStyle w:val="NormalHanging12a"/>
      </w:pPr>
      <w:r>
        <w:t>–</w:t>
      </w:r>
      <w:r>
        <w:tab/>
        <w:t>ob upoštevanju sklepa o razrešnici glede izvrševanja proračuna Evropskega bančnega organa za proračunsko leto 2022,</w:t>
      </w:r>
    </w:p>
    <w:p w:rsidR="00A35902" w:rsidRPr="00AA2B01" w:rsidRDefault="00A35902" w:rsidP="00A35902">
      <w:pPr>
        <w:pStyle w:val="NormalHanging12a"/>
      </w:pPr>
      <w:r>
        <w:t>–</w:t>
      </w:r>
      <w:r>
        <w:tab/>
        <w:t>ob upoštevanju člena 100 in Priloge V Poslovnika,</w:t>
      </w:r>
    </w:p>
    <w:p w:rsidR="002502C8" w:rsidRPr="00AA2B01" w:rsidRDefault="002502C8" w:rsidP="002502C8">
      <w:pPr>
        <w:pStyle w:val="NormalHanging12a"/>
      </w:pPr>
      <w:r>
        <w:t>–</w:t>
      </w:r>
      <w:r>
        <w:tab/>
        <w:t>ob upoštevanju poročila Odbora za proračunski nadzor (A9</w:t>
      </w:r>
      <w:r>
        <w:noBreakHyphen/>
        <w:t>0000/2024),</w:t>
      </w:r>
    </w:p>
    <w:p w:rsidR="00901196" w:rsidRPr="003B458A" w:rsidRDefault="00A35902" w:rsidP="00901196">
      <w:pPr>
        <w:widowControl/>
        <w:spacing w:after="240"/>
        <w:ind w:left="567" w:hanging="567"/>
        <w:rPr>
          <w:szCs w:val="24"/>
        </w:rPr>
      </w:pPr>
      <w:r>
        <w:t>A.</w:t>
      </w:r>
      <w:r>
        <w:tab/>
        <w:t>ker poročilo o prihodkih in odhodkih</w:t>
      </w:r>
      <w:r w:rsidR="00901196" w:rsidRPr="003B458A">
        <w:rPr>
          <w:rStyle w:val="FootnoteReference"/>
          <w:szCs w:val="24"/>
        </w:rPr>
        <w:footnoteReference w:id="11"/>
      </w:r>
      <w:r>
        <w:t xml:space="preserve"> Evropskega bančnega organa (v nadaljnjem besedilu: organ) kaže, da je njegov končni proračun v proračunskem letu 2022 znašal 50.315.014 EUR; ker se organ financira predvsem iz prispevkov Unije (18.685.999 EUR) in iz prispevkov nacionalnih nadzornih organov držav članic in opazovalcev (31.629.015 EUR);</w:t>
      </w:r>
    </w:p>
    <w:p w:rsidR="00901196" w:rsidRPr="003B458A" w:rsidRDefault="00901196" w:rsidP="00901196">
      <w:pPr>
        <w:widowControl/>
        <w:spacing w:after="240"/>
        <w:ind w:left="567" w:hanging="567"/>
      </w:pPr>
      <w:r>
        <w:t>B.</w:t>
      </w:r>
      <w:r>
        <w:tab/>
        <w:t>ker Računsko sodišče v poročilu o zaključnem računu Evropskega bančnega organa za proračunsko leto 2022 (v nadaljnjem besedilu: poročilo Računskega sodišča) navaja, da je prejelo razumno zagotovilo o zanesljivosti računovodskih izkazov organa ter o zakonitosti in pravilnosti z njimi povezanih transakcij;</w:t>
      </w:r>
    </w:p>
    <w:p w:rsidR="00901196" w:rsidRPr="003B458A" w:rsidRDefault="00901196" w:rsidP="00901196">
      <w:pPr>
        <w:widowControl/>
        <w:spacing w:after="240"/>
        <w:ind w:left="567" w:hanging="567"/>
        <w:rPr>
          <w:b/>
          <w:i/>
          <w:szCs w:val="24"/>
        </w:rPr>
      </w:pPr>
      <w:r>
        <w:rPr>
          <w:b/>
          <w:i/>
        </w:rPr>
        <w:t>Proračunsko upravljanje in finančno poslovodenje</w:t>
      </w:r>
    </w:p>
    <w:p w:rsidR="00901196" w:rsidRPr="003B458A" w:rsidRDefault="00901196" w:rsidP="00901196">
      <w:pPr>
        <w:pStyle w:val="NormalHanging12a"/>
        <w:widowControl/>
        <w:rPr>
          <w:szCs w:val="24"/>
        </w:rPr>
      </w:pPr>
      <w:r>
        <w:t>1.</w:t>
      </w:r>
      <w:r>
        <w:tab/>
        <w:t>z zadovoljstvom ugotavlja, da je stopnja izvrševanja odobritev za prevzem obveznosti zaradi proračunskega spremljanja v proračunskem letu 2022 znašala 99,56 %, kar je 1,05 % več kot leta 2021; ugotavlja tudi, da je stopnja izvrševanja plačil v tekočem letu znašala 87,00 %, kar je 3,00 % več kot leta 2021;</w:t>
      </w:r>
    </w:p>
    <w:p w:rsidR="00901196" w:rsidRPr="003B458A" w:rsidRDefault="00901196" w:rsidP="00901196">
      <w:pPr>
        <w:widowControl/>
        <w:spacing w:after="240"/>
        <w:ind w:left="567" w:hanging="567"/>
        <w:rPr>
          <w:b/>
          <w:i/>
          <w:szCs w:val="24"/>
        </w:rPr>
      </w:pPr>
      <w:r>
        <w:rPr>
          <w:b/>
          <w:i/>
        </w:rPr>
        <w:t>Uspešnost</w:t>
      </w:r>
    </w:p>
    <w:p w:rsidR="00901196" w:rsidRPr="003B458A" w:rsidRDefault="00901196" w:rsidP="00901196">
      <w:pPr>
        <w:pStyle w:val="NormalHanging12a"/>
        <w:widowControl/>
        <w:rPr>
          <w:szCs w:val="24"/>
        </w:rPr>
      </w:pPr>
      <w:r>
        <w:t>2.</w:t>
      </w:r>
      <w:r>
        <w:tab/>
        <w:t>pozdravlja, da organ nekatere ukrepe še naprej uporablja kot ključne kazalnike uspešnosti za ocenjevanje svojih dejavnosti in rezultatov pri doseganju ciljev delovnega programa; ugotavlja, da je organ za leto 2022 v svojem delovnem programu opredelil pet vertikalnih prednostnih nalog (npr. spremljanje in posodabljanje bonitetnega okvira za nadzor in reševanje, ponovni pregled in izboljšanje vseevropskega okvira za testiranje izjemnih situacij) in dve horizontalni prednostni nalogi (zagotavljanje orodij za merjenje in obvladovanje okoljskih, socialnih in upravljavskih tveganj ter spremljanje in blažitev posledic pandemije covida-19); ugotavlja, da je organ v letu 2022 opravil 95 % od približno 250 nalog, določenih v njegovem delovnem programu, vključno s 15 % nalog, ki so bile dodane v program med letom, in priznava, da gre za izboljšanje v primerjavi s prejšnjim letom;</w:t>
      </w:r>
    </w:p>
    <w:p w:rsidR="00901196" w:rsidRPr="003B458A" w:rsidRDefault="00901196" w:rsidP="00901196">
      <w:pPr>
        <w:pStyle w:val="NormalHanging12a"/>
        <w:widowControl/>
        <w:rPr>
          <w:szCs w:val="24"/>
        </w:rPr>
      </w:pPr>
      <w:r>
        <w:t>3.</w:t>
      </w:r>
      <w:r>
        <w:tab/>
        <w:t>se zaveda, da je moral organ zaradi neupravičene ruske vojaške agresije proti Ukrajini upoštevati izzive in negotovosti, ki izhajajo iz tega konflikta, na področjih v njegovi pristojnosti in jih ustrezno obravnavati; pozdravlja, da se je organ zato osredotočil na ocenjevanje tveganj za banke in finančni sektor ter sprejel ukrepe za spremljanje tega sektorja; ugotavlja tudi, da si je organ poleg tega prizadeval za uporabo in izvrševanje naloženih sankcij ter za ukrepe, ki bi prinesli takojšnje učinke za ljudi, ki jih je prizadel ta konflikt, ter pozdravlja prizadevanja organa za zagotovitev smernic za lažji dostop do finančnega sistema;</w:t>
      </w:r>
    </w:p>
    <w:p w:rsidR="00901196" w:rsidRPr="003B458A" w:rsidRDefault="00901196" w:rsidP="00901196">
      <w:pPr>
        <w:widowControl/>
        <w:spacing w:after="240"/>
        <w:ind w:left="567" w:hanging="567"/>
        <w:rPr>
          <w:szCs w:val="24"/>
        </w:rPr>
      </w:pPr>
      <w:r>
        <w:t>4.</w:t>
      </w:r>
      <w:r>
        <w:tab/>
        <w:t>ugotavlja, da je organ prispeval k oblikovanju zakonodajnih dosjejev v okviru akta o digitalni operativni odpornosti in akta o trgih kriptoimetij, saj se je odzval na različne prošnje za svetovanje glede digitalnih financ in s tem povezanih vprašanj, kar je bila tudi ena najpomembnejših dejavnosti organa v letu 2022; ugotavlja, da se je osredotočal tudi na preprečevanje uporabe finančnega sistema za pranje denarja in financiranje terorizma, ugotavlja tudi, da sta bili med glavnimi dejavnostmi organa razvoj ustreznega okoljskega, socialnega in upravljavskega okvira za banke ter spremljanje vpliva covida-19 na njihove bilance stanja; je seznanjen, da je organ posodobil svoj delovni načrt medsebojnega strokovnega pregledovanja za obdobje 2022–2023 v skladu z uredbo o organu EBA (pregled evropskih nadzornih organov);</w:t>
      </w:r>
    </w:p>
    <w:p w:rsidR="00901196" w:rsidRPr="003B458A" w:rsidRDefault="00901196" w:rsidP="00901196">
      <w:pPr>
        <w:widowControl/>
        <w:spacing w:after="240"/>
        <w:ind w:left="567" w:hanging="567"/>
        <w:rPr>
          <w:b/>
          <w:i/>
          <w:szCs w:val="24"/>
        </w:rPr>
      </w:pPr>
      <w:r>
        <w:rPr>
          <w:b/>
          <w:i/>
        </w:rPr>
        <w:t>Učinkovitost in dosežki</w:t>
      </w:r>
    </w:p>
    <w:p w:rsidR="00901196" w:rsidRPr="003B458A" w:rsidRDefault="00901196" w:rsidP="00901196">
      <w:pPr>
        <w:widowControl/>
        <w:spacing w:after="240"/>
        <w:ind w:left="567" w:hanging="567"/>
        <w:rPr>
          <w:szCs w:val="24"/>
        </w:rPr>
      </w:pPr>
      <w:r>
        <w:t>5.</w:t>
      </w:r>
      <w:r>
        <w:tab/>
        <w:t>pozdravlja, da organ na področju javnih naročil poziva druge agencije, naj sodelujejo v odprtih postopkih javnih naročil, ki jih zanimajo; ugotavlja, da je bil organ vodilni pri medinstitucionalnem postopku javnega naročanja iz leta 2022, pri katerem sta sodelovala ESMA in EIOPA; ugotavlja tudi, da je sodeloval v številnih medinstitucionalnih postopkih, ki jih vodijo drugi subjekti EU, predvsem tistih, ki jih vodi Komisija; ugotavlja, da so v letu 2022 77 % od 96 veljavnih okvirnih pogodb organa sklenili drugi subjekti EU;</w:t>
      </w:r>
    </w:p>
    <w:p w:rsidR="00901196" w:rsidRPr="003B458A" w:rsidRDefault="00901196" w:rsidP="00901196">
      <w:pPr>
        <w:widowControl/>
        <w:spacing w:after="240"/>
        <w:ind w:left="567" w:hanging="567"/>
        <w:rPr>
          <w:szCs w:val="24"/>
        </w:rPr>
      </w:pPr>
      <w:r>
        <w:t>6.</w:t>
      </w:r>
      <w:r>
        <w:tab/>
        <w:t>ugotavlja, da je skupni odbor organa skupaj z EIOPA, ESMA, Komisijo in ESRB ključni forum za razpravo o skupnih regulativnih vprašanjih in dogovarjanje o skupnih pobudah; opozarja, da skupne pobude združujejo različne poglede, zmanjšujejo podvajanje prizadevanj, izboljšajo učenje in krepijo odnose med udeleženci;</w:t>
      </w:r>
    </w:p>
    <w:p w:rsidR="00901196" w:rsidRPr="003B458A" w:rsidRDefault="00901196" w:rsidP="00901196">
      <w:pPr>
        <w:widowControl/>
        <w:spacing w:after="240"/>
        <w:ind w:left="567" w:hanging="567"/>
        <w:rPr>
          <w:bCs/>
          <w:szCs w:val="24"/>
        </w:rPr>
      </w:pPr>
      <w:r>
        <w:t>7.</w:t>
      </w:r>
      <w:r>
        <w:tab/>
        <w:t>pozdravlja, da organ izvaja obsežne pobude za sodelovanje in izmenjavo virov z različnimi agencijami, kot so skupne računovodske storitve z organom ESMA, skupni varnostni uradnik z EIOPA, skupni projekti na področju IT, naložbe v poklicni razvoj in podajanje izkušenj za pomoč drugim agencijam pri pridobivanju certifikata EMAS; poudarja tudi horizontalne koristi sodelovanja in prilagajanja dobre prakse;</w:t>
      </w:r>
    </w:p>
    <w:p w:rsidR="00901196" w:rsidRPr="003B458A" w:rsidRDefault="00901196" w:rsidP="00901196">
      <w:pPr>
        <w:widowControl/>
        <w:spacing w:after="240"/>
        <w:ind w:left="567" w:hanging="567"/>
        <w:rPr>
          <w:szCs w:val="24"/>
        </w:rPr>
      </w:pPr>
      <w:r>
        <w:t>8.</w:t>
      </w:r>
      <w:r>
        <w:tab/>
        <w:t>izreka pohvalo organu, ker je sprejel različne pobude, kot so optimizacija procesov, upravljanje virov, digitalizacija, povečanje sodelovanja in spodbujanje kulture stalnega izboljševanja; ugotavlja, da ključne strategije vključujejo avtomatizacijo procesov (brezpapirne finančne transakcije, množična plačila, orodja za delovne procese), optimizacijo virov, odločanje na podlagi podatkov, tehnološko povezovanje (storitve v oblaku, digitalizacija človeških virov), sodelovanje prek medfunkcionalnih skupin in upravljanje projektov;</w:t>
      </w:r>
    </w:p>
    <w:p w:rsidR="00901196" w:rsidRPr="003B458A" w:rsidRDefault="00901196" w:rsidP="00901196">
      <w:pPr>
        <w:widowControl/>
        <w:spacing w:after="240"/>
        <w:ind w:left="567" w:hanging="567"/>
        <w:rPr>
          <w:b/>
          <w:i/>
          <w:szCs w:val="24"/>
        </w:rPr>
      </w:pPr>
      <w:r>
        <w:rPr>
          <w:b/>
          <w:i/>
        </w:rPr>
        <w:t>Kadrovska politika</w:t>
      </w:r>
    </w:p>
    <w:p w:rsidR="00901196" w:rsidRPr="003B458A" w:rsidRDefault="00901196" w:rsidP="00901196">
      <w:pPr>
        <w:widowControl/>
        <w:spacing w:after="240"/>
        <w:ind w:left="567" w:hanging="567"/>
        <w:rPr>
          <w:szCs w:val="24"/>
        </w:rPr>
      </w:pPr>
      <w:r>
        <w:t>9.</w:t>
      </w:r>
      <w:r>
        <w:tab/>
        <w:t>ugotavlja, da je bil kadrovski načrt na dan 31. decembra 2022 uresničen 98,14-odstotno, saj je bilo zaposlenih 159 od 162 začasnih uslužbencev, odobrenih v proračunu Unije (enako število odobrenih delovnih mest kot leta 2021); ugotavlja tudi, da je za organ v letu 2022 delalo še 44 pogodbenih uslužbencev (od 50 odobrenih) in 13 napotenih nacionalnih strokovnjakov (19 odobrenih), pa tudi dodatnih 6 brezplačno napotenih nacionalnih strokovnjakov;</w:t>
      </w:r>
    </w:p>
    <w:p w:rsidR="00901196" w:rsidRPr="003B458A" w:rsidRDefault="00901196" w:rsidP="00901196">
      <w:pPr>
        <w:widowControl/>
        <w:spacing w:after="240"/>
        <w:ind w:left="567" w:hanging="567"/>
        <w:rPr>
          <w:szCs w:val="24"/>
        </w:rPr>
      </w:pPr>
      <w:r>
        <w:t>10.</w:t>
      </w:r>
      <w:r>
        <w:tab/>
        <w:t>ugotavlja, da je skupna stopnja fluktuacije zaposlenih v letu 2022 znašala 11,5 % (v primerjavi z 12 % leta 2021); ugotavlja, da so v skupno stopnjo fluktuacije zajeti napoteni nacionalni strokovnjaki, ki so jim potekle pogodbe, saj so po naravi krajše, medtem ko je stopnja fluktuacije statutarnih uslužbencev (začasni in pogodbeni uslužbenci) znašala 9 % (nekoliko višja pri pogodbenih uslužbencih kot pri začasnih uslužbencih); poudarja, da je organ leta 2020 začel dopolnjevati svoj pristop k upravljanju talentov z dodatnimi ukrepi za opolnomočenje osebja in podporo dolgoročnemu sodelovanju (močna ponudba vrednosti zaposlenih, prilagojeni programi poklicnega razvoja, kot so mentorstvo, pobude za usklajevanje poklicnega in zasebnega življenja, kot so družabni klubi itd.);</w:t>
      </w:r>
    </w:p>
    <w:p w:rsidR="00901196" w:rsidRPr="003B458A" w:rsidRDefault="00901196" w:rsidP="00901196">
      <w:pPr>
        <w:pStyle w:val="NormalHanging12a"/>
        <w:widowControl/>
        <w:rPr>
          <w:szCs w:val="24"/>
        </w:rPr>
      </w:pPr>
      <w:r>
        <w:t>11.</w:t>
      </w:r>
      <w:r>
        <w:tab/>
        <w:t>je seznanjen z zastopanostjo spolov na višjih in srednjih vodstvenih položajih organa, pri čemer moški zasedajo 16 od 29 položajev (55 %), in med vsemi zaposlenimi v organu, pri čemer je 114 od 222 (51 %) moških; podpira, da je organ sprejel Listino mreže EUAN o raznolikosti in vključevanju; ugotavlja, da je organ član mreže „Choose Paris Region“, ki združuje mednarodne organizacije, ki spodbujajo raznolika, vključujoča in pravična delovna mesta, ter invalidom zagotavlja posebne prilagoditve v okviru postopka zaposlovanja;</w:t>
      </w:r>
    </w:p>
    <w:p w:rsidR="00901196" w:rsidRPr="003B458A" w:rsidRDefault="00901196" w:rsidP="00901196">
      <w:pPr>
        <w:widowControl/>
        <w:spacing w:after="240"/>
        <w:ind w:left="567" w:hanging="567"/>
        <w:rPr>
          <w:szCs w:val="24"/>
        </w:rPr>
      </w:pPr>
      <w:r>
        <w:t>12.</w:t>
      </w:r>
      <w:r>
        <w:tab/>
        <w:t>se zaveda, da so leta 2022 začeli izvajati anketo o zavzetosti zaposlenih, na katero se je odzvalo 71 % zaposlenih; ugotavlja, da je bila skupna ugodna ocena zavzetosti zaposlenih 65-odstotna, kar je za 1 % več kot v prejšnji anketi iz leta 2019 (kljub izzivom zaradi covida-19) in v primerjavi z medagencijskim merilom EU;</w:t>
      </w:r>
    </w:p>
    <w:p w:rsidR="00901196" w:rsidRPr="003B458A" w:rsidRDefault="00901196" w:rsidP="00901196">
      <w:pPr>
        <w:widowControl/>
        <w:spacing w:after="240"/>
        <w:ind w:left="567" w:hanging="567"/>
        <w:rPr>
          <w:b/>
          <w:i/>
          <w:szCs w:val="24"/>
        </w:rPr>
      </w:pPr>
      <w:r>
        <w:rPr>
          <w:b/>
          <w:i/>
        </w:rPr>
        <w:t>Preprečevanje in obvladovanje nasprotij interesov ter preglednost</w:t>
      </w:r>
    </w:p>
    <w:p w:rsidR="00901196" w:rsidRPr="003B458A" w:rsidRDefault="00901196" w:rsidP="00901196">
      <w:pPr>
        <w:widowControl/>
        <w:spacing w:after="240"/>
        <w:ind w:left="567" w:hanging="567"/>
      </w:pPr>
      <w:r>
        <w:t>13.</w:t>
      </w:r>
      <w:r>
        <w:tab/>
        <w:t>pozdravlja, da je organ leta 2022 racionaliziral postopek v zvezi z etičnimi vprašanji, zlasti z uvedbo elektronskega sistema delovnih procesov, vključno z natančnejšo in učinkovitejšo oceno obvestil o morebitnih nasprotjih interesov odhajajočega osebja in obvestil o dejavnostih po prenehanju zaposlitve;</w:t>
      </w:r>
    </w:p>
    <w:p w:rsidR="00901196" w:rsidRPr="003B458A" w:rsidRDefault="00901196" w:rsidP="00901196">
      <w:pPr>
        <w:widowControl/>
        <w:spacing w:after="240"/>
        <w:ind w:left="567" w:hanging="567"/>
      </w:pPr>
      <w:r>
        <w:t>14.</w:t>
      </w:r>
      <w:r>
        <w:tab/>
        <w:t>želi spomniti, da je Odbor nadzornikov leta 2022 sprejel spremembo svojega poslovnika in poslovnika upravnega odbora ter mandatov stalnih odborov za reševanje finančnih institucij ter za preprečevanje pranja denarja in financiranja terorizma, v skladu s katerimi člani, ki so prijavili nasprotje interesov, v nobenem primeru ne smejo biti prisotni pri glasovanju in v razpravi;</w:t>
      </w:r>
    </w:p>
    <w:p w:rsidR="00901196" w:rsidRPr="003B458A" w:rsidRDefault="00901196" w:rsidP="00901196">
      <w:pPr>
        <w:widowControl/>
        <w:spacing w:after="240"/>
        <w:ind w:left="567" w:hanging="567"/>
        <w:rPr>
          <w:szCs w:val="24"/>
        </w:rPr>
      </w:pPr>
      <w:r>
        <w:t>15.</w:t>
      </w:r>
      <w:r>
        <w:tab/>
        <w:t>ugotavlja, da je organ po zaključku preiskave urada OLAF brez znakov nepravilnosti v zvezi s skladnostjo z ustreznim pravnim okvirom prejel priporočilo za sprejetje upravnih ukrepov, zlasti v zvezi s pogodbami o zaposlitvi višjega vodstva; ugotavlja, da je bilo med preiskavo ugotovljeno, da v pogodbah ni bilo določil v zvezi z delovno neaktivnostjo med odpovednim rokom in/ali obdobjem mirovanja; poudarja, da je organ februarja 2022 v odziv na to uvedel nov člen v pogodbah za direktorje, svetovalce in osebe na še višjih položajih; ugotavlja, da je organ obvestil urad OLAF, da zaradi omejitev v pravnem okviru kadrovskih predpisov ne more uvesti zahtev za uslužbence zunaj tega okvira, kot je zagotavljanje nadomestila, kadar nekdanji uslužbenec ne sme opravljati poklicne dejavnosti ali pa mora za to izpolnjevati stroge pogoje;</w:t>
      </w:r>
    </w:p>
    <w:p w:rsidR="00901196" w:rsidRPr="003B458A" w:rsidRDefault="00901196" w:rsidP="00901196">
      <w:pPr>
        <w:widowControl/>
        <w:spacing w:after="240"/>
        <w:ind w:left="567" w:hanging="567"/>
        <w:rPr>
          <w:szCs w:val="24"/>
        </w:rPr>
      </w:pPr>
      <w:r>
        <w:t>16.</w:t>
      </w:r>
      <w:r>
        <w:tab/>
        <w:t>pozdravlja, da organ objavlja informacije o vseh sestankih uslužbencev z zunanjimi deležniki iz zasebnega sektorja in sicer vsakih štirinajst dni za predsednika (v skladu s členom 49a Uredbe (EU) št. 1093/2010), kar velja tudi za izvršnega direktorja (člen 52a določa, da se sestanki izvršnega direktorja objavijo, vendar ne, kako hitro po njihovem sklicu); ugotavlja, da se informacije o sestankih drugih uslužbencev z deležniki iz zasebnega sektorja objavijo vsako četrtletje;</w:t>
      </w:r>
    </w:p>
    <w:p w:rsidR="00901196" w:rsidRPr="003B458A" w:rsidRDefault="00901196" w:rsidP="00901196">
      <w:pPr>
        <w:widowControl/>
        <w:spacing w:after="240"/>
        <w:ind w:left="567" w:hanging="567"/>
        <w:rPr>
          <w:szCs w:val="24"/>
        </w:rPr>
      </w:pPr>
      <w:r>
        <w:t>17.</w:t>
      </w:r>
      <w:r>
        <w:tab/>
        <w:t>opozarja, da je bil v letu 2022 zaključen en primer prijave nepravilnosti; ugotavlja, da so v okviru sprejetih ukrepov stopili v stik s pristojnim nacionalnim organom, da bi preučili obtožbe in ukrepe, ki so bili sprejeti na nacionalni ravni, s tem pa je bila zadeva zaključena, ne da bi moral organ kakor koli ukrepati;</w:t>
      </w:r>
    </w:p>
    <w:p w:rsidR="00901196" w:rsidRPr="003B458A" w:rsidRDefault="00901196" w:rsidP="00901196">
      <w:pPr>
        <w:widowControl/>
        <w:spacing w:after="240"/>
        <w:ind w:left="567" w:hanging="567"/>
        <w:rPr>
          <w:szCs w:val="24"/>
        </w:rPr>
      </w:pPr>
      <w:r>
        <w:t>18.</w:t>
      </w:r>
      <w:r>
        <w:tab/>
        <w:t>opozarja, da so življenjepisi članov vodstvenih organov in nadomestnih članov, višjih vodstvenih delavcev in direktorjev objavljeni na spletnih mestih organa; ugotavlja, da ti življenjepisi vsebujejo informacije o njihovih poklicnih izkušnjah in izobrazbi; ugotavlja tudi, da organ objavlja tudi življenjepise strokovnjakov, in sicer interesne skupine za bančništvo;</w:t>
      </w:r>
    </w:p>
    <w:p w:rsidR="00901196" w:rsidRPr="003B458A" w:rsidRDefault="00901196" w:rsidP="00901196">
      <w:pPr>
        <w:widowControl/>
        <w:spacing w:after="240"/>
        <w:ind w:left="567" w:hanging="567"/>
        <w:rPr>
          <w:b/>
          <w:i/>
          <w:szCs w:val="24"/>
        </w:rPr>
      </w:pPr>
      <w:r>
        <w:rPr>
          <w:b/>
          <w:i/>
        </w:rPr>
        <w:t>Javna naročila</w:t>
      </w:r>
    </w:p>
    <w:p w:rsidR="00901196" w:rsidRPr="003B458A" w:rsidRDefault="00901196" w:rsidP="00901196">
      <w:pPr>
        <w:widowControl/>
        <w:spacing w:after="240"/>
        <w:ind w:left="567" w:hanging="567"/>
        <w:rPr>
          <w:szCs w:val="24"/>
        </w:rPr>
      </w:pPr>
      <w:r>
        <w:t>19.</w:t>
      </w:r>
      <w:r>
        <w:tab/>
        <w:t>ugotavlja, da je po navedbah Računskega sodišča organ skušal naročiti storitve v dveh odprtih razpisnih postopkih, enem za tržne raziskave za finančne storitve in drugem za posvetovanje o varstvu podatkov; ugotavlja, da je pri eni ponudbi prišlo do prekrivanja med merili za oddajo naročila in pogoji za sodelovanje; poudarja, da je to v nasprotju s členom 167 finančne uredbe, v katerem je določeno, da morajo biti pogoji za sodelovanje popolnoma ločeni od meril za oddajo naročila; navaja, da se pogoji za sodelovanje uporabljajo za oceno sposobnosti ponudnikov, merila za oddajo pa se uporabljajo za oceno cene in kakovosti ponudb; ugotavlja, da je organ v obeh primerih zaradi pomanjkljivih raziskav o tržnih cenah, ki jih je izvedel pred objavo razpisov, precenil najvišjo vrednost naročila;</w:t>
      </w:r>
    </w:p>
    <w:p w:rsidR="00901196" w:rsidRPr="003B458A" w:rsidRDefault="00901196" w:rsidP="00901196">
      <w:pPr>
        <w:widowControl/>
        <w:spacing w:after="240"/>
        <w:ind w:left="567" w:hanging="567"/>
        <w:rPr>
          <w:szCs w:val="24"/>
        </w:rPr>
      </w:pPr>
      <w:r>
        <w:t>20.</w:t>
      </w:r>
      <w:r>
        <w:tab/>
        <w:t>je seznanjen z navedbami Računskega sodišča, da so bile pomanjkljivosti pri javnem naročanju, ki se nanašajo na dva ločena postopka, sporočene v letu 2021, odpravljene, saj organ zdaj uporablja predloge Komisije in tako ugotovitve Računskega sodišča upošteva pri svojih postopkih;</w:t>
      </w:r>
    </w:p>
    <w:p w:rsidR="00901196" w:rsidRPr="003B458A" w:rsidRDefault="00901196" w:rsidP="00901196">
      <w:pPr>
        <w:widowControl/>
        <w:spacing w:after="240"/>
        <w:ind w:left="567" w:hanging="567"/>
        <w:rPr>
          <w:szCs w:val="24"/>
        </w:rPr>
      </w:pPr>
      <w:r>
        <w:t>21.</w:t>
      </w:r>
      <w:r>
        <w:tab/>
        <w:t>poudarja, da Računsko sodišče od proračunskega leta 2020 vsako leto objavi nova opažanja v zvezi z javnimi naročili za štiri agencije, med katerimi je tudi organ; želi spomniti, da je cilj pravil o javnem naročanju naročnikom omogočiti, da potrebno blago in storitve pridobijo po najboljši ceni, ter hkrati zagotoviti pošteno konkurenco med ponudniki in spoštovanje načel preglednosti, sorazmernosti, enake obravnave in nediskriminacije; poziva organ, naj zagotovi popolno skladnost z veljavnimi pravili o javnih naročilih, da bi dosegel najboljšo možno stroškovno učinkovitost;</w:t>
      </w:r>
    </w:p>
    <w:p w:rsidR="00901196" w:rsidRPr="003B458A" w:rsidRDefault="00901196" w:rsidP="00901196">
      <w:pPr>
        <w:widowControl/>
        <w:spacing w:after="240"/>
        <w:ind w:left="567" w:hanging="567"/>
        <w:rPr>
          <w:b/>
          <w:i/>
          <w:szCs w:val="24"/>
        </w:rPr>
      </w:pPr>
      <w:r>
        <w:rPr>
          <w:b/>
          <w:i/>
        </w:rPr>
        <w:t>Notranje kontrole</w:t>
      </w:r>
    </w:p>
    <w:p w:rsidR="00901196" w:rsidRPr="003B458A" w:rsidRDefault="00901196" w:rsidP="00901196">
      <w:pPr>
        <w:widowControl/>
        <w:spacing w:after="240"/>
        <w:ind w:left="567" w:hanging="567"/>
        <w:rPr>
          <w:szCs w:val="24"/>
        </w:rPr>
      </w:pPr>
      <w:r>
        <w:t>22.</w:t>
      </w:r>
      <w:r>
        <w:tab/>
        <w:t>želi spomniti, da se je delo s posebnim partnerjem za obvladovanje tveganj za izboljšanje združljivosti sedanjega programa organa za obvladovanje tveganj z okvirom COSO za obvladovanje tveganja podjetij (okvir COSO) začelo leta 2021 in nadaljevalo v letu 2022; ugotavlja, da namerava organ za nadaljnje izboljšanje notranjih kontrol svoj program za obvladovanje tveganj povezati z okvirom COSO za obvladovanje tveganja podjetij, okrepiti dejavnosti, povezane z etiko, in zagotoviti prilagojeno usposabljanje o notranjih kontrolah v letu 2023, da bi ohranil in še povečal učinkovitost celotnega sistema notranjih kontrol;</w:t>
      </w:r>
    </w:p>
    <w:p w:rsidR="00901196" w:rsidRPr="003B458A" w:rsidRDefault="00901196" w:rsidP="00901196">
      <w:pPr>
        <w:widowControl/>
        <w:spacing w:after="240"/>
        <w:ind w:left="567" w:hanging="567"/>
        <w:rPr>
          <w:szCs w:val="24"/>
        </w:rPr>
      </w:pPr>
      <w:r>
        <w:t>23.</w:t>
      </w:r>
      <w:r>
        <w:tab/>
        <w:t>ugotavlja, da so bile po navedbah Računskega sodišča pomanjkljivosti pri notranjih kontrolah, sporočene v letu 2021, ki vplivajo na postopke zaposlovanja, odpravljene, saj je organ ustrezno spremenil svoje postopke;</w:t>
      </w:r>
    </w:p>
    <w:p w:rsidR="00901196" w:rsidRPr="003B458A" w:rsidRDefault="00901196" w:rsidP="00901196">
      <w:pPr>
        <w:widowControl/>
        <w:spacing w:after="240"/>
        <w:ind w:left="567" w:hanging="567"/>
        <w:rPr>
          <w:b/>
          <w:i/>
          <w:szCs w:val="24"/>
        </w:rPr>
      </w:pPr>
      <w:r>
        <w:rPr>
          <w:b/>
          <w:i/>
        </w:rPr>
        <w:t>Druge pripombe</w:t>
      </w:r>
    </w:p>
    <w:p w:rsidR="00901196" w:rsidRPr="003B458A" w:rsidRDefault="00901196" w:rsidP="00901196">
      <w:pPr>
        <w:widowControl/>
        <w:spacing w:after="240"/>
        <w:ind w:left="567" w:hanging="567"/>
        <w:rPr>
          <w:szCs w:val="24"/>
        </w:rPr>
      </w:pPr>
      <w:r>
        <w:t>24.</w:t>
      </w:r>
      <w:r>
        <w:tab/>
        <w:t>pozdravlja, da je organ v letu 2022 nadaljeval s promoviranjem svojega dela in rezultatov prek najrazličnejših komunikacijskih kanalov, kot so njegovo spletno mesto, intervjuji za medije in platforme družbenih medijev; ugotavlja, da je organ povečal tudi število dinamičnih prikazov podatkov, namenjenih predstavitvi velikih količin podatkov na bolj celovit in pregleden način, ter objavil 149 sporočil za javnost in novic, promoviral delo organa v tisku in medijih, opravil 74 intervjujev in informativnih sestankov z mediji ter odgovoril na 706 poizvedb po elektronski pošti;</w:t>
      </w:r>
    </w:p>
    <w:p w:rsidR="00901196" w:rsidRPr="003B458A" w:rsidRDefault="00901196" w:rsidP="00901196">
      <w:pPr>
        <w:pStyle w:val="NormalHanging12a"/>
        <w:widowControl/>
      </w:pPr>
      <w:r>
        <w:t>25.</w:t>
      </w:r>
      <w:r>
        <w:tab/>
        <w:t>pozdravlja, da je bil organu leta 2022 podeljen certifikat sistema za okoljsko ravnanje in presojo (EMAS) ter da je uspešno dosegel svoje okoljske cilje za leto 2022 na področju potovanj, energije, odpadkov, javnih naročil in glavnih poslovnih dejavnosti;</w:t>
      </w:r>
      <w:r>
        <w:rPr>
          <w:color w:val="374151"/>
        </w:rPr>
        <w:t xml:space="preserve"> </w:t>
      </w:r>
      <w:r>
        <w:t>želi izpostaviti nekaj dosežkov, in sicer vsaj 50-odstotno zmanjšanje dejavnosti, povezanih s potovanji, 10-odstotno zmanjšanje porabe energije v stavbah, recikliranje vsaj 70 % odpadkov in upoštevanje vpliva na okolje pri prav vseh naročilih, ki jih je oddal organ;</w:t>
      </w:r>
    </w:p>
    <w:p w:rsidR="00901196" w:rsidRPr="003B458A" w:rsidRDefault="00901196" w:rsidP="00901196">
      <w:pPr>
        <w:pStyle w:val="NormalHanging12a"/>
        <w:widowControl/>
      </w:pPr>
      <w:r>
        <w:t>26.</w:t>
      </w:r>
      <w:r>
        <w:tab/>
        <w:t>izraža pohvalo organu, ker se je zavezal, da bo leta 2022 porabo energije (v primerjavi z letom 2019) zmanjšal za 10 %; poudarja, da je organ za dosego tega cilja sprejel ukrepe, kot so sprememba časovnega razporeda ogrevanja in znižanje nastavljene vrednosti na termostatih, oskrba izključno z energijo iz obnovljivih virov, dnevno spremljanje števcev za oceno sprejetih ukrepov in kampanja ozaveščanja uslužbencev o varčevanju z energijo; ugotavlja, da je do konca leta 2022 (glede na leto 2019) porabo energije zmanjšal za 16,4 %;</w:t>
      </w:r>
    </w:p>
    <w:p w:rsidR="00901196" w:rsidRPr="003B458A" w:rsidRDefault="00901196" w:rsidP="00901196">
      <w:pPr>
        <w:pStyle w:val="NormalCenter12a"/>
        <w:widowControl/>
        <w:ind w:left="567" w:hanging="567"/>
      </w:pPr>
      <w:r>
        <w:t>°</w:t>
      </w:r>
    </w:p>
    <w:p w:rsidR="00901196" w:rsidRPr="003B458A" w:rsidRDefault="00901196" w:rsidP="00901196">
      <w:pPr>
        <w:pStyle w:val="NormalCenter12a"/>
        <w:widowControl/>
        <w:ind w:left="567" w:hanging="567"/>
      </w:pPr>
      <w:r>
        <w:t>°</w:t>
      </w:r>
      <w:r>
        <w:tab/>
        <w:t>°</w:t>
      </w:r>
    </w:p>
    <w:p w:rsidR="00901196" w:rsidRPr="003B458A" w:rsidRDefault="00901196" w:rsidP="00901196">
      <w:pPr>
        <w:pStyle w:val="NormalHanging12a"/>
      </w:pPr>
      <w:r>
        <w:t>27.</w:t>
      </w:r>
      <w:r>
        <w:tab/>
        <w:t>sporoča, da so druge ugotovitve horizontalne narave, ki spremljajo sklep o razrešnici, zbrane v resoluciji z dne ...</w:t>
      </w:r>
      <w:r w:rsidRPr="003B458A">
        <w:rPr>
          <w:vertAlign w:val="superscript"/>
        </w:rPr>
        <w:footnoteReference w:id="12"/>
      </w:r>
      <w:r>
        <w:t xml:space="preserve"> o uspešnosti, finančnem poslovodenju in nadzoru agencij.</w:t>
      </w:r>
    </w:p>
    <w:p w:rsidR="00901196" w:rsidRPr="003B458A" w:rsidRDefault="00901196" w:rsidP="00901196">
      <w:pPr>
        <w:pStyle w:val="NormalHanging12a"/>
      </w:pPr>
    </w:p>
    <w:p w:rsidR="00841D8C" w:rsidRPr="00AA2B01" w:rsidRDefault="00841D8C" w:rsidP="00901196">
      <w:pPr>
        <w:pStyle w:val="NormalHanging12a"/>
      </w:pPr>
    </w:p>
    <w:sectPr w:rsidR="00841D8C" w:rsidRPr="00AA2B01" w:rsidSect="007F713D">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B01" w:rsidRPr="00AA2B01" w:rsidRDefault="00AA2B01">
      <w:r w:rsidRPr="00AA2B01">
        <w:separator/>
      </w:r>
    </w:p>
  </w:endnote>
  <w:endnote w:type="continuationSeparator" w:id="0">
    <w:p w:rsidR="00AA2B01" w:rsidRPr="00AA2B01" w:rsidRDefault="00AA2B01">
      <w:r w:rsidRPr="00AA2B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AA2B01" w:rsidRDefault="00390068" w:rsidP="001A54A8">
    <w:pPr>
      <w:pStyle w:val="EPFooter"/>
    </w:pPr>
    <w:r w:rsidRPr="00AA2B01">
      <w:t>PE</w:t>
    </w:r>
    <w:r w:rsidRPr="00AA2B01">
      <w:rPr>
        <w:rStyle w:val="HideTWBExt"/>
      </w:rPr>
      <w:t>&lt;NoPE&gt;</w:t>
    </w:r>
    <w:r w:rsidR="00901196" w:rsidRPr="00901196">
      <w:t>753.513</w:t>
    </w:r>
    <w:r w:rsidRPr="00AA2B01">
      <w:rPr>
        <w:rStyle w:val="HideTWBExt"/>
      </w:rPr>
      <w:t>&lt;/NoPE&gt;&lt;Version&gt;</w:t>
    </w:r>
    <w:r w:rsidR="00AA2B01" w:rsidRPr="00AA2B01">
      <w:t>v</w:t>
    </w:r>
    <w:r w:rsidR="00901196" w:rsidRPr="00901196">
      <w:t>01-00</w:t>
    </w:r>
    <w:r w:rsidRPr="00AA2B01">
      <w:rPr>
        <w:rStyle w:val="HideTWBExt"/>
      </w:rPr>
      <w:t>&lt;/Version&gt;</w:t>
    </w:r>
    <w:r w:rsidRPr="00AA2B01">
      <w:tab/>
    </w:r>
    <w:r w:rsidR="00B11618" w:rsidRPr="00AA2B01">
      <w:fldChar w:fldCharType="begin"/>
    </w:r>
    <w:r w:rsidR="00B11618" w:rsidRPr="00AA2B01">
      <w:instrText xml:space="preserve"> PAGE </w:instrText>
    </w:r>
    <w:r w:rsidR="00B11618" w:rsidRPr="00AA2B01">
      <w:fldChar w:fldCharType="separate"/>
    </w:r>
    <w:r w:rsidR="00D35E15">
      <w:rPr>
        <w:noProof/>
      </w:rPr>
      <w:t>12</w:t>
    </w:r>
    <w:r w:rsidR="00B11618" w:rsidRPr="00AA2B01">
      <w:fldChar w:fldCharType="end"/>
    </w:r>
    <w:r w:rsidR="00B11618" w:rsidRPr="00AA2B01">
      <w:t>/</w:t>
    </w:r>
    <w:r w:rsidR="00D35E15">
      <w:fldChar w:fldCharType="begin"/>
    </w:r>
    <w:r w:rsidR="00D35E15">
      <w:instrText xml:space="preserve"> NUMPAGES </w:instrText>
    </w:r>
    <w:r w:rsidR="00D35E15">
      <w:fldChar w:fldCharType="separate"/>
    </w:r>
    <w:r w:rsidR="00D35E15">
      <w:rPr>
        <w:noProof/>
      </w:rPr>
      <w:t>12</w:t>
    </w:r>
    <w:r w:rsidR="00D35E15">
      <w:rPr>
        <w:noProof/>
      </w:rPr>
      <w:fldChar w:fldCharType="end"/>
    </w:r>
    <w:r w:rsidRPr="00AA2B01">
      <w:tab/>
    </w:r>
    <w:r w:rsidRPr="00AA2B01">
      <w:rPr>
        <w:rStyle w:val="HideTWBExt"/>
      </w:rPr>
      <w:t>&lt;PathFdR&gt;</w:t>
    </w:r>
    <w:r w:rsidR="00901196" w:rsidRPr="00901196">
      <w:t>PR\1286139SL.docx</w:t>
    </w:r>
    <w:r w:rsidRPr="00AA2B01">
      <w:rPr>
        <w:rStyle w:val="HideTWBExt"/>
      </w:rPr>
      <w:t>&lt;/PathFdR&gt;</w:t>
    </w:r>
  </w:p>
  <w:p w:rsidR="00390068" w:rsidRPr="00AA2B01" w:rsidRDefault="00D35E15">
    <w:pPr>
      <w:pStyle w:val="EPFooter2"/>
    </w:pPr>
    <w:r>
      <w:fldChar w:fldCharType="begin"/>
    </w:r>
    <w:r>
      <w:instrText xml:space="preserve"> DOCPROPERTY "&lt;Extension&gt;" </w:instrText>
    </w:r>
    <w:r>
      <w:fldChar w:fldCharType="separate"/>
    </w:r>
    <w:r>
      <w:t>SL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AA2B01" w:rsidRDefault="00390068" w:rsidP="001A54A8">
    <w:pPr>
      <w:pStyle w:val="EPFooter"/>
    </w:pPr>
    <w:r w:rsidRPr="00AA2B01">
      <w:rPr>
        <w:rStyle w:val="HideTWBExt"/>
      </w:rPr>
      <w:t>&lt;PathFdR&gt;</w:t>
    </w:r>
    <w:r w:rsidR="00901196" w:rsidRPr="00901196">
      <w:t>PR\1286139SL.docx</w:t>
    </w:r>
    <w:r w:rsidRPr="00AA2B01">
      <w:rPr>
        <w:rStyle w:val="HideTWBExt"/>
      </w:rPr>
      <w:t>&lt;/PathFdR&gt;</w:t>
    </w:r>
    <w:r w:rsidRPr="00AA2B01">
      <w:tab/>
    </w:r>
    <w:r w:rsidR="00B11618" w:rsidRPr="00AA2B01">
      <w:fldChar w:fldCharType="begin"/>
    </w:r>
    <w:r w:rsidR="00B11618" w:rsidRPr="00AA2B01">
      <w:instrText xml:space="preserve"> PAGE </w:instrText>
    </w:r>
    <w:r w:rsidR="00B11618" w:rsidRPr="00AA2B01">
      <w:fldChar w:fldCharType="separate"/>
    </w:r>
    <w:r w:rsidR="00D35E15">
      <w:rPr>
        <w:noProof/>
      </w:rPr>
      <w:t>11</w:t>
    </w:r>
    <w:r w:rsidR="00B11618" w:rsidRPr="00AA2B01">
      <w:fldChar w:fldCharType="end"/>
    </w:r>
    <w:r w:rsidR="00B11618" w:rsidRPr="00AA2B01">
      <w:t>/</w:t>
    </w:r>
    <w:r w:rsidR="00D35E15">
      <w:fldChar w:fldCharType="begin"/>
    </w:r>
    <w:r w:rsidR="00D35E15">
      <w:instrText xml:space="preserve"> NUMPAGES </w:instrText>
    </w:r>
    <w:r w:rsidR="00D35E15">
      <w:fldChar w:fldCharType="separate"/>
    </w:r>
    <w:r w:rsidR="00D35E15">
      <w:rPr>
        <w:noProof/>
      </w:rPr>
      <w:t>11</w:t>
    </w:r>
    <w:r w:rsidR="00D35E15">
      <w:rPr>
        <w:noProof/>
      </w:rPr>
      <w:fldChar w:fldCharType="end"/>
    </w:r>
    <w:r w:rsidRPr="00AA2B01">
      <w:tab/>
      <w:t>PE</w:t>
    </w:r>
    <w:r w:rsidRPr="00AA2B01">
      <w:rPr>
        <w:rStyle w:val="HideTWBExt"/>
      </w:rPr>
      <w:t>&lt;NoPE&gt;</w:t>
    </w:r>
    <w:r w:rsidR="00901196" w:rsidRPr="00901196">
      <w:t>753.513</w:t>
    </w:r>
    <w:r w:rsidRPr="00AA2B01">
      <w:rPr>
        <w:rStyle w:val="HideTWBExt"/>
      </w:rPr>
      <w:t>&lt;/NoPE&gt;&lt;Version&gt;</w:t>
    </w:r>
    <w:r w:rsidR="00AA2B01" w:rsidRPr="00AA2B01">
      <w:t>v</w:t>
    </w:r>
    <w:r w:rsidR="00901196" w:rsidRPr="00901196">
      <w:t>01-00</w:t>
    </w:r>
    <w:r w:rsidRPr="00AA2B01">
      <w:rPr>
        <w:rStyle w:val="HideTWBExt"/>
      </w:rPr>
      <w:t>&lt;/Version&gt;</w:t>
    </w:r>
  </w:p>
  <w:p w:rsidR="00390068" w:rsidRPr="00AA2B01" w:rsidRDefault="007F713D">
    <w:pPr>
      <w:pStyle w:val="EPFooter2"/>
    </w:pPr>
    <w:r w:rsidRPr="00AA2B01">
      <w:tab/>
    </w:r>
    <w:r w:rsidR="00390068" w:rsidRPr="00AA2B01">
      <w:tab/>
    </w:r>
    <w:r w:rsidR="00D35E15">
      <w:fldChar w:fldCharType="begin"/>
    </w:r>
    <w:r w:rsidR="00D35E15">
      <w:instrText xml:space="preserve"> DOCPROPERTY "&lt;Extension&gt;" </w:instrText>
    </w:r>
    <w:r w:rsidR="00D35E15">
      <w:fldChar w:fldCharType="separate"/>
    </w:r>
    <w:r w:rsidR="00D35E15">
      <w:t>SL</w:t>
    </w:r>
    <w:r w:rsidR="00D35E1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AA2B01" w:rsidRDefault="00390068" w:rsidP="001A54A8">
    <w:pPr>
      <w:pStyle w:val="EPFooter"/>
    </w:pPr>
    <w:r w:rsidRPr="00AA2B01">
      <w:rPr>
        <w:rStyle w:val="HideTWBExt"/>
      </w:rPr>
      <w:t>&lt;PathFdR&gt;</w:t>
    </w:r>
    <w:r w:rsidR="00901196" w:rsidRPr="00901196">
      <w:t>PR\1286139SL.docx</w:t>
    </w:r>
    <w:r w:rsidRPr="00AA2B01">
      <w:rPr>
        <w:rStyle w:val="HideTWBExt"/>
      </w:rPr>
      <w:t>&lt;/PathFdR&gt;</w:t>
    </w:r>
    <w:r w:rsidRPr="00AA2B01">
      <w:tab/>
    </w:r>
    <w:r w:rsidRPr="00AA2B01">
      <w:tab/>
      <w:t>PE</w:t>
    </w:r>
    <w:r w:rsidRPr="00AA2B01">
      <w:rPr>
        <w:rStyle w:val="HideTWBExt"/>
      </w:rPr>
      <w:t>&lt;NoPE&gt;</w:t>
    </w:r>
    <w:r w:rsidR="00901196" w:rsidRPr="00901196">
      <w:t>753.513</w:t>
    </w:r>
    <w:r w:rsidRPr="00AA2B01">
      <w:rPr>
        <w:rStyle w:val="HideTWBExt"/>
      </w:rPr>
      <w:t>&lt;/NoPE&gt;&lt;Version&gt;</w:t>
    </w:r>
    <w:r w:rsidR="00AA2B01" w:rsidRPr="00AA2B01">
      <w:t>v</w:t>
    </w:r>
    <w:r w:rsidR="00901196" w:rsidRPr="00901196">
      <w:t>01-00</w:t>
    </w:r>
    <w:r w:rsidRPr="00AA2B01">
      <w:rPr>
        <w:rStyle w:val="HideTWBExt"/>
      </w:rPr>
      <w:t>&lt;/Version&gt;</w:t>
    </w:r>
  </w:p>
  <w:p w:rsidR="00390068" w:rsidRPr="00AA2B01" w:rsidRDefault="00D35E15" w:rsidP="00390068">
    <w:pPr>
      <w:pStyle w:val="EPFooter2"/>
      <w:tabs>
        <w:tab w:val="clear" w:pos="4535"/>
        <w:tab w:val="center" w:pos="4536"/>
      </w:tabs>
    </w:pPr>
    <w:r>
      <w:fldChar w:fldCharType="begin"/>
    </w:r>
    <w:r>
      <w:instrText xml:space="preserve"> DOCPROPERTY "&lt;Extension&gt;" </w:instrText>
    </w:r>
    <w:r>
      <w:fldChar w:fldCharType="separate"/>
    </w:r>
    <w:r>
      <w:t>SL</w:t>
    </w:r>
    <w:r>
      <w:fldChar w:fldCharType="end"/>
    </w:r>
    <w:r w:rsidR="00390068" w:rsidRPr="00AA2B01">
      <w:tab/>
    </w:r>
    <w:r w:rsidR="00901196">
      <w:rPr>
        <w:b w:val="0"/>
        <w:i/>
        <w:color w:val="C0C0C0"/>
        <w:sz w:val="22"/>
        <w:szCs w:val="22"/>
      </w:rPr>
      <w:t>Združena v raznolikosti</w:t>
    </w:r>
    <w:r w:rsidR="00390068" w:rsidRPr="00AA2B01">
      <w:tab/>
    </w:r>
    <w:r>
      <w:fldChar w:fldCharType="begin"/>
    </w:r>
    <w:r>
      <w:instrText xml:space="preserve"> DOCPROPERTY "&lt;Extension&gt;" </w:instrText>
    </w:r>
    <w:r>
      <w:fldChar w:fldCharType="separate"/>
    </w:r>
    <w:r>
      <w:t>SL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B01" w:rsidRPr="00AA2B01" w:rsidRDefault="00AA2B01">
      <w:r w:rsidRPr="00AA2B01">
        <w:separator/>
      </w:r>
    </w:p>
  </w:footnote>
  <w:footnote w:type="continuationSeparator" w:id="0">
    <w:p w:rsidR="00AA2B01" w:rsidRPr="00AA2B01" w:rsidRDefault="00AA2B01">
      <w:r w:rsidRPr="00AA2B01">
        <w:continuationSeparator/>
      </w:r>
    </w:p>
  </w:footnote>
  <w:footnote w:id="1">
    <w:p w:rsidR="00901196" w:rsidRDefault="00901196">
      <w:pPr>
        <w:pStyle w:val="FootnoteText"/>
      </w:pPr>
      <w:r>
        <w:rPr>
          <w:rStyle w:val="FootnoteReference"/>
        </w:rPr>
        <w:footnoteRef/>
      </w:r>
      <w:r>
        <w:t xml:space="preserve"> UL C, C/2023/594, 27.10.2023.</w:t>
      </w:r>
    </w:p>
  </w:footnote>
  <w:footnote w:id="2">
    <w:p w:rsidR="00901196" w:rsidRDefault="00901196">
      <w:pPr>
        <w:pStyle w:val="FootnoteText"/>
      </w:pPr>
      <w:r>
        <w:rPr>
          <w:rStyle w:val="FootnoteReference"/>
        </w:rPr>
        <w:footnoteRef/>
      </w:r>
      <w:r>
        <w:t xml:space="preserve"> UL C, C/2023/112, 12.10.2023.</w:t>
      </w:r>
    </w:p>
  </w:footnote>
  <w:footnote w:id="3">
    <w:p w:rsidR="00901196" w:rsidRDefault="00901196">
      <w:pPr>
        <w:pStyle w:val="FootnoteText"/>
      </w:pPr>
      <w:r>
        <w:rPr>
          <w:rStyle w:val="FootnoteReference"/>
        </w:rPr>
        <w:footnoteRef/>
      </w:r>
      <w:r>
        <w:t xml:space="preserve"> UL L 193, 30.7.2018, str. 1.</w:t>
      </w:r>
    </w:p>
  </w:footnote>
  <w:footnote w:id="4">
    <w:p w:rsidR="00901196" w:rsidRDefault="00901196">
      <w:pPr>
        <w:pStyle w:val="FootnoteText"/>
      </w:pPr>
      <w:r>
        <w:rPr>
          <w:rStyle w:val="FootnoteReference"/>
        </w:rPr>
        <w:footnoteRef/>
      </w:r>
      <w:r>
        <w:t xml:space="preserve"> UL L 331, 15.12.2010, str. 12.</w:t>
      </w:r>
    </w:p>
  </w:footnote>
  <w:footnote w:id="5">
    <w:p w:rsidR="00901196" w:rsidRDefault="00901196">
      <w:pPr>
        <w:pStyle w:val="FootnoteText"/>
      </w:pPr>
      <w:r>
        <w:rPr>
          <w:rStyle w:val="FootnoteReference"/>
        </w:rPr>
        <w:footnoteRef/>
      </w:r>
      <w:r>
        <w:t xml:space="preserve"> UL L 122, 10.5.2019, str. 1.</w:t>
      </w:r>
    </w:p>
  </w:footnote>
  <w:footnote w:id="6">
    <w:p w:rsidR="00901196" w:rsidRDefault="00901196">
      <w:pPr>
        <w:pStyle w:val="FootnoteText"/>
      </w:pPr>
      <w:r>
        <w:rPr>
          <w:rStyle w:val="FootnoteReference"/>
        </w:rPr>
        <w:footnoteRef/>
      </w:r>
      <w:r>
        <w:t xml:space="preserve"> UL C, C/2023/594, 27.10.2023.</w:t>
      </w:r>
    </w:p>
  </w:footnote>
  <w:footnote w:id="7">
    <w:p w:rsidR="00901196" w:rsidRDefault="00901196">
      <w:pPr>
        <w:pStyle w:val="FootnoteText"/>
      </w:pPr>
      <w:r>
        <w:rPr>
          <w:rStyle w:val="FootnoteReference"/>
        </w:rPr>
        <w:footnoteRef/>
      </w:r>
      <w:r>
        <w:t xml:space="preserve"> UL C, C/2023/112, 12.10.2023.</w:t>
      </w:r>
    </w:p>
  </w:footnote>
  <w:footnote w:id="8">
    <w:p w:rsidR="00901196" w:rsidRDefault="00901196">
      <w:pPr>
        <w:pStyle w:val="FootnoteText"/>
      </w:pPr>
      <w:r>
        <w:rPr>
          <w:rStyle w:val="FootnoteReference"/>
        </w:rPr>
        <w:footnoteRef/>
      </w:r>
      <w:r>
        <w:t xml:space="preserve"> UL L 193, 30.7.2018, str. 1.</w:t>
      </w:r>
    </w:p>
  </w:footnote>
  <w:footnote w:id="9">
    <w:p w:rsidR="00901196" w:rsidRDefault="00901196">
      <w:pPr>
        <w:pStyle w:val="FootnoteText"/>
      </w:pPr>
      <w:r>
        <w:rPr>
          <w:rStyle w:val="FootnoteReference"/>
        </w:rPr>
        <w:footnoteRef/>
      </w:r>
      <w:r>
        <w:t xml:space="preserve"> UL L 331, 15.12.2010, str. 12.</w:t>
      </w:r>
    </w:p>
  </w:footnote>
  <w:footnote w:id="10">
    <w:p w:rsidR="00901196" w:rsidRDefault="00901196">
      <w:pPr>
        <w:pStyle w:val="FootnoteText"/>
      </w:pPr>
      <w:r>
        <w:rPr>
          <w:rStyle w:val="FootnoteReference"/>
        </w:rPr>
        <w:footnoteRef/>
      </w:r>
      <w:r>
        <w:t xml:space="preserve"> UL L 122, 10.5.2019, str. 1.</w:t>
      </w:r>
    </w:p>
  </w:footnote>
  <w:footnote w:id="11">
    <w:p w:rsidR="00901196" w:rsidRDefault="00901196" w:rsidP="00901196">
      <w:pPr>
        <w:pStyle w:val="FootnoteText"/>
        <w:ind w:left="567" w:hanging="567"/>
      </w:pPr>
      <w:r>
        <w:rPr>
          <w:rStyle w:val="FootnoteReference"/>
        </w:rPr>
        <w:footnoteRef/>
      </w:r>
      <w:r>
        <w:t xml:space="preserve"> UL C 73, 28.2.2023, str. 102.</w:t>
      </w:r>
    </w:p>
  </w:footnote>
  <w:footnote w:id="12">
    <w:p w:rsidR="00901196" w:rsidRDefault="00901196" w:rsidP="00901196">
      <w:pPr>
        <w:pStyle w:val="FootnoteText"/>
        <w:ind w:left="567" w:hanging="567"/>
      </w:pPr>
      <w:r>
        <w:rPr>
          <w:rStyle w:val="FootnoteReference"/>
        </w:rPr>
        <w:footnoteRef/>
      </w:r>
      <w:r>
        <w:t xml:space="preserve"> Sprejeta besedila,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196" w:rsidRDefault="009011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196" w:rsidRDefault="009011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196" w:rsidRDefault="009011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DECISIONMNU" w:val=" 3"/>
    <w:docVar w:name="LastEditedSection" w:val=" 1"/>
    <w:docVar w:name="LETTERSMNU" w:val=" 4"/>
    <w:docVar w:name="OPINIONSMNU" w:val=" 4"/>
    <w:docVar w:name="POSITIONSMNU" w:val=" 4"/>
    <w:docVar w:name="strDocTypeID" w:val="PR_DEC_Agencies"/>
    <w:docVar w:name="strSubDir" w:val="1286"/>
    <w:docVar w:name="TITLEMNU" w:val=" 7"/>
    <w:docVar w:name="TXTBUDYEAR" w:val="2022"/>
    <w:docVar w:name="TXTLANGUE" w:val="SL"/>
    <w:docVar w:name="TXTLANGUEMIN" w:val="sl"/>
    <w:docVar w:name="TXTNRC" w:val="0000/2024"/>
    <w:docVar w:name="TXTNRCOUNC" w:val="00000/2024"/>
    <w:docVar w:name="TXTNRDEC" w:val="2023/2146"/>
    <w:docVar w:name="TXTNRPE" w:val="753.513"/>
    <w:docVar w:name="TXTPEorAP" w:val="PE"/>
    <w:docVar w:name="TXTROUTE" w:val="PR\1286139SL.docx"/>
    <w:docVar w:name="TXTVERSION" w:val="01-00"/>
  </w:docVars>
  <w:rsids>
    <w:rsidRoot w:val="00AA2B01"/>
    <w:rsid w:val="00002C51"/>
    <w:rsid w:val="00064DFF"/>
    <w:rsid w:val="00090E0B"/>
    <w:rsid w:val="00096FDC"/>
    <w:rsid w:val="000A05D5"/>
    <w:rsid w:val="000A48E0"/>
    <w:rsid w:val="000B47E5"/>
    <w:rsid w:val="00104CB9"/>
    <w:rsid w:val="001150DB"/>
    <w:rsid w:val="00116CB4"/>
    <w:rsid w:val="00150EC1"/>
    <w:rsid w:val="0017746B"/>
    <w:rsid w:val="001A54A8"/>
    <w:rsid w:val="001B4494"/>
    <w:rsid w:val="001E1032"/>
    <w:rsid w:val="001E7BEE"/>
    <w:rsid w:val="00202D84"/>
    <w:rsid w:val="002377CC"/>
    <w:rsid w:val="002421F7"/>
    <w:rsid w:val="002443C0"/>
    <w:rsid w:val="002502C8"/>
    <w:rsid w:val="00253648"/>
    <w:rsid w:val="00256BE3"/>
    <w:rsid w:val="00276092"/>
    <w:rsid w:val="002D1E60"/>
    <w:rsid w:val="002D6EA9"/>
    <w:rsid w:val="0031254A"/>
    <w:rsid w:val="00320A9A"/>
    <w:rsid w:val="003315AF"/>
    <w:rsid w:val="00336524"/>
    <w:rsid w:val="003369E3"/>
    <w:rsid w:val="00381864"/>
    <w:rsid w:val="00390068"/>
    <w:rsid w:val="003D353C"/>
    <w:rsid w:val="003E25A9"/>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477C9"/>
    <w:rsid w:val="00550863"/>
    <w:rsid w:val="00550E6B"/>
    <w:rsid w:val="00564DB0"/>
    <w:rsid w:val="005A3D7F"/>
    <w:rsid w:val="005A6CAE"/>
    <w:rsid w:val="005B2950"/>
    <w:rsid w:val="005C689E"/>
    <w:rsid w:val="005D3E9F"/>
    <w:rsid w:val="005E6A67"/>
    <w:rsid w:val="005E7E89"/>
    <w:rsid w:val="005F6B87"/>
    <w:rsid w:val="00611C37"/>
    <w:rsid w:val="0063324A"/>
    <w:rsid w:val="00643EBE"/>
    <w:rsid w:val="0066045F"/>
    <w:rsid w:val="00671F88"/>
    <w:rsid w:val="006835EB"/>
    <w:rsid w:val="00686BB9"/>
    <w:rsid w:val="00693FF3"/>
    <w:rsid w:val="0069786A"/>
    <w:rsid w:val="006B0ED0"/>
    <w:rsid w:val="006D37D7"/>
    <w:rsid w:val="006D5743"/>
    <w:rsid w:val="006E740E"/>
    <w:rsid w:val="00706383"/>
    <w:rsid w:val="0074734C"/>
    <w:rsid w:val="00784758"/>
    <w:rsid w:val="007A4AC9"/>
    <w:rsid w:val="007C3B7E"/>
    <w:rsid w:val="007C7DE0"/>
    <w:rsid w:val="007D1E61"/>
    <w:rsid w:val="007E2834"/>
    <w:rsid w:val="007F713D"/>
    <w:rsid w:val="0081446A"/>
    <w:rsid w:val="00837B2B"/>
    <w:rsid w:val="00841D8C"/>
    <w:rsid w:val="00895F7F"/>
    <w:rsid w:val="008A23A3"/>
    <w:rsid w:val="008D2063"/>
    <w:rsid w:val="00901196"/>
    <w:rsid w:val="00916826"/>
    <w:rsid w:val="009347E5"/>
    <w:rsid w:val="009378F5"/>
    <w:rsid w:val="00947D32"/>
    <w:rsid w:val="009807D1"/>
    <w:rsid w:val="009A1AE4"/>
    <w:rsid w:val="009B566F"/>
    <w:rsid w:val="009B6E2F"/>
    <w:rsid w:val="009C06C9"/>
    <w:rsid w:val="009C4C82"/>
    <w:rsid w:val="009F1C87"/>
    <w:rsid w:val="009F2DD4"/>
    <w:rsid w:val="00A273FA"/>
    <w:rsid w:val="00A35902"/>
    <w:rsid w:val="00A84FF1"/>
    <w:rsid w:val="00A92249"/>
    <w:rsid w:val="00A95064"/>
    <w:rsid w:val="00AA2B01"/>
    <w:rsid w:val="00AB4789"/>
    <w:rsid w:val="00AD2ECC"/>
    <w:rsid w:val="00AD47D4"/>
    <w:rsid w:val="00B11618"/>
    <w:rsid w:val="00B553CB"/>
    <w:rsid w:val="00B6540D"/>
    <w:rsid w:val="00B75AA6"/>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3401"/>
    <w:rsid w:val="00CB6B29"/>
    <w:rsid w:val="00CD1E8A"/>
    <w:rsid w:val="00CF07EC"/>
    <w:rsid w:val="00D05CBA"/>
    <w:rsid w:val="00D13DD1"/>
    <w:rsid w:val="00D35E15"/>
    <w:rsid w:val="00D46466"/>
    <w:rsid w:val="00D52EA4"/>
    <w:rsid w:val="00D74CC3"/>
    <w:rsid w:val="00DA5269"/>
    <w:rsid w:val="00DF7BA5"/>
    <w:rsid w:val="00E31C35"/>
    <w:rsid w:val="00E44A07"/>
    <w:rsid w:val="00E50576"/>
    <w:rsid w:val="00E80CE4"/>
    <w:rsid w:val="00E8604D"/>
    <w:rsid w:val="00EB31C4"/>
    <w:rsid w:val="00ED335B"/>
    <w:rsid w:val="00F017D4"/>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8C012353-AEA4-4652-B66F-EE924C51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901196"/>
    <w:rPr>
      <w:sz w:val="20"/>
    </w:rPr>
  </w:style>
  <w:style w:type="character" w:customStyle="1" w:styleId="FootnoteTextChar">
    <w:name w:val="Footnote Text Char"/>
    <w:basedOn w:val="DefaultParagraphFont"/>
    <w:link w:val="FootnoteText"/>
    <w:rsid w:val="00901196"/>
    <w:rPr>
      <w:lang w:val="sl-SI"/>
    </w:rPr>
  </w:style>
  <w:style w:type="character" w:styleId="FootnoteReference">
    <w:name w:val="footnote reference"/>
    <w:basedOn w:val="DefaultParagraphFont"/>
    <w:rsid w:val="00901196"/>
    <w:rPr>
      <w:vertAlign w:val="superscript"/>
    </w:rPr>
  </w:style>
  <w:style w:type="character" w:customStyle="1" w:styleId="NormalHanging12aChar">
    <w:name w:val="NormalHanging12a Char"/>
    <w:link w:val="NormalHanging12a"/>
    <w:locked/>
    <w:rsid w:val="00901196"/>
    <w:rPr>
      <w:sz w:val="24"/>
      <w:lang w:val="sl-SI"/>
    </w:rPr>
  </w:style>
  <w:style w:type="paragraph" w:styleId="Footer">
    <w:name w:val="footer"/>
    <w:basedOn w:val="Normal"/>
    <w:link w:val="FooterChar"/>
    <w:semiHidden/>
    <w:rsid w:val="00901196"/>
    <w:pPr>
      <w:tabs>
        <w:tab w:val="center" w:pos="4513"/>
        <w:tab w:val="right" w:pos="9026"/>
      </w:tabs>
    </w:pPr>
  </w:style>
  <w:style w:type="character" w:customStyle="1" w:styleId="FooterChar">
    <w:name w:val="Footer Char"/>
    <w:basedOn w:val="DefaultParagraphFont"/>
    <w:link w:val="Footer"/>
    <w:semiHidden/>
    <w:rsid w:val="0090119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2913</Words>
  <Characters>17449</Characters>
  <Application>Microsoft Office Word</Application>
  <DocSecurity>0</DocSecurity>
  <Lines>306</Lines>
  <Paragraphs>112</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GROSELJ Katarina</dc:creator>
  <cp:keywords/>
  <dc:description/>
  <cp:lastModifiedBy>GROSELJ Tadej</cp:lastModifiedBy>
  <cp:revision>2</cp:revision>
  <cp:lastPrinted>2004-12-08T15:27:00Z</cp:lastPrinted>
  <dcterms:created xsi:type="dcterms:W3CDTF">2024-01-26T09:29:00Z</dcterms:created>
  <dcterms:modified xsi:type="dcterms:W3CDTF">2024-01-26T09:29:00Z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9.17.1 Build [20240101]</vt:lpwstr>
  </property>
  <property fmtid="{D5CDD505-2E9C-101B-9397-08002B2CF9AE}" pid="4" name="LastEdited with">
    <vt:lpwstr>9.17.1 Build [20240101]</vt:lpwstr>
  </property>
  <property fmtid="{D5CDD505-2E9C-101B-9397-08002B2CF9AE}" pid="5" name="&lt;FdR&gt;">
    <vt:lpwstr>1286139</vt:lpwstr>
  </property>
  <property fmtid="{D5CDD505-2E9C-101B-9397-08002B2CF9AE}" pid="6" name="&lt;Type&gt;">
    <vt:lpwstr>PR</vt:lpwstr>
  </property>
  <property fmtid="{D5CDD505-2E9C-101B-9397-08002B2CF9AE}" pid="7" name="&lt;ModelCod&gt;">
    <vt:lpwstr>\\eiciLUXpr1\pdocep$\DocEP\DOCS\General\PR\PR_BUD\DEC\PR_DEC_Agencies.dotx(13/10/2022 06:29:28)</vt:lpwstr>
  </property>
  <property fmtid="{D5CDD505-2E9C-101B-9397-08002B2CF9AE}" pid="8" name="&lt;ModelTra&gt;">
    <vt:lpwstr>\\eiciLUXpr1\pdocep$\DocEP\TRANSFIL\SL\PR_DEC_Agencies.SL(25/10/2023 11:54:01)</vt:lpwstr>
  </property>
  <property fmtid="{D5CDD505-2E9C-101B-9397-08002B2CF9AE}" pid="9" name="&lt;Model&gt;">
    <vt:lpwstr>PR_DEC_Agencies</vt:lpwstr>
  </property>
  <property fmtid="{D5CDD505-2E9C-101B-9397-08002B2CF9AE}" pid="10" name="FooterPath">
    <vt:lpwstr>PR\1286139SL.docx</vt:lpwstr>
  </property>
  <property fmtid="{D5CDD505-2E9C-101B-9397-08002B2CF9AE}" pid="11" name="PE number">
    <vt:lpwstr>753.513</vt:lpwstr>
  </property>
  <property fmtid="{D5CDD505-2E9C-101B-9397-08002B2CF9AE}" pid="12" name="Bookout">
    <vt:lpwstr>OK - 2024/01/26 10:29</vt:lpwstr>
  </property>
  <property fmtid="{D5CDD505-2E9C-101B-9397-08002B2CF9AE}" pid="13" name="SDLStudio">
    <vt:lpwstr/>
  </property>
</Properties>
</file>