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437B2" w:rsidRPr="00055942" w:rsidTr="00C85D0F">
        <w:trPr>
          <w:trHeight w:hRule="exact" w:val="1418"/>
        </w:trPr>
        <w:tc>
          <w:tcPr>
            <w:tcW w:w="6804" w:type="dxa"/>
            <w:shd w:val="clear" w:color="auto" w:fill="auto"/>
            <w:vAlign w:val="center"/>
          </w:tcPr>
          <w:p w:rsidR="004749EC" w:rsidRPr="00055942" w:rsidRDefault="001A6C4C" w:rsidP="00C85D0F">
            <w:pPr>
              <w:pStyle w:val="EPName"/>
            </w:pPr>
            <w:r w:rsidRPr="00055942">
              <w:t>Ευρωπαϊκό Κοινοβούλιο</w:t>
            </w:r>
          </w:p>
          <w:p w:rsidR="004749EC" w:rsidRPr="00055942" w:rsidRDefault="001A6C4C" w:rsidP="007F18B5">
            <w:pPr>
              <w:pStyle w:val="EPTerm"/>
            </w:pPr>
            <w:r w:rsidRPr="00055942">
              <w:t>2019-2024</w:t>
            </w:r>
          </w:p>
        </w:tc>
        <w:tc>
          <w:tcPr>
            <w:tcW w:w="2268" w:type="dxa"/>
            <w:shd w:val="clear" w:color="auto" w:fill="auto"/>
          </w:tcPr>
          <w:p w:rsidR="004749EC" w:rsidRPr="00055942" w:rsidRDefault="001A6C4C" w:rsidP="00C85D0F">
            <w:pPr>
              <w:pStyle w:val="EPLogo"/>
            </w:pPr>
            <w:r w:rsidRPr="0005594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390068" w:rsidRPr="00055942" w:rsidRDefault="00390068" w:rsidP="00390068">
      <w:pPr>
        <w:pStyle w:val="LineTop"/>
      </w:pPr>
    </w:p>
    <w:p w:rsidR="00390068" w:rsidRPr="00055942" w:rsidRDefault="001A6C4C" w:rsidP="00390068">
      <w:pPr>
        <w:pStyle w:val="EPBody"/>
      </w:pPr>
      <w:r w:rsidRPr="00055942">
        <w:rPr>
          <w:rStyle w:val="HideTWBExt"/>
        </w:rPr>
        <w:t>&lt;</w:t>
      </w:r>
      <w:r w:rsidRPr="00055942">
        <w:rPr>
          <w:rStyle w:val="HideTWBExt"/>
          <w:i w:val="0"/>
        </w:rPr>
        <w:t>Commission</w:t>
      </w:r>
      <w:r w:rsidRPr="00055942">
        <w:rPr>
          <w:rStyle w:val="HideTWBExt"/>
        </w:rPr>
        <w:t>&gt;</w:t>
      </w:r>
      <w:r w:rsidRPr="00055942">
        <w:rPr>
          <w:rStyle w:val="HideTWBInt"/>
          <w:i w:val="0"/>
          <w:color w:val="auto"/>
        </w:rPr>
        <w:t>{CONT}</w:t>
      </w:r>
      <w:r w:rsidRPr="00055942">
        <w:t>Επιτροπή Ελέγχου του Προϋπολογισμού</w:t>
      </w:r>
      <w:r w:rsidRPr="00055942">
        <w:rPr>
          <w:rStyle w:val="HideTWBExt"/>
        </w:rPr>
        <w:t>&lt;/</w:t>
      </w:r>
      <w:r w:rsidRPr="00055942">
        <w:rPr>
          <w:rStyle w:val="HideTWBExt"/>
          <w:i w:val="0"/>
        </w:rPr>
        <w:t>Commission</w:t>
      </w:r>
      <w:r w:rsidRPr="00055942">
        <w:rPr>
          <w:rStyle w:val="HideTWBExt"/>
        </w:rPr>
        <w:t>&gt;</w:t>
      </w:r>
    </w:p>
    <w:p w:rsidR="00390068" w:rsidRPr="00055942" w:rsidRDefault="00390068" w:rsidP="00390068">
      <w:pPr>
        <w:pStyle w:val="LineBottom"/>
      </w:pPr>
    </w:p>
    <w:p w:rsidR="00C1531C" w:rsidRPr="00055942" w:rsidRDefault="001A6C4C">
      <w:pPr>
        <w:pStyle w:val="CoverReference"/>
      </w:pPr>
      <w:r w:rsidRPr="00055942">
        <w:rPr>
          <w:rStyle w:val="HideTWBExt"/>
          <w:b w:val="0"/>
        </w:rPr>
        <w:t>&lt;RefProc&gt;</w:t>
      </w:r>
      <w:r w:rsidRPr="00055942">
        <w:t>2023/2153</w:t>
      </w:r>
      <w:r w:rsidRPr="00055942">
        <w:rPr>
          <w:rStyle w:val="HideTWBExt"/>
          <w:b w:val="0"/>
        </w:rPr>
        <w:t>&lt;/RefProc&gt;&lt;RefTypeProc&gt;</w:t>
      </w:r>
      <w:r w:rsidRPr="00055942">
        <w:t>(DEC)</w:t>
      </w:r>
      <w:r w:rsidRPr="00055942">
        <w:rPr>
          <w:rStyle w:val="HideTWBExt"/>
          <w:b w:val="0"/>
        </w:rPr>
        <w:t>&lt;/RefTypeProc&gt;</w:t>
      </w:r>
    </w:p>
    <w:p w:rsidR="00C1531C" w:rsidRPr="00055942" w:rsidRDefault="001A6C4C">
      <w:pPr>
        <w:pStyle w:val="CoverDate"/>
      </w:pPr>
      <w:r w:rsidRPr="00055942">
        <w:rPr>
          <w:rStyle w:val="HideTWBExt"/>
        </w:rPr>
        <w:t>&lt;Date&gt;</w:t>
      </w:r>
      <w:r w:rsidRPr="00055942">
        <w:rPr>
          <w:rStyle w:val="HideTWBInt"/>
          <w:color w:val="auto"/>
        </w:rPr>
        <w:t>{09/01/2024}</w:t>
      </w:r>
      <w:r w:rsidRPr="00055942">
        <w:t>9.1.2024</w:t>
      </w:r>
      <w:r w:rsidRPr="00055942">
        <w:rPr>
          <w:rStyle w:val="HideTWBExt"/>
        </w:rPr>
        <w:t>&lt;/Date&gt;</w:t>
      </w:r>
    </w:p>
    <w:p w:rsidR="00C1531C" w:rsidRPr="00055942" w:rsidRDefault="001A6C4C">
      <w:pPr>
        <w:pStyle w:val="CoverDocType24a"/>
      </w:pPr>
      <w:r w:rsidRPr="00055942">
        <w:rPr>
          <w:rStyle w:val="HideTWBExt"/>
          <w:b w:val="0"/>
        </w:rPr>
        <w:t>&lt;TitreType&gt;</w:t>
      </w:r>
      <w:r w:rsidRPr="00055942">
        <w:t>ΣΧΕΔΙΟ ΕΚΘΕΣΗΣ</w:t>
      </w:r>
      <w:r w:rsidRPr="00055942">
        <w:rPr>
          <w:rStyle w:val="HideTWBExt"/>
          <w:b w:val="0"/>
        </w:rPr>
        <w:t>&lt;/TitreType&gt;</w:t>
      </w:r>
    </w:p>
    <w:p w:rsidR="00C1531C" w:rsidRPr="00055942" w:rsidRDefault="001A6C4C">
      <w:pPr>
        <w:pStyle w:val="CoverNormal"/>
      </w:pPr>
      <w:r w:rsidRPr="00055942">
        <w:rPr>
          <w:rStyle w:val="HideTWBExt"/>
        </w:rPr>
        <w:t>&lt;Titre&gt;</w:t>
      </w:r>
      <w:r w:rsidRPr="00055942">
        <w:t xml:space="preserve">σχετικά με </w:t>
      </w:r>
      <w:r w:rsidRPr="00055942">
        <w:t>την απαλλαγή όσον αφορά την εκτέλεση του προϋπολογισμού της Ευρωπαϊκής Αρχής Ασφαλίσεων και Επαγγελματικών Συντάξεων για το οικονομικό έτος 2022</w:t>
      </w:r>
      <w:r w:rsidRPr="00055942">
        <w:rPr>
          <w:rStyle w:val="HideTWBExt"/>
        </w:rPr>
        <w:t>&lt;/Titre&gt;</w:t>
      </w:r>
    </w:p>
    <w:p w:rsidR="00C1531C" w:rsidRPr="00055942" w:rsidRDefault="001A6C4C">
      <w:pPr>
        <w:pStyle w:val="CoverNormal24a"/>
      </w:pPr>
      <w:r w:rsidRPr="00055942">
        <w:rPr>
          <w:rStyle w:val="HideTWBExt"/>
        </w:rPr>
        <w:t>&lt;DocRef&gt;</w:t>
      </w:r>
      <w:r w:rsidRPr="00055942">
        <w:t>(2023/2153(DEC))</w:t>
      </w:r>
      <w:r w:rsidRPr="00055942">
        <w:rPr>
          <w:rStyle w:val="HideTWBExt"/>
        </w:rPr>
        <w:t>&lt;/DocRef&gt;</w:t>
      </w:r>
    </w:p>
    <w:p w:rsidR="00C1531C" w:rsidRPr="00055942" w:rsidRDefault="001A6C4C">
      <w:pPr>
        <w:pStyle w:val="CoverNormal24a"/>
      </w:pPr>
      <w:r w:rsidRPr="00055942">
        <w:rPr>
          <w:rStyle w:val="HideTWBExt"/>
        </w:rPr>
        <w:t>&lt;Commission&gt;</w:t>
      </w:r>
      <w:r w:rsidRPr="00055942">
        <w:rPr>
          <w:rStyle w:val="HideTWBInt"/>
          <w:color w:val="auto"/>
        </w:rPr>
        <w:t>{CONT}</w:t>
      </w:r>
      <w:r w:rsidRPr="00055942">
        <w:t>Επιτροπή Ελέγχου του Προϋπολογισμού</w:t>
      </w:r>
      <w:r w:rsidRPr="00055942">
        <w:rPr>
          <w:rStyle w:val="HideTWBExt"/>
        </w:rPr>
        <w:t>&lt;/Commission&gt;</w:t>
      </w:r>
    </w:p>
    <w:p w:rsidR="00C1531C" w:rsidRPr="00055942" w:rsidRDefault="001A6C4C">
      <w:pPr>
        <w:pStyle w:val="CoverNormal24a"/>
      </w:pPr>
      <w:r w:rsidRPr="00055942">
        <w:t>Ει</w:t>
      </w:r>
      <w:r w:rsidRPr="00055942">
        <w:t xml:space="preserve">σηγητής: </w:t>
      </w:r>
      <w:r w:rsidRPr="00055942">
        <w:rPr>
          <w:rStyle w:val="HideTWBExt"/>
        </w:rPr>
        <w:t>&lt;Depute&gt;</w:t>
      </w:r>
      <w:r w:rsidRPr="00055942">
        <w:t>Petri Sarvamaa</w:t>
      </w:r>
      <w:r w:rsidRPr="00055942">
        <w:rPr>
          <w:rStyle w:val="HideTWBExt"/>
        </w:rPr>
        <w:t>&lt;/Depute&gt;</w:t>
      </w:r>
    </w:p>
    <w:p w:rsidR="00320A9A" w:rsidRPr="00055942" w:rsidRDefault="00320A9A" w:rsidP="00320A9A">
      <w:pPr>
        <w:pStyle w:val="CoverNormal"/>
      </w:pPr>
    </w:p>
    <w:p w:rsidR="00C1531C" w:rsidRPr="00055942" w:rsidRDefault="001A6C4C" w:rsidP="00D46466">
      <w:pPr>
        <w:widowControl/>
        <w:tabs>
          <w:tab w:val="center" w:pos="4677"/>
        </w:tabs>
      </w:pPr>
      <w:r w:rsidRPr="00055942">
        <w:br w:type="page"/>
      </w:r>
      <w:r w:rsidRPr="00055942">
        <w:lastRenderedPageBreak/>
        <w:t>PR_DEC_Agencies</w:t>
      </w:r>
    </w:p>
    <w:p w:rsidR="00C1531C" w:rsidRPr="00055942" w:rsidRDefault="001A6C4C">
      <w:pPr>
        <w:pStyle w:val="TOCHeading"/>
      </w:pPr>
      <w:r w:rsidRPr="00055942">
        <w:t>ΠΕΡΙΕΧΟΜΕΝΑ</w:t>
      </w:r>
    </w:p>
    <w:p w:rsidR="00837B2B" w:rsidRPr="00055942" w:rsidRDefault="001A6C4C" w:rsidP="00837B2B">
      <w:pPr>
        <w:pStyle w:val="TOCPage"/>
      </w:pPr>
      <w:r w:rsidRPr="00055942">
        <w:t>Σελίδα</w:t>
      </w:r>
    </w:p>
    <w:p w:rsidR="001A6C4C" w:rsidRDefault="001A6C4C">
      <w:pPr>
        <w:pStyle w:val="TOC1"/>
        <w:tabs>
          <w:tab w:val="right" w:leader="dot" w:pos="9060"/>
        </w:tabs>
        <w:rPr>
          <w:rFonts w:asciiTheme="minorHAnsi" w:eastAsiaTheme="minorEastAsia" w:hAnsiTheme="minorHAnsi" w:cstheme="minorBidi"/>
          <w:sz w:val="22"/>
          <w:szCs w:val="22"/>
          <w:lang w:val="en-GB"/>
        </w:rPr>
      </w:pPr>
      <w:r w:rsidRPr="00055942">
        <w:rPr>
          <w:b/>
        </w:rPr>
        <w:fldChar w:fldCharType="begin"/>
      </w:r>
      <w:r w:rsidRPr="00055942">
        <w:rPr>
          <w:b/>
        </w:rPr>
        <w:instrText xml:space="preserve"> TOC \t "PageHeading;1" </w:instrText>
      </w:r>
      <w:r w:rsidRPr="00055942">
        <w:rPr>
          <w:b/>
        </w:rPr>
        <w:fldChar w:fldCharType="separate"/>
      </w:r>
      <w:r>
        <w:t>1. ΠΡΟΤΑΣΗ ΑΠΟΦΑΣΗΣ ΤΟΥ ΕΥΡΩΠΑΪΚΟΥ ΚΟΙΝΟΒΟΥΛΙΟΥ</w:t>
      </w:r>
      <w:r>
        <w:tab/>
      </w:r>
      <w:r>
        <w:fldChar w:fldCharType="begin"/>
      </w:r>
      <w:r>
        <w:instrText xml:space="preserve"> PAGEREF _Toc157416313 \h </w:instrText>
      </w:r>
      <w:r>
        <w:fldChar w:fldCharType="separate"/>
      </w:r>
      <w:r>
        <w:t>3</w:t>
      </w:r>
      <w:r>
        <w:fldChar w:fldCharType="end"/>
      </w:r>
    </w:p>
    <w:p w:rsidR="001A6C4C" w:rsidRDefault="001A6C4C">
      <w:pPr>
        <w:pStyle w:val="TOC1"/>
        <w:tabs>
          <w:tab w:val="right" w:leader="dot" w:pos="9060"/>
        </w:tabs>
        <w:rPr>
          <w:rFonts w:asciiTheme="minorHAnsi" w:eastAsiaTheme="minorEastAsia" w:hAnsiTheme="minorHAnsi" w:cstheme="minorBidi"/>
          <w:sz w:val="22"/>
          <w:szCs w:val="22"/>
          <w:lang w:val="en-GB"/>
        </w:rPr>
      </w:pPr>
      <w:r>
        <w:t>2. ΠΡΟΤΑΣΗ ΑΠΟΦΑΣΗΣ ΤΟΥ ΕΥΡΩΠΑΪΚΟΥ ΚΟΙΝΟΒΟΥΛΙΟΥ</w:t>
      </w:r>
      <w:r>
        <w:tab/>
      </w:r>
      <w:r>
        <w:fldChar w:fldCharType="begin"/>
      </w:r>
      <w:r>
        <w:instrText xml:space="preserve"> PAGEREF _Toc157416314 \h </w:instrText>
      </w:r>
      <w:r>
        <w:fldChar w:fldCharType="separate"/>
      </w:r>
      <w:r>
        <w:t>5</w:t>
      </w:r>
      <w:r>
        <w:fldChar w:fldCharType="end"/>
      </w:r>
    </w:p>
    <w:p w:rsidR="001A6C4C" w:rsidRDefault="001A6C4C">
      <w:pPr>
        <w:pStyle w:val="TOC1"/>
        <w:tabs>
          <w:tab w:val="right" w:leader="dot" w:pos="9060"/>
        </w:tabs>
        <w:rPr>
          <w:rFonts w:asciiTheme="minorHAnsi" w:eastAsiaTheme="minorEastAsia" w:hAnsiTheme="minorHAnsi" w:cstheme="minorBidi"/>
          <w:sz w:val="22"/>
          <w:szCs w:val="22"/>
          <w:lang w:val="en-GB"/>
        </w:rPr>
      </w:pPr>
      <w:r>
        <w:t>3. ΠΡΟΤΑΣΗ ΨΗΦΙΣΜΑΤΟΣ ΤΟΥ ΕΥΡΩΠΑΪΚΟΥ ΚΟΙΝΟΒΟΥΛΙΟΥ</w:t>
      </w:r>
      <w:r>
        <w:tab/>
      </w:r>
      <w:r>
        <w:fldChar w:fldCharType="begin"/>
      </w:r>
      <w:r>
        <w:instrText xml:space="preserve"> PAGEREF _Toc157416315 \h </w:instrText>
      </w:r>
      <w:r>
        <w:fldChar w:fldCharType="separate"/>
      </w:r>
      <w:r>
        <w:t>7</w:t>
      </w:r>
      <w:r>
        <w:fldChar w:fldCharType="end"/>
      </w:r>
    </w:p>
    <w:p w:rsidR="00C1531C" w:rsidRPr="00055942" w:rsidRDefault="001A6C4C" w:rsidP="003F229D">
      <w:r w:rsidRPr="00055942">
        <w:rPr>
          <w:b/>
        </w:rPr>
        <w:fldChar w:fldCharType="end"/>
      </w:r>
    </w:p>
    <w:p w:rsidR="00C1531C" w:rsidRPr="00055942" w:rsidRDefault="001A6C4C" w:rsidP="004D13BA">
      <w:pPr>
        <w:pStyle w:val="PageHeading"/>
      </w:pPr>
      <w:r w:rsidRPr="00055942">
        <w:br w:type="page"/>
      </w:r>
      <w:bookmarkStart w:id="0" w:name="_Toc26759888"/>
      <w:bookmarkStart w:id="1" w:name="_Toc86200285"/>
      <w:bookmarkStart w:id="2" w:name="_Toc157416313"/>
      <w:r w:rsidRPr="00055942">
        <w:lastRenderedPageBreak/>
        <w:t>1. ΠΡΟΤΑΣΗ ΑΠΟΦΑΣΗΣ ΤΟΥ ΕΥΡΩΠΑΪΚΟΥ ΚΟΙΝΟΒΟΥΛΙΟΥ</w:t>
      </w:r>
      <w:bookmarkEnd w:id="2"/>
    </w:p>
    <w:p w:rsidR="00C1531C" w:rsidRPr="00055942" w:rsidRDefault="001A6C4C">
      <w:pPr>
        <w:pStyle w:val="NormalBold"/>
      </w:pPr>
      <w:r w:rsidRPr="00055942">
        <w:t>σχετικά με την απαλλαγή όσον αφορά την εκτέλεση του προϋπολογισμού της Ευρωπαϊκής Αρχής Ασφαλίσεων και Επαγγελ</w:t>
      </w:r>
      <w:r w:rsidRPr="00055942">
        <w:t>ματικών Συντάξεων για το οικονομικό έτος 2022</w:t>
      </w:r>
    </w:p>
    <w:p w:rsidR="00C1531C" w:rsidRPr="00055942" w:rsidRDefault="001A6C4C" w:rsidP="002421F7">
      <w:pPr>
        <w:pStyle w:val="NormalBold"/>
      </w:pPr>
      <w:r w:rsidRPr="00055942">
        <w:t>(2023/2153(DEC))</w:t>
      </w:r>
    </w:p>
    <w:bookmarkEnd w:id="0"/>
    <w:bookmarkEnd w:id="1"/>
    <w:p w:rsidR="00041AE6" w:rsidRPr="00055942" w:rsidRDefault="001A6C4C" w:rsidP="00041AE6">
      <w:pPr>
        <w:pStyle w:val="EPComma"/>
      </w:pPr>
      <w:r w:rsidRPr="00055942">
        <w:t>Το Ευρωπαϊκό Κοινοβούλιο,</w:t>
      </w:r>
    </w:p>
    <w:p w:rsidR="00041AE6" w:rsidRPr="00055942" w:rsidRDefault="001A6C4C" w:rsidP="00041AE6">
      <w:pPr>
        <w:pStyle w:val="NormalHanging12a"/>
      </w:pPr>
      <w:r w:rsidRPr="00055942">
        <w:t>–</w:t>
      </w:r>
      <w:r w:rsidRPr="00055942">
        <w:tab/>
        <w:t>έχοντας υπόψη τους οριστικούς ετήσιους λογαριασμούς της Ευρωπαϊκής Αρχής Ασφαλίσεων και Επαγγελματικών Συντάξεων για το οικονομικό έτος 2022,</w:t>
      </w:r>
    </w:p>
    <w:p w:rsidR="00041AE6" w:rsidRPr="00055942" w:rsidRDefault="001A6C4C" w:rsidP="00041AE6">
      <w:pPr>
        <w:pStyle w:val="NormalHanging12a"/>
      </w:pPr>
      <w:r w:rsidRPr="00055942">
        <w:t>–</w:t>
      </w:r>
      <w:r w:rsidRPr="00055942">
        <w:tab/>
        <w:t>έχοντας υπόψη την ετή</w:t>
      </w:r>
      <w:r w:rsidRPr="00055942">
        <w:t>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055942">
        <w:rPr>
          <w:rStyle w:val="FootnoteReference"/>
        </w:rPr>
        <w:footnoteReference w:id="1"/>
      </w:r>
      <w:r w:rsidRPr="00055942">
        <w:t>,</w:t>
      </w:r>
    </w:p>
    <w:p w:rsidR="00041AE6" w:rsidRPr="00055942" w:rsidRDefault="001A6C4C" w:rsidP="00041AE6">
      <w:pPr>
        <w:pStyle w:val="NormalHanging12a"/>
      </w:pPr>
      <w:r w:rsidRPr="00055942">
        <w:t>–</w:t>
      </w:r>
      <w:r w:rsidRPr="00055942">
        <w:tab/>
        <w:t>έχοντας υπόψη τη δήλωση αξιοπιστίας</w:t>
      </w:r>
      <w:r w:rsidRPr="00055942">
        <w:rPr>
          <w:rStyle w:val="FootnoteReference"/>
        </w:rPr>
        <w:footnoteReference w:id="2"/>
      </w:r>
      <w:r w:rsidRPr="00055942">
        <w:t xml:space="preserve"> η οποία βεβαιώνει την ακρίβεια των λογαριασμών και τη νομιμότητα </w:t>
      </w:r>
      <w:r w:rsidRPr="00055942">
        <w:t>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041AE6" w:rsidRPr="00055942" w:rsidRDefault="001A6C4C" w:rsidP="00041AE6">
      <w:pPr>
        <w:pStyle w:val="NormalHanging12a"/>
      </w:pPr>
      <w:r w:rsidRPr="00055942">
        <w:t>–</w:t>
      </w:r>
      <w:r w:rsidRPr="00055942">
        <w:tab/>
        <w:t>έχοντας υπόψη τη σύσταση του Συμβουλίου, της ... Φεβρουαρίου 2024</w:t>
      </w:r>
      <w:r w:rsidRPr="00055942">
        <w:t>, σχετικά με τη χορήγηση απαλλαγής στην Αρχή όσον αφορά την εκτέλεση του προϋπολογισμού για το οικονομικό έτος 2022 (00000/2024 – C9</w:t>
      </w:r>
      <w:r w:rsidRPr="00055942">
        <w:noBreakHyphen/>
        <w:t>0000/2024),</w:t>
      </w:r>
    </w:p>
    <w:p w:rsidR="00041AE6" w:rsidRPr="00055942" w:rsidRDefault="001A6C4C" w:rsidP="00041AE6">
      <w:pPr>
        <w:pStyle w:val="NormalHanging12a"/>
      </w:pPr>
      <w:r w:rsidRPr="00055942">
        <w:t>–</w:t>
      </w:r>
      <w:r w:rsidRPr="00055942">
        <w:tab/>
        <w:t>έχοντας υπόψη το άρθρο 319 της Συνθήκης για τη λειτουργία της Ευρωπαϊκής Ένωσης,</w:t>
      </w:r>
    </w:p>
    <w:p w:rsidR="00041AE6" w:rsidRPr="00055942" w:rsidRDefault="001A6C4C" w:rsidP="00041AE6">
      <w:pPr>
        <w:pStyle w:val="NormalHanging12a"/>
      </w:pPr>
      <w:r w:rsidRPr="00055942">
        <w:t>–</w:t>
      </w:r>
      <w:r w:rsidRPr="00055942">
        <w:tab/>
        <w:t>έχοντας υπόψη τον κανονισμ</w:t>
      </w:r>
      <w:r w:rsidRPr="00055942">
        <w:t xml:space="preserve">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w:t>
      </w:r>
      <w:r w:rsidRPr="00055942">
        <w:t>1301/2013, (ΕΕ)</w:t>
      </w:r>
      <w:r>
        <w:t> </w:t>
      </w:r>
      <w:r w:rsidRPr="00055942">
        <w:t>αριθ. 1303/2013, (ΕΕ) αριθ. 1304/2013, (ΕΕ) αριθ. 1309/2013, (ΕΕ)</w:t>
      </w:r>
      <w:r>
        <w:t> </w:t>
      </w:r>
      <w:bookmarkStart w:id="3" w:name="_GoBack"/>
      <w:bookmarkEnd w:id="3"/>
      <w:r w:rsidRPr="00055942">
        <w:t>αριθ.</w:t>
      </w:r>
      <w:r>
        <w:t> </w:t>
      </w:r>
      <w:r w:rsidRPr="00055942">
        <w:t>1316/2013, (ΕΕ) αριθ. 223/2014, (ΕΕ) αριθ. 283/2014 και της απόφασης αριθ.</w:t>
      </w:r>
      <w:r>
        <w:t> </w:t>
      </w:r>
      <w:r w:rsidRPr="00055942">
        <w:t>541/2014/ΕΕ και για την κατάργηση του κανονισμού (ΕΕ, Ευρατόμ) αριθ. 966/2012</w:t>
      </w:r>
      <w:r w:rsidRPr="00055942">
        <w:rPr>
          <w:rStyle w:val="FootnoteReference"/>
        </w:rPr>
        <w:footnoteReference w:id="3"/>
      </w:r>
      <w:r w:rsidRPr="00055942">
        <w:t xml:space="preserve">, και ιδίως το </w:t>
      </w:r>
      <w:r w:rsidRPr="00055942">
        <w:t>άρθρο 70,</w:t>
      </w:r>
    </w:p>
    <w:p w:rsidR="00041AE6" w:rsidRPr="00055942" w:rsidRDefault="001A6C4C" w:rsidP="00041AE6">
      <w:pPr>
        <w:pStyle w:val="NormalHanging12a"/>
      </w:pPr>
      <w:r w:rsidRPr="00055942">
        <w:t>–</w:t>
      </w:r>
      <w:r w:rsidRPr="00055942">
        <w:tab/>
        <w:t>έχοντας υπόψη τον κανονισμό (ΕΕ) αριθ. 1094/2010 του Ευρωπαϊκού Κοινοβουλίου και του Συμβουλίου, της 24ης Νοεμβρίου 2010, για τη σύσταση Ευρωπαϊκής Εποπτικής Αρχής (Ευρωπαϊκή Αρχή Ασφαλίσεων και Επαγγελματικών Συντάξεων), την τροποποίηση της απ</w:t>
      </w:r>
      <w:r w:rsidRPr="00055942">
        <w:t>όφασης αριθ. 716/2009/ΕΚ και την κατάργηση της απόφασης 2009/79/ΕΚ</w:t>
      </w:r>
      <w:r w:rsidRPr="00055942">
        <w:rPr>
          <w:rStyle w:val="FootnoteReference"/>
        </w:rPr>
        <w:footnoteReference w:id="4"/>
      </w:r>
      <w:r w:rsidRPr="00055942">
        <w:t xml:space="preserve"> της Επιτροπής, και ιδίως το άρθρο 64,</w:t>
      </w:r>
    </w:p>
    <w:p w:rsidR="00041AE6" w:rsidRPr="00055942" w:rsidRDefault="001A6C4C" w:rsidP="00041AE6">
      <w:pPr>
        <w:pStyle w:val="NormalHanging12a"/>
      </w:pPr>
      <w:r w:rsidRPr="00055942">
        <w:t>–</w:t>
      </w:r>
      <w:r w:rsidRPr="00055942">
        <w:tab/>
        <w:t>έχοντας υπόψη τον κατ’ εξουσιοδότηση κανονισμό (ΕE) 2019/715 της Επιτροπής, της 18ης Δεκεμβρίου 2018, για τη θέσπιση του δημοσιονομικού κανονισμού-π</w:t>
      </w:r>
      <w:r w:rsidRPr="00055942">
        <w:t xml:space="preserve">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055942">
        <w:lastRenderedPageBreak/>
        <w:t>Ευρωπαϊκού Κοινοβουλίου και του Συμβουλίου</w:t>
      </w:r>
      <w:r w:rsidRPr="00055942">
        <w:rPr>
          <w:rStyle w:val="FootnoteReference"/>
        </w:rPr>
        <w:footnoteReference w:id="5"/>
      </w:r>
      <w:r w:rsidRPr="00055942">
        <w:t>, και ιδίως το άρθρο 105,</w:t>
      </w:r>
    </w:p>
    <w:p w:rsidR="00041AE6" w:rsidRPr="00055942" w:rsidRDefault="001A6C4C" w:rsidP="00041AE6">
      <w:pPr>
        <w:pStyle w:val="NormalHanging12a"/>
      </w:pPr>
      <w:r w:rsidRPr="00055942">
        <w:t>–</w:t>
      </w:r>
      <w:r w:rsidRPr="00055942">
        <w:tab/>
        <w:t xml:space="preserve">έχοντας υπόψη το άρθρο </w:t>
      </w:r>
      <w:r w:rsidRPr="00055942">
        <w:t>100 και το παράρτημα V του Κανονισμού του,</w:t>
      </w:r>
    </w:p>
    <w:p w:rsidR="00041AE6" w:rsidRPr="00055942" w:rsidRDefault="001A6C4C" w:rsidP="00041AE6">
      <w:pPr>
        <w:pStyle w:val="NormalHanging12a"/>
      </w:pPr>
      <w:r w:rsidRPr="00055942">
        <w:t>–</w:t>
      </w:r>
      <w:r w:rsidRPr="00055942">
        <w:tab/>
        <w:t>έχοντας υπόψη την έκθεση της Επιτροπής Ελέγχου του Προϋπολογισμού (A9</w:t>
      </w:r>
      <w:r w:rsidRPr="00055942">
        <w:noBreakHyphen/>
        <w:t>0000/2024),</w:t>
      </w:r>
    </w:p>
    <w:p w:rsidR="00041AE6" w:rsidRPr="00055942" w:rsidRDefault="001A6C4C" w:rsidP="00041AE6">
      <w:pPr>
        <w:pStyle w:val="NormalHanging12a"/>
      </w:pPr>
      <w:r w:rsidRPr="00055942">
        <w:t>1.</w:t>
      </w:r>
      <w:r w:rsidRPr="00055942">
        <w:tab/>
        <w:t>χορηγεί απαλλαγή στον εκτελεστικό διευθυντή της Ευρωπαϊκής Αρχής Ασφαλίσεων και Επαγγελματικών Συντάξεων όσον αφορά την εκτέλε</w:t>
      </w:r>
      <w:r w:rsidRPr="00055942">
        <w:t>ση του προϋπολογισμού της Αρχής για το οικονομικό έτος 2022 / αναβάλλει την απόφασή του για τη χορήγηση απαλλαγής στον εκτελεστικό διευθυντή της Ευρωπαϊκής Αρχής Ασφαλίσεων και Επαγγελματικών Συντάξεων όσον αφορά την εκτέλεση του προϋπολογισμού της Αρχής γ</w:t>
      </w:r>
      <w:r w:rsidRPr="00055942">
        <w:t>ια το οικονομικό έτος 2022·</w:t>
      </w:r>
    </w:p>
    <w:p w:rsidR="00041AE6" w:rsidRPr="00055942" w:rsidRDefault="001A6C4C" w:rsidP="00041AE6">
      <w:pPr>
        <w:pStyle w:val="NormalHanging12a"/>
      </w:pPr>
      <w:r w:rsidRPr="00055942">
        <w:t>2.</w:t>
      </w:r>
      <w:r w:rsidRPr="00055942">
        <w:tab/>
        <w:t>εκθέτει τις παρατηρήσεις του στο ψήφισμα που ακολουθεί·</w:t>
      </w:r>
    </w:p>
    <w:p w:rsidR="00041AE6" w:rsidRPr="00055942" w:rsidRDefault="001A6C4C" w:rsidP="00041AE6">
      <w:pPr>
        <w:pStyle w:val="NormalHanging12a"/>
      </w:pPr>
      <w:r w:rsidRPr="00055942">
        <w:t>3.</w:t>
      </w:r>
      <w:r w:rsidRPr="00055942">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Ευρωπαϊκής Αρχής </w:t>
      </w:r>
      <w:r w:rsidRPr="00055942">
        <w:t>Ασφαλίσεων και Επαγγελματικών Συντάξεων, στο Συμβούλιο, στην Επιτροπή και στο Ελεγκτικό Συνέδριο, και να μεριμνήσει για τη δημοσίευσή τους στην Επίσημη Εφημερίδα της Ευρωπαϊκής Ένωσης (σειρά L).</w:t>
      </w:r>
    </w:p>
    <w:p w:rsidR="00041AE6" w:rsidRPr="00055942" w:rsidRDefault="00041AE6" w:rsidP="00041AE6"/>
    <w:p w:rsidR="00041AE6" w:rsidRPr="00055942" w:rsidRDefault="00041AE6" w:rsidP="00041AE6">
      <w:pPr>
        <w:widowControl/>
        <w:rPr>
          <w:rFonts w:ascii="Arial" w:hAnsi="Arial" w:cs="Arial"/>
          <w:b/>
        </w:rPr>
        <w:sectPr w:rsidR="00041AE6" w:rsidRPr="00055942" w:rsidSect="0005594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rsidR="00041AE6" w:rsidRPr="00055942" w:rsidRDefault="001A6C4C" w:rsidP="00041AE6">
      <w:pPr>
        <w:pStyle w:val="PageHeading"/>
      </w:pPr>
      <w:bookmarkStart w:id="4" w:name="_Toc146789945"/>
      <w:bookmarkStart w:id="5" w:name="_Toc157416314"/>
      <w:r w:rsidRPr="00055942">
        <w:lastRenderedPageBreak/>
        <w:t>2. ΠΡΟΤΑΣΗ ΑΠΟΦΑΣΗΣ ΤΟΥ ΕΥΡΩΠΑΪΚΟΥ ΚΟΙΝΟΒΟΥΛΙΟΥ</w:t>
      </w:r>
      <w:bookmarkEnd w:id="4"/>
      <w:bookmarkEnd w:id="5"/>
    </w:p>
    <w:p w:rsidR="00041AE6" w:rsidRPr="00055942" w:rsidRDefault="001A6C4C" w:rsidP="00041AE6">
      <w:pPr>
        <w:pStyle w:val="NormalBold"/>
      </w:pPr>
      <w:r w:rsidRPr="00055942">
        <w:t>σχετικά με το κλ</w:t>
      </w:r>
      <w:r w:rsidRPr="00055942">
        <w:t>είσιμο των λογαριασμών της Ευρωπαϊκής Αρχής Ασφαλίσεων και Επαγγελματικών Συντάξεων για το οικονομικό έτος 2022</w:t>
      </w:r>
    </w:p>
    <w:p w:rsidR="00041AE6" w:rsidRPr="00055942" w:rsidRDefault="001A6C4C" w:rsidP="00041AE6">
      <w:pPr>
        <w:pStyle w:val="NormalBold"/>
      </w:pPr>
      <w:r w:rsidRPr="00055942">
        <w:t>(2023/2153(DEC))</w:t>
      </w:r>
    </w:p>
    <w:p w:rsidR="00041AE6" w:rsidRPr="00055942" w:rsidRDefault="001A6C4C" w:rsidP="00041AE6">
      <w:pPr>
        <w:pStyle w:val="EPComma"/>
      </w:pPr>
      <w:r w:rsidRPr="00055942">
        <w:t>Το Ευρωπαϊκό Κοινοβούλιο,</w:t>
      </w:r>
    </w:p>
    <w:p w:rsidR="00041AE6" w:rsidRPr="00055942" w:rsidRDefault="001A6C4C" w:rsidP="00041AE6">
      <w:pPr>
        <w:pStyle w:val="NormalHanging12a"/>
      </w:pPr>
      <w:r w:rsidRPr="00055942">
        <w:t>–</w:t>
      </w:r>
      <w:r w:rsidRPr="00055942">
        <w:tab/>
        <w:t xml:space="preserve">έχοντας υπόψη τους οριστικούς ετήσιους λογαριασμούς της Ευρωπαϊκής Αρχής Ασφαλίσεων και </w:t>
      </w:r>
      <w:r w:rsidRPr="00055942">
        <w:t>Επαγγελματικών Συντάξεων για το οικονομικό έτος 2022,</w:t>
      </w:r>
    </w:p>
    <w:p w:rsidR="00041AE6" w:rsidRPr="00055942" w:rsidRDefault="001A6C4C" w:rsidP="00041AE6">
      <w:pPr>
        <w:pStyle w:val="NormalHanging12a"/>
      </w:pPr>
      <w:r w:rsidRPr="00055942">
        <w:t>–</w:t>
      </w:r>
      <w:r w:rsidRPr="00055942">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055942">
        <w:rPr>
          <w:rStyle w:val="FootnoteReference"/>
        </w:rPr>
        <w:footnoteReference w:id="6"/>
      </w:r>
      <w:r w:rsidRPr="00055942">
        <w:t>,</w:t>
      </w:r>
    </w:p>
    <w:p w:rsidR="00041AE6" w:rsidRPr="00055942" w:rsidRDefault="001A6C4C" w:rsidP="00041AE6">
      <w:pPr>
        <w:pStyle w:val="NormalHanging12a"/>
      </w:pPr>
      <w:r w:rsidRPr="00055942">
        <w:t>–</w:t>
      </w:r>
      <w:r w:rsidRPr="00055942">
        <w:tab/>
        <w:t xml:space="preserve">έχοντας υπόψη τη δήλωση </w:t>
      </w:r>
      <w:r w:rsidRPr="00055942">
        <w:t>αξιοπιστίας</w:t>
      </w:r>
      <w:r w:rsidRPr="00055942">
        <w:rPr>
          <w:rStyle w:val="FootnoteReference"/>
        </w:rPr>
        <w:footnoteReference w:id="7"/>
      </w:r>
      <w:r w:rsidRPr="00055942">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w:t>
      </w:r>
      <w:r w:rsidRPr="00055942">
        <w:t>ής Ένωσης,</w:t>
      </w:r>
    </w:p>
    <w:p w:rsidR="00041AE6" w:rsidRPr="00055942" w:rsidRDefault="001A6C4C" w:rsidP="00041AE6">
      <w:pPr>
        <w:pStyle w:val="NormalHanging12a"/>
      </w:pPr>
      <w:r w:rsidRPr="00055942">
        <w:t>–</w:t>
      </w:r>
      <w:r w:rsidRPr="00055942">
        <w:tab/>
        <w:t>έχοντας υπόψη τη σύσταση του Συμβουλίου, της ... Φεβρουαρίου 2024, σχετικά με τη χορήγηση απαλλαγής στην Αρχή όσον αφορά την εκτέλεση του προϋπολογισμού για το οικονομικό έτος 2022 (00000/2024 – C9</w:t>
      </w:r>
      <w:r w:rsidRPr="00055942">
        <w:noBreakHyphen/>
        <w:t>0000/2024),</w:t>
      </w:r>
    </w:p>
    <w:p w:rsidR="00041AE6" w:rsidRPr="00055942" w:rsidRDefault="001A6C4C" w:rsidP="00041AE6">
      <w:pPr>
        <w:pStyle w:val="NormalHanging12a"/>
      </w:pPr>
      <w:r w:rsidRPr="00055942">
        <w:t>–</w:t>
      </w:r>
      <w:r w:rsidRPr="00055942">
        <w:tab/>
        <w:t xml:space="preserve">έχοντας υπόψη το άρθρο 319 της </w:t>
      </w:r>
      <w:r w:rsidRPr="00055942">
        <w:t>Συνθήκης για τη λειτουργία της Ευρωπαϊκής Ένωσης,</w:t>
      </w:r>
    </w:p>
    <w:p w:rsidR="00041AE6" w:rsidRPr="00055942" w:rsidRDefault="001A6C4C" w:rsidP="00041AE6">
      <w:pPr>
        <w:pStyle w:val="NormalHanging12a"/>
      </w:pPr>
      <w:r w:rsidRPr="00055942">
        <w:t>–</w:t>
      </w:r>
      <w:r w:rsidRPr="00055942">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w:t>
      </w:r>
      <w:r w:rsidRPr="00055942">
        <w:t>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w:t>
      </w:r>
      <w:r w:rsidRPr="00055942">
        <w:t xml:space="preserve"> για την κατάργηση του κανονισμού (ΕΕ, Ευρατόμ) αριθ. 966/2012</w:t>
      </w:r>
      <w:r w:rsidRPr="00055942">
        <w:rPr>
          <w:rStyle w:val="FootnoteReference"/>
        </w:rPr>
        <w:footnoteReference w:id="8"/>
      </w:r>
      <w:r w:rsidRPr="00055942">
        <w:t>, και ιδίως το άρθρο 70,</w:t>
      </w:r>
    </w:p>
    <w:p w:rsidR="00041AE6" w:rsidRPr="00055942" w:rsidRDefault="001A6C4C" w:rsidP="00041AE6">
      <w:pPr>
        <w:pStyle w:val="NormalHanging12a"/>
      </w:pPr>
      <w:r w:rsidRPr="00055942">
        <w:t>–</w:t>
      </w:r>
      <w:r w:rsidRPr="00055942">
        <w:tab/>
        <w:t>έχοντας υπόψη τον κανονισμό (ΕΕ) αριθ. 1094/2010 του Ευρωπαϊκού Κοινοβουλίου και του Συμβουλίου, της 24ης Νοεμβρίου 2010, για τη σύσταση Ευρωπαϊκής Εποπτικής Αρχής (Ε</w:t>
      </w:r>
      <w:r w:rsidRPr="00055942">
        <w:t>υρωπαϊκή Αρχή Ασφαλίσεων και Επαγγελματικών Συντάξεων), την τροποποίηση της απόφασης αριθ. 716/2009/ΕΚ και την κατάργηση της απόφασης 2009/79/ΕΚ</w:t>
      </w:r>
      <w:r w:rsidRPr="00055942">
        <w:rPr>
          <w:rStyle w:val="FootnoteReference"/>
        </w:rPr>
        <w:footnoteReference w:id="9"/>
      </w:r>
      <w:r w:rsidRPr="00055942">
        <w:t xml:space="preserve"> της Επιτροπής, και ιδίως το άρθρο 64,</w:t>
      </w:r>
    </w:p>
    <w:p w:rsidR="00041AE6" w:rsidRPr="00055942" w:rsidRDefault="001A6C4C" w:rsidP="00041AE6">
      <w:pPr>
        <w:pStyle w:val="NormalHanging12a"/>
      </w:pPr>
      <w:r w:rsidRPr="00055942">
        <w:t>–</w:t>
      </w:r>
      <w:r w:rsidRPr="00055942">
        <w:tab/>
        <w:t>έχοντας υπόψη τον κατ’ εξουσιοδότηση κανονισμό (ΕE) 2019/715 της Επιτρ</w:t>
      </w:r>
      <w:r w:rsidRPr="00055942">
        <w:t xml:space="preserve">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055942">
        <w:lastRenderedPageBreak/>
        <w:t>Ευρωπαϊκού Κοινο</w:t>
      </w:r>
      <w:r w:rsidRPr="00055942">
        <w:t>βουλίου και του Συμβουλίου</w:t>
      </w:r>
      <w:r w:rsidRPr="00055942">
        <w:rPr>
          <w:rStyle w:val="FootnoteReference"/>
        </w:rPr>
        <w:footnoteReference w:id="10"/>
      </w:r>
      <w:r w:rsidRPr="00055942">
        <w:t>, και ιδίως το άρθρο 105,</w:t>
      </w:r>
    </w:p>
    <w:p w:rsidR="00041AE6" w:rsidRPr="00055942" w:rsidRDefault="001A6C4C" w:rsidP="00041AE6">
      <w:pPr>
        <w:pStyle w:val="NormalHanging12a"/>
      </w:pPr>
      <w:r w:rsidRPr="00055942">
        <w:t>–</w:t>
      </w:r>
      <w:r w:rsidRPr="00055942">
        <w:tab/>
        <w:t>έχοντας υπόψη το άρθρο 100 και το παράρτημα V του Κανονισμού του,</w:t>
      </w:r>
    </w:p>
    <w:p w:rsidR="00041AE6" w:rsidRPr="00055942" w:rsidRDefault="001A6C4C" w:rsidP="00041AE6">
      <w:pPr>
        <w:pStyle w:val="NormalHanging12a"/>
      </w:pPr>
      <w:r w:rsidRPr="00055942">
        <w:t>–</w:t>
      </w:r>
      <w:r w:rsidRPr="00055942">
        <w:tab/>
        <w:t>έχοντας υπόψη την έκθεση της Επιτροπής Ελέγχου του Προϋπολογισμού (A9</w:t>
      </w:r>
      <w:r w:rsidRPr="00055942">
        <w:noBreakHyphen/>
        <w:t>0000/2024),</w:t>
      </w:r>
    </w:p>
    <w:p w:rsidR="00041AE6" w:rsidRPr="00055942" w:rsidRDefault="001A6C4C" w:rsidP="00041AE6">
      <w:pPr>
        <w:pStyle w:val="NormalHanging12a"/>
      </w:pPr>
      <w:r w:rsidRPr="00055942">
        <w:t>1.</w:t>
      </w:r>
      <w:r w:rsidRPr="00055942">
        <w:tab/>
        <w:t>εγκρίνει το κλείσιμο των λογαριασμών της Ευρωπαϊ</w:t>
      </w:r>
      <w:r w:rsidRPr="00055942">
        <w:t>κής Αρχής Ασφαλίσεων και Επαγγελματικών Συντάξεων για το οικονομικό έτος 2022 / αναβάλλει το κλείσιμο των λογαριασμών της Ευρωπαϊκής Αρχής Ασφαλίσεων και Επαγγελματικών Συντάξεων για το οικονομικό έτος 2022·</w:t>
      </w:r>
    </w:p>
    <w:p w:rsidR="00041AE6" w:rsidRPr="00055942" w:rsidRDefault="001A6C4C" w:rsidP="00041AE6">
      <w:pPr>
        <w:pStyle w:val="NormalHanging12a"/>
      </w:pPr>
      <w:r w:rsidRPr="00055942">
        <w:t>2.</w:t>
      </w:r>
      <w:r w:rsidRPr="00055942">
        <w:tab/>
        <w:t>αναθέτει στην Πρόεδρό του να διαβιβάσει την π</w:t>
      </w:r>
      <w:r w:rsidRPr="00055942">
        <w:t>αρούσα απόφαση στον εκτελεστικό διευθυντή της Ευρωπαϊκής Αρχής Ασφαλίσεων και Επαγγελματικών Συντάξεων,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rsidR="00041AE6" w:rsidRPr="00055942" w:rsidRDefault="00041AE6" w:rsidP="00041AE6"/>
    <w:p w:rsidR="00041AE6" w:rsidRPr="00055942" w:rsidRDefault="00041AE6" w:rsidP="00041AE6">
      <w:pPr>
        <w:widowControl/>
        <w:rPr>
          <w:rFonts w:ascii="Arial" w:hAnsi="Arial" w:cs="Arial"/>
          <w:b/>
        </w:rPr>
        <w:sectPr w:rsidR="00041AE6" w:rsidRPr="00055942">
          <w:footnotePr>
            <w:numRestart w:val="eachSect"/>
          </w:footnotePr>
          <w:endnotePr>
            <w:numFmt w:val="decimal"/>
          </w:endnotePr>
          <w:pgSz w:w="11906" w:h="16838"/>
          <w:pgMar w:top="1134" w:right="1418" w:bottom="1418" w:left="1418" w:header="567" w:footer="567" w:gutter="0"/>
          <w:cols w:space="720"/>
        </w:sectPr>
      </w:pPr>
    </w:p>
    <w:p w:rsidR="00041AE6" w:rsidRPr="00055942" w:rsidRDefault="001A6C4C" w:rsidP="00041AE6">
      <w:pPr>
        <w:pStyle w:val="PageHeading"/>
      </w:pPr>
      <w:bookmarkStart w:id="6" w:name="_Toc146789946"/>
      <w:bookmarkStart w:id="7" w:name="_Toc157416315"/>
      <w:r w:rsidRPr="00055942">
        <w:lastRenderedPageBreak/>
        <w:t>3. ΠΡΟΤΑΣΗ ΨΗΦΙΣΜΑΤΟΣ ΤΟΥ ΕΥΡΩΠΑΪΚΟΥ ΚΟΙΝΟΒΟΥΛΙΟΥ</w:t>
      </w:r>
      <w:bookmarkEnd w:id="6"/>
      <w:bookmarkEnd w:id="7"/>
    </w:p>
    <w:p w:rsidR="00041AE6" w:rsidRPr="00055942" w:rsidRDefault="001A6C4C" w:rsidP="00041AE6">
      <w:pPr>
        <w:pStyle w:val="NormalBold"/>
      </w:pPr>
      <w:r w:rsidRPr="00055942">
        <w:t xml:space="preserve">με τις παρατηρήσεις που αποτελούν </w:t>
      </w:r>
      <w:r w:rsidRPr="00055942">
        <w:t>αναπόσπαστο μέρος της απόφασης σχετικά με την απαλλαγή όσον αφορά την εκτέλεση του προϋπολογισμού της Ευρωπαϊκής Αρχής Ασφαλίσεων και Επαγγελματικών Συντάξεων για το οικονομικό έτος 2022</w:t>
      </w:r>
    </w:p>
    <w:p w:rsidR="00041AE6" w:rsidRPr="00055942" w:rsidRDefault="001A6C4C" w:rsidP="00041AE6">
      <w:pPr>
        <w:pStyle w:val="NormalBold"/>
      </w:pPr>
      <w:r w:rsidRPr="00055942">
        <w:t>(2023/2153(DEC))</w:t>
      </w:r>
    </w:p>
    <w:p w:rsidR="006D4BA8" w:rsidRPr="00055942" w:rsidRDefault="001A6C4C" w:rsidP="006D4BA8">
      <w:pPr>
        <w:pStyle w:val="EPComma"/>
      </w:pPr>
      <w:r w:rsidRPr="00055942">
        <w:t>Το Ευρωπαϊκό Κοινοβούλιο,</w:t>
      </w:r>
    </w:p>
    <w:p w:rsidR="006D4BA8" w:rsidRPr="00055942" w:rsidRDefault="001A6C4C" w:rsidP="006D4BA8">
      <w:pPr>
        <w:pStyle w:val="NormalHanging12a"/>
      </w:pPr>
      <w:r w:rsidRPr="00055942">
        <w:t>–</w:t>
      </w:r>
      <w:r w:rsidRPr="00055942">
        <w:tab/>
        <w:t>έχοντας υπόψη την απόφασ</w:t>
      </w:r>
      <w:r w:rsidRPr="00055942">
        <w:t>ή του σχετικά με την απαλλαγή όσον αφορά την εκτέλεση του προϋπολογισμού της Ευρωπαϊκής Αρχής Ασφαλίσεων και Επαγγελματικών Συντάξεων για το οικονομικό έτος 2022,</w:t>
      </w:r>
    </w:p>
    <w:p w:rsidR="006D4BA8" w:rsidRPr="00055942" w:rsidRDefault="001A6C4C" w:rsidP="006D4BA8">
      <w:pPr>
        <w:pStyle w:val="NormalHanging12a"/>
      </w:pPr>
      <w:r w:rsidRPr="00055942">
        <w:t>–</w:t>
      </w:r>
      <w:r w:rsidRPr="00055942">
        <w:tab/>
        <w:t>έχοντας υπόψη το άρθρο 100 και το παράρτημα V του Κανονισμού του,</w:t>
      </w:r>
    </w:p>
    <w:p w:rsidR="006D4BA8" w:rsidRPr="00055942" w:rsidRDefault="001A6C4C" w:rsidP="006D4BA8">
      <w:pPr>
        <w:pStyle w:val="NormalHanging12a"/>
      </w:pPr>
      <w:r w:rsidRPr="00055942">
        <w:t>–</w:t>
      </w:r>
      <w:r w:rsidRPr="00055942">
        <w:tab/>
        <w:t xml:space="preserve">έχοντας υπόψη την </w:t>
      </w:r>
      <w:r w:rsidRPr="00055942">
        <w:t>έκθεση της Επιτροπής Ελέγχου του Προϋπολογισμού (A9</w:t>
      </w:r>
      <w:r w:rsidRPr="00055942">
        <w:noBreakHyphen/>
        <w:t>0000/2024),</w:t>
      </w:r>
    </w:p>
    <w:p w:rsidR="006D4BA8" w:rsidRPr="00055942" w:rsidRDefault="001A6C4C" w:rsidP="006D4BA8">
      <w:pPr>
        <w:widowControl/>
        <w:spacing w:after="240"/>
        <w:ind w:left="567" w:hanging="567"/>
        <w:rPr>
          <w:szCs w:val="24"/>
        </w:rPr>
      </w:pPr>
      <w:r w:rsidRPr="00055942">
        <w:t>Α.</w:t>
      </w:r>
      <w:r w:rsidRPr="00055942">
        <w:tab/>
        <w:t>λαμβάνοντας υπόψη ότι, σύμφωνα με την κατάσταση εσόδων και δαπανών της</w:t>
      </w:r>
      <w:r w:rsidRPr="00055942">
        <w:rPr>
          <w:rStyle w:val="FootnoteReference"/>
          <w:szCs w:val="24"/>
        </w:rPr>
        <w:footnoteReference w:id="11"/>
      </w:r>
      <w:r w:rsidRPr="00055942">
        <w:t>, ο οριστικός προϋπολογισμός της Ευρωπαϊκής Αρχής Ασφαλίσεων και Επαγγελματικών Συντάξεων («η Αρχή») για το οικονομικό</w:t>
      </w:r>
      <w:r w:rsidRPr="00055942">
        <w:t xml:space="preserve"> έτος 2022 ανήλθε σε 34 571 120 EUR, ποσό που συνιστά αύξηση κατά 5,27 % σε σχέση με το 2021· λαμβάνοντας υπόψη ότι η Αρχή χρηματοδοτείται από εισφορά της Ένωσης (12 932 000 EUR, που αντιστοιχεί στο 37,40 %) και από εισφορές εθνικών εποπτικών αρχών των κρα</w:t>
      </w:r>
      <w:r w:rsidRPr="00055942">
        <w:t>τών μελών (21 076 120 EUR, που αντιστοιχεί στο 60,96 %)·</w:t>
      </w:r>
    </w:p>
    <w:p w:rsidR="006D4BA8" w:rsidRPr="00055942" w:rsidRDefault="001A6C4C" w:rsidP="006D4BA8">
      <w:pPr>
        <w:widowControl/>
        <w:spacing w:after="240"/>
        <w:ind w:left="567" w:hanging="567"/>
        <w:rPr>
          <w:szCs w:val="24"/>
        </w:rPr>
      </w:pPr>
      <w:r w:rsidRPr="00055942">
        <w:t>Β.</w:t>
      </w:r>
      <w:r w:rsidRPr="00055942">
        <w:tab/>
        <w:t>λαμβάνοντας υπόψη ότι, στην έκθεσή του για τους ετήσιους λογαριασμούς της Ευρωπαϊκής Αρχής Ασφαλίσεων και Επαγγελματικών Συντάξεων για το οικονομικό έτος 2022 («η έκθεση του Ελεγκτικού Συνεδρίου»)</w:t>
      </w:r>
      <w:r w:rsidRPr="00055942">
        <w:t>, το Ελεγκτικό Συνέδριο δηλώνει πως αποκόμισε εύλογη βεβαιότητα ότι οι ετήσιοι λογαριασμοί της Αρχής είναι αξιόπιστοι και ότι οι πράξεις στις οποίες βασίζονται είναι νόμιμες και κανονικές·</w:t>
      </w:r>
    </w:p>
    <w:p w:rsidR="006D4BA8" w:rsidRPr="00055942" w:rsidRDefault="001A6C4C" w:rsidP="006D4BA8">
      <w:pPr>
        <w:widowControl/>
        <w:spacing w:after="240"/>
        <w:ind w:left="567" w:hanging="567"/>
        <w:rPr>
          <w:b/>
          <w:i/>
          <w:szCs w:val="24"/>
        </w:rPr>
      </w:pPr>
      <w:r w:rsidRPr="00055942">
        <w:rPr>
          <w:b/>
          <w:i/>
        </w:rPr>
        <w:t>Δημοσιονομική και χρηματοοικονομική διαχείριση</w:t>
      </w:r>
    </w:p>
    <w:p w:rsidR="006D4BA8" w:rsidRPr="00055942" w:rsidRDefault="001A6C4C" w:rsidP="006D4BA8">
      <w:pPr>
        <w:widowControl/>
        <w:spacing w:after="240"/>
        <w:ind w:left="567" w:hanging="567"/>
        <w:rPr>
          <w:szCs w:val="24"/>
        </w:rPr>
      </w:pPr>
      <w:r w:rsidRPr="00055942">
        <w:t>1.</w:t>
      </w:r>
      <w:r w:rsidRPr="00055942">
        <w:tab/>
        <w:t>σημειώνει με ικαν</w:t>
      </w:r>
      <w:r w:rsidRPr="00055942">
        <w:t>οποίηση ότι οι προσπάθειες παρακολούθησης του προϋπολογισμού κατά τη διάρκεια του οικονομικού έτους 2022 είχαν ως αποτέλεσμα η εκτέλεση των αναλήψεων υποχρεώσεων του προϋπολογισμού να ανέλθει σε 99,46 %, το οποίο συνιστά μείωση κατά 0,52 % σε σύγκριση με τ</w:t>
      </w:r>
      <w:r w:rsidRPr="00055942">
        <w:t>ο 2021· σημειώνει ωστόσο ότι το ποσοστό εκτέλεσης των πιστώσεων πληρωμών ήταν 92,07 %, το οποίο συνιστά αύξηση κατά 12,95 % σε σύγκριση με το 2021·</w:t>
      </w:r>
    </w:p>
    <w:p w:rsidR="006D4BA8" w:rsidRPr="00055942" w:rsidRDefault="001A6C4C" w:rsidP="006D4BA8">
      <w:pPr>
        <w:widowControl/>
        <w:spacing w:after="240"/>
        <w:ind w:left="567" w:hanging="567"/>
        <w:rPr>
          <w:szCs w:val="24"/>
        </w:rPr>
      </w:pPr>
      <w:r w:rsidRPr="00055942">
        <w:rPr>
          <w:b/>
          <w:i/>
        </w:rPr>
        <w:t>Επιδόσεις</w:t>
      </w:r>
    </w:p>
    <w:p w:rsidR="006D4BA8" w:rsidRPr="00055942" w:rsidRDefault="001A6C4C" w:rsidP="006D4BA8">
      <w:pPr>
        <w:widowControl/>
        <w:spacing w:after="240"/>
        <w:ind w:left="567" w:hanging="567"/>
        <w:rPr>
          <w:szCs w:val="24"/>
        </w:rPr>
      </w:pPr>
      <w:r w:rsidRPr="00055942">
        <w:t>2.</w:t>
      </w:r>
      <w:r w:rsidRPr="00055942">
        <w:tab/>
        <w:t xml:space="preserve">σημειώνει ότι η Αρχή χρησιμοποιεί ορισμένα μέτρα, όπως οι βασικοί δείκτες επιδόσεων (ΒΔΕ), για </w:t>
      </w:r>
      <w:r w:rsidRPr="00055942">
        <w:t xml:space="preserve">να αξιολογεί την προστιθέμενη αξία που παρέχουν οι δραστηριότητές της και να βελτιώνει τη δημοσιονομική της διαχείριση· σημειώνει ότι, το 2022, η Αρχή έθεσε 17 στρατηγικούς στόχους επιδόσεων στους επτά κύριους τομείς εργασίας της· </w:t>
      </w:r>
      <w:r w:rsidRPr="00055942">
        <w:lastRenderedPageBreak/>
        <w:t xml:space="preserve">σημειώνει με ικανοποίηση </w:t>
      </w:r>
      <w:r w:rsidRPr="00055942">
        <w:t>ότι η Αρχή πέτυχε ή υπερέβη τους 15 από τους εν λόγω στόχους, ενώ ο στόχος για τους εναπομείναντες δύο ΒΔΕ θεωρήθηκε άνευ αντικειμένου λόγω της εξάρτησης από τα νομοθετικά χρονοδιαγράμματα του νόμου για την ψηφιακή επιχειρησιακή ανθεκτικότητα (DORA) και τη</w:t>
      </w:r>
      <w:r w:rsidRPr="00055942">
        <w:t>ς τεχνολογικής διαταραχής·</w:t>
      </w:r>
    </w:p>
    <w:p w:rsidR="006D4BA8" w:rsidRPr="00055942" w:rsidRDefault="001A6C4C" w:rsidP="006D4BA8">
      <w:pPr>
        <w:widowControl/>
        <w:spacing w:after="240"/>
        <w:ind w:left="567" w:hanging="567"/>
        <w:rPr>
          <w:szCs w:val="24"/>
        </w:rPr>
      </w:pPr>
      <w:r w:rsidRPr="00055942">
        <w:t>3.</w:t>
      </w:r>
      <w:r w:rsidRPr="00055942">
        <w:tab/>
        <w:t>παρατηρεί ότι 342 προϊόντα και υπηρεσίες, ήτοι το 91 % του συνόλου, παραδόθηκαν σύμφωνα με τον προγραμματισμό της Αρχής, ενώ 20 προϊόντα και υπηρεσίες είχαν μικρές καθυστερήσεις και 13 δεν παραδόθηκαν, συχνά λόγω εξάρτησης από</w:t>
      </w:r>
      <w:r w:rsidRPr="00055942">
        <w:t xml:space="preserve"> χρονοδιαγράμματα νομοθετικών αποφάσεων (π.χ. επανεξέταση της οδηγίας Φερεγγυότητα II) ή από τεχνολογικές εξελίξεις στην αγορά και ανταγωνιστικές προτεραιότητες· συγχαίρει την Αρχή για την αύξηση των συμμετοχών της σε ομιλίες από 167 το 2021 σε 214 το 2022</w:t>
      </w:r>
      <w:r w:rsidRPr="00055942">
        <w:t>·</w:t>
      </w:r>
    </w:p>
    <w:p w:rsidR="006D4BA8" w:rsidRPr="00055942" w:rsidRDefault="001A6C4C" w:rsidP="006D4BA8">
      <w:pPr>
        <w:widowControl/>
        <w:spacing w:after="240"/>
        <w:ind w:left="567" w:hanging="567"/>
        <w:rPr>
          <w:szCs w:val="24"/>
        </w:rPr>
      </w:pPr>
      <w:r w:rsidRPr="00055942">
        <w:t>4.</w:t>
      </w:r>
      <w:r w:rsidRPr="00055942">
        <w:tab/>
        <w:t>αναγνωρίζει τα πολυάριθμα επιτεύγματα της Αρχής το 2022, η οποία πέτυχε σε μεγάλο βαθμό τους στόχους της στους τομείς της σύγκλισης της εποπτείας, της προστασίας των καταναλωτών και της χρηματοπιστωτικής σταθερότητας· σημειώνει ειδικότερα ότι η Αρχή δ</w:t>
      </w:r>
      <w:r w:rsidRPr="00055942">
        <w:t xml:space="preserve">ιενήργησε την πρώτη της προσομοίωση ακραίων καταστάσεων για το κλίμα, για το ΙΕΣΠ, για να συγκεντρώσει πληροφορίες σχετικά με τις επιπτώσεις των περιβαλλοντικών κινδύνων στον ευρωπαϊκό επαγγελματικό συνταξιοδοτικό τομέα, στη συνέχεια υπέβαλε στην Επιτροπή </w:t>
      </w:r>
      <w:r w:rsidRPr="00055942">
        <w:t>τα εκτελεστικά τεχνικά πρότυπα για τις κανονιστικές απαιτήσεις υποβολής εκθέσεων και δημοσιοποίησης στο πλαίσιο της οδηγίας Φερεγγυότητα ΙΙ, δημοσίευσε σειρά εγγράφων, εκθέσεων και κατευθυντήριων γραμμών σχετικά με την ενσωμάτωση των κινδύνων για τη βιωσιμ</w:t>
      </w:r>
      <w:r w:rsidRPr="00055942">
        <w:t>ότητα στη διαχείριση κινδύνων των ασφαλιστών, των αντασφαλιστών και των επαγγελματικών συνταξιοδοτικών ταμείων, ενώ παρείχε πληροφορίες και τεχνικές συμβουλές στους συννομοθέτες στο πλαίσιο της νομοθετικής διαδικασίας όσον αφορά την πράξη για την τεχνητή ν</w:t>
      </w:r>
      <w:r w:rsidRPr="00055942">
        <w:t>οημοσύνη και τον κανονισμό DORA· συγχαίρει την Αρχή για τις διάφορες πρωτοβουλίες και δράσεις της στον τομέα του ψηφιακού μετασχηματισμού, υποστηρίζοντας έτσι τους στόχους της στρατηγικής της Ένωσης για τον ψηφιακό χρηματοοικονομικό τομέα, μεταξύ άλλων μέσ</w:t>
      </w:r>
      <w:r w:rsidRPr="00055942">
        <w:t>ω της συμβολής, από κοινού με διάφορα ενδιαφερόμενα μέρη, όπως το Ευρωπαϊκό Πανεπιστημιακό Ινστιτούτο, στη σύσταση της «Εποπτικής Ακαδημίας Ψηφιακών Οικονομικών Υπηρεσιών της ΕΕ»·</w:t>
      </w:r>
    </w:p>
    <w:p w:rsidR="006D4BA8" w:rsidRPr="00055942" w:rsidRDefault="001A6C4C" w:rsidP="006D4BA8">
      <w:pPr>
        <w:widowControl/>
        <w:spacing w:after="240"/>
        <w:ind w:left="567" w:hanging="567"/>
        <w:rPr>
          <w:szCs w:val="24"/>
        </w:rPr>
      </w:pPr>
      <w:r w:rsidRPr="00055942">
        <w:t>5.</w:t>
      </w:r>
      <w:r w:rsidRPr="00055942">
        <w:tab/>
        <w:t xml:space="preserve">σημειώνει ότι η Αρχή χρησιμοποίησε για πρώτη φορά ορισμένες εξουσίες και </w:t>
      </w:r>
      <w:r w:rsidRPr="00055942">
        <w:t>εργαλεία που της παραχωρήθηκαν από τον κανονισμό EIOPA· σημειώνει, στο πλαίσιο αυτό, ότι το 2022 η Αρχή εξέδωσε σύσταση προς την Εθνική Τράπεζα της Σλοβακίας (NBS) σε συνέχεια των συμπερασμάτων της Αρχής ότι μια παραβίαση (διαπραχθείσα από σλοβακική ασφαλι</w:t>
      </w:r>
      <w:r w:rsidRPr="00055942">
        <w:t>στική εταιρεία) των κεφαλαιακών απαιτήσεων δεν ελέγχθηκε σωστά και επαρκώς· σημειώνει επίσης με ανησυχία ότι η Αρχή διαπίστωσε ότι η Εθνική Τράπεζα της Σλοβακίας παραβιάζει το δίκαιο της Ένωσης και, κατά συνέπεια, η Επιτροπή εξέδωσε επίσημη γνώμη με την οπ</w:t>
      </w:r>
      <w:r w:rsidRPr="00055942">
        <w:t>οία ζητούσε από την Εθνική Τράπεζα της Σλοβακίας να λάβει τα αναγκαία μέτρα για να συμμορφωθεί με το δίκαιο της Ένωσης, ενώ διεξήχθη και έρευνα βάσει του άρθρου 22 του κανονισμού EIOPA· καλεί την Αρχή να ενημερώνει συνεχώς την αρμόδια για την απαλλαγή αρχή</w:t>
      </w:r>
      <w:r w:rsidRPr="00055942">
        <w:t xml:space="preserve"> σχετικά με τη συνέχεια που δίδεται στην έρευνα καθώς και για τα αποτελέσματα αυτής·</w:t>
      </w:r>
    </w:p>
    <w:p w:rsidR="006D4BA8" w:rsidRPr="00055942" w:rsidRDefault="001A6C4C" w:rsidP="006D4BA8">
      <w:pPr>
        <w:widowControl/>
        <w:spacing w:after="240"/>
        <w:ind w:left="567" w:hanging="567"/>
        <w:rPr>
          <w:szCs w:val="24"/>
        </w:rPr>
      </w:pPr>
      <w:r w:rsidRPr="00055942">
        <w:t>6.</w:t>
      </w:r>
      <w:r w:rsidRPr="00055942">
        <w:tab/>
        <w:t>σημειώνει ότι η Αρχή συνέβαλε στη διασφάλιση της χρηματοπιστωτικής σταθερότητας και στην προστασία των καταναλωτών παρακολουθώντας διεξοδικά τις αγορές και αξιολογώντας</w:t>
      </w:r>
      <w:r w:rsidRPr="00055942">
        <w:t xml:space="preserve"> τον αντίκτυπο της απρόκλητης και παράνομης ρωσικής εισβολής στην </w:t>
      </w:r>
      <w:r w:rsidRPr="00055942">
        <w:lastRenderedPageBreak/>
        <w:t>Ουκρανία και της προοδευτικής αυστηρότερης νομισματικής πολιτικής ως απάντηση στα πρωτοφανή υψηλά ποσοστά πληθωρισμού σε ολόκληρη την Ευρώπη· εκφράζει την ικανοποίησή του για την έγκαιρη δημ</w:t>
      </w:r>
      <w:r w:rsidRPr="00055942">
        <w:t>οσίευση, το 2022, δήλωσης εποπτείας σχετικά με τον πληθωρισμό, η οποία επικεντρώνεται στον τρόπο με τον οποίο ο πληθωρισμός επηρεάζει τις τεχνικές προβλέψεις, τις επενδύσεις και τις κεφαλαιακές απαιτήσεις φερεγγυότητας·</w:t>
      </w:r>
    </w:p>
    <w:p w:rsidR="006D4BA8" w:rsidRPr="00055942" w:rsidRDefault="001A6C4C" w:rsidP="006D4BA8">
      <w:pPr>
        <w:widowControl/>
        <w:spacing w:after="240"/>
        <w:ind w:left="567" w:hanging="567"/>
        <w:rPr>
          <w:b/>
          <w:i/>
          <w:szCs w:val="24"/>
        </w:rPr>
      </w:pPr>
      <w:r w:rsidRPr="00055942">
        <w:rPr>
          <w:b/>
          <w:i/>
        </w:rPr>
        <w:t>Αποδοτικότητα και οφέλη</w:t>
      </w:r>
    </w:p>
    <w:p w:rsidR="006D4BA8" w:rsidRPr="00055942" w:rsidRDefault="001A6C4C" w:rsidP="006D4BA8">
      <w:pPr>
        <w:widowControl/>
        <w:spacing w:after="240"/>
        <w:ind w:left="567" w:hanging="567"/>
        <w:rPr>
          <w:rFonts w:cstheme="minorHAnsi"/>
        </w:rPr>
      </w:pPr>
      <w:r w:rsidRPr="00055942">
        <w:t>7.</w:t>
      </w:r>
      <w:r w:rsidRPr="00055942">
        <w:tab/>
        <w:t>σημειώνει</w:t>
      </w:r>
      <w:r w:rsidRPr="00055942">
        <w:t xml:space="preserve"> ότι υπάρχει συντονισμός, ανταλλαγή ορθών πρακτικών και πληροφοριών, καθώς και αλληλοϋποστήριξη μεταξύ των Ευρωπαϊκών Εποπτικών Αρχών (ΕΕΑ) σε πολλούς τομείς, τόσο σε βασικούς όσο και σε υποστηρικτικούς· εκφράζει την ικανοποίησή του για το γεγονός ότι οι Ε</w:t>
      </w:r>
      <w:r w:rsidRPr="00055942">
        <w:t>ΕΑ ένωσαν τις δυνάμεις τους σε στρατηγικές πρωτοβουλίες όπως η ανάπτυξη εφαρμογών λογισμικού, οι υποδομές δικτύου και η παροχή συμβουλών ΤΠ, μεταξύ άλλων, μέσω, για παράδειγμα, της κοινής χρήσης των ίδιων προμηθευτών· σημειώνει, στο πλαίσιο αυτό, τη στρατη</w:t>
      </w:r>
      <w:r w:rsidRPr="00055942">
        <w:t>γική της Αρχής για το υπολογιστικό νέφος που εγκρίθηκε το 2022, η οποία αναπτύχθηκε από την Ευρωπαϊκή Αρχή Ασφαλίσεων και Επαγγελματικών Συντάξεων σε συνεργασία με τις δύο άλλες ΕΕΑ, άλλα θεσμικά όργανα της Ένωσης και τις εθνικές αρμόδιες αρχές και αποσκοπ</w:t>
      </w:r>
      <w:r w:rsidRPr="00055942">
        <w:t>εί στην παροχή πιο αυτόνομων, αυτοματοποιημένων προϊόντων για την εξυπηρέτηση των εμπειρογνωμόνων της Αρχής και των εθνικών αρμόδιων αρχών·</w:t>
      </w:r>
    </w:p>
    <w:p w:rsidR="006D4BA8" w:rsidRPr="00055942" w:rsidRDefault="001A6C4C" w:rsidP="006D4BA8">
      <w:pPr>
        <w:widowControl/>
        <w:spacing w:after="240"/>
        <w:ind w:left="567" w:hanging="567"/>
        <w:rPr>
          <w:rFonts w:cstheme="minorHAnsi"/>
        </w:rPr>
      </w:pPr>
      <w:r w:rsidRPr="00055942">
        <w:t>8.</w:t>
      </w:r>
      <w:r w:rsidRPr="00055942">
        <w:tab/>
        <w:t>συγχαίρει την Αρχή για τις επενδύσεις της και την κατανομή προσωπικού σε έργα στον τομέα του ψηφιακού μετασχηματι</w:t>
      </w:r>
      <w:r w:rsidRPr="00055942">
        <w:t>σμού, προκειμένου να ενισχύσει την αποδοτικότητά της μέσω της αυτοματοποίησης και του εξορθολογισμού των επιχειρηματικών διαδικασιών και της βελτίωσης του χρόνου διάθεσης στην αγορά και της συνεργασίας εντός και μεταξύ των λειτουργιών, μεταξύ άλλων· εκφράζ</w:t>
      </w:r>
      <w:r w:rsidRPr="00055942">
        <w:t xml:space="preserve">ει, στο πλαίσιο αυτό, την ικανοποίησή του για τα έργα της Αρχής που υλοποιήθηκαν το 2022 και επικεντρώνονται στη βελτίωση των ικανοτήτων ανάλυσης δεδομένων για την επίτευξη του στόχου της μετατροπής της Αρχής σε έναν πλήρως ψηφιακό οργανισμό που βασίζεται </w:t>
      </w:r>
      <w:r w:rsidRPr="00055942">
        <w:t>στα δεδομένα·</w:t>
      </w:r>
    </w:p>
    <w:p w:rsidR="006D4BA8" w:rsidRPr="00055942" w:rsidRDefault="001A6C4C" w:rsidP="006D4BA8">
      <w:pPr>
        <w:widowControl/>
        <w:spacing w:after="240"/>
        <w:ind w:left="567" w:hanging="567"/>
        <w:rPr>
          <w:rFonts w:cstheme="minorHAnsi"/>
          <w:iCs/>
        </w:rPr>
      </w:pPr>
      <w:r w:rsidRPr="00055942">
        <w:t>9.</w:t>
      </w:r>
      <w:r w:rsidRPr="00055942">
        <w:tab/>
        <w:t>παρατηρεί ότι, όσον αφορά τις καθημερινές επιχειρηματικές πρακτικές, η Αρχή έχει εφαρμόσει μια σειρά μέτρων για τη βελτίωση της οικονομικής αποδοτικότητας, όπως η υβριδική εργασία, η κοινή χρήση γραφείων και οι σύγχρονες λύσεις βιντεοδιάσκ</w:t>
      </w:r>
      <w:r w:rsidRPr="00055942">
        <w:t>εψης που συνέβαλαν στη μείωση των μετακινήσεων για επαγγελματικούς λόγους· σημειώνει ότι, προκειμένου να διατηρηθούν οι θεσμικές γνώσεις, η εμπειρογνωσία και η αποτελεσματικότητα κατά την εκτέλεση βασικών καθηκόντων, η Αρχή ενίσχυσε περαιτέρω το ολοκληρωμέ</w:t>
      </w:r>
      <w:r w:rsidRPr="00055942">
        <w:t>νο σύστημα διαχείρισης ταλέντων· καλεί την Αρχή να παράσχει στην αρμόδια για την απαλλαγή αρχή δεδομένα και αριθμητικά στοιχεία σχετικά με τον αντίκτυπο του εν λόγω συστήματος·</w:t>
      </w:r>
    </w:p>
    <w:p w:rsidR="006D4BA8" w:rsidRPr="00055942" w:rsidRDefault="001A6C4C" w:rsidP="006D4BA8">
      <w:pPr>
        <w:widowControl/>
        <w:spacing w:after="240"/>
        <w:ind w:left="567" w:hanging="567"/>
        <w:rPr>
          <w:rFonts w:cstheme="minorHAnsi"/>
          <w:iCs/>
        </w:rPr>
      </w:pPr>
      <w:r w:rsidRPr="00055942">
        <w:t>10.</w:t>
      </w:r>
      <w:r w:rsidRPr="00055942">
        <w:tab/>
        <w:t>σημειώνει, με βάση την έκθεση του Ελεγκτικού Συνεδρίου, ότι η Αρχή συγκαταλ</w:t>
      </w:r>
      <w:r w:rsidRPr="00055942">
        <w:t xml:space="preserve">έγεται μεταξύ των οργανισμών που διαθέτουν εταιρικό σχέδιο για τη βελτίωση της ενεργειακής απόδοσης και της κλιματικής ουδετερότητας των δραστηριοτήτων τους και εκδίδουν περιβαλλοντική δήλωση (π.χ. σχετικά με την υποβολή εκθέσεων για το αποτύπωμα άνθρακα) </w:t>
      </w:r>
      <w:r w:rsidRPr="00055942">
        <w:t xml:space="preserve">που ενσωματώνεται στις ετήσιες εκθέσεις δραστηριοτήτων τους· συγχαίρει περαιτέρω την Αρχή για την πιστοποίηση EMAS (σύστημα οικολογικής </w:t>
      </w:r>
      <w:r w:rsidRPr="00055942">
        <w:lastRenderedPageBreak/>
        <w:t>διαχείρισης και οικολογικού ελέγχου της Ευρωπαϊκής Ένωσης) που έλαβε το 2022 με απώτερο σκοπό να αποκτήσει την επίσημη δ</w:t>
      </w:r>
      <w:r w:rsidRPr="00055942">
        <w:t>ιαπίστευση EMAS το 2023·</w:t>
      </w:r>
    </w:p>
    <w:p w:rsidR="006D4BA8" w:rsidRPr="00055942" w:rsidRDefault="001A6C4C" w:rsidP="006D4BA8">
      <w:pPr>
        <w:widowControl/>
        <w:spacing w:after="240"/>
        <w:ind w:left="567" w:hanging="567"/>
        <w:rPr>
          <w:b/>
          <w:i/>
          <w:szCs w:val="24"/>
        </w:rPr>
      </w:pPr>
      <w:r w:rsidRPr="00055942">
        <w:rPr>
          <w:b/>
          <w:i/>
        </w:rPr>
        <w:t>Πολιτική προσωπικού</w:t>
      </w:r>
    </w:p>
    <w:p w:rsidR="006D4BA8" w:rsidRPr="00055942" w:rsidRDefault="001A6C4C" w:rsidP="006D4BA8">
      <w:pPr>
        <w:widowControl/>
        <w:spacing w:after="240"/>
        <w:ind w:left="567" w:hanging="567"/>
        <w:rPr>
          <w:szCs w:val="24"/>
        </w:rPr>
      </w:pPr>
      <w:r w:rsidRPr="00055942">
        <w:t>11.</w:t>
      </w:r>
      <w:r w:rsidRPr="00055942">
        <w:tab/>
        <w:t>επισημαίνει ότι στις 31 Δεκεμβρίου 2022, το οργανόγραμμα ήταν συμπληρωμένο κατά 99% (όπως συνέβη και το 2021), δεδομένου ότι από τις 138 θέσεις έκτακτων υπαλλήλων που είχαν εγκριθεί στον προϋπολογισμό της Έν</w:t>
      </w:r>
      <w:r w:rsidRPr="00055942">
        <w:t>ωσης είχαν καλυφθεί οι 137· επισημαίνει, επιπλέον, ότι το 2022 η Αρχή απασχόλησε 36 συμβασιούχους υπαλλήλους και 24 αποσπασμένους εθνικούς εμπειρογνώμονες·</w:t>
      </w:r>
    </w:p>
    <w:p w:rsidR="006D4BA8" w:rsidRPr="00055942" w:rsidRDefault="001A6C4C" w:rsidP="006D4BA8">
      <w:pPr>
        <w:spacing w:after="240"/>
        <w:ind w:left="567" w:hanging="567"/>
        <w:rPr>
          <w:szCs w:val="24"/>
        </w:rPr>
      </w:pPr>
      <w:r w:rsidRPr="00055942">
        <w:t>12.</w:t>
      </w:r>
      <w:r w:rsidRPr="00055942">
        <w:tab/>
        <w:t>σημειώνει την κατανομή των φύλων την οποία ανέφερε η Αρχή για το 2022: 15 άνδρες (65,20 %) και 8</w:t>
      </w:r>
      <w:r w:rsidRPr="00055942">
        <w:t xml:space="preserve"> γυναίκες (34,80 %) σε μεσαίες και ανώτερες διευθυντικές θέσεις καθώς και στο διοικητικό της συμβούλιο, και 104 άνδρες (53,60 %) και 90 γυναίκες (46,40 %) στο συνολικό προσωπικό της·</w:t>
      </w:r>
    </w:p>
    <w:p w:rsidR="006D4BA8" w:rsidRPr="00055942" w:rsidRDefault="001A6C4C" w:rsidP="006D4BA8">
      <w:pPr>
        <w:spacing w:after="240"/>
        <w:ind w:left="567" w:hanging="567"/>
        <w:rPr>
          <w:rFonts w:cstheme="minorHAnsi"/>
        </w:rPr>
      </w:pPr>
      <w:r w:rsidRPr="00055942">
        <w:t>13.</w:t>
      </w:r>
      <w:r w:rsidRPr="00055942">
        <w:tab/>
        <w:t>εκφράζει την ικανοποίησή του για το γεγονός ότι το 2022 η Αρχή συνέχι</w:t>
      </w:r>
      <w:r w:rsidRPr="00055942">
        <w:t xml:space="preserve">σε την εφαρμογή της στρατηγικής για τη διαφορετικότητα και την ένταξη, που εγκρίθηκε το 2021, και του λεπτομερούς σχεδίου δράσης της μέσω πρωτοβουλιών που καλύπτουν οριζόντια μέτρα, όπως, μεταξύ άλλων, η συνεργασία με άλλα θεσμικά όργανα, η προσέλκυση και </w:t>
      </w:r>
      <w:r w:rsidRPr="00055942">
        <w:t>η επιλογή ενός πιο ποικιλόμορφου εργατικού δυναμικού, η πρόληψη των διακρίσεων, της παρενόχλησης, των συνειδητών και ασυνείδητων προκαταλήψεων και η παρακολούθηση των δεδομένων που σχετίζονται με τη διαφορετικότητα και την ένταξη· σημειώνει ότι το 2022 ανα</w:t>
      </w:r>
      <w:r w:rsidRPr="00055942">
        <w:t>φέρθηκε μία εικαζόμενη παρενόχληση, αλλά η υπόθεση έκλεισε χωρίς περαιτέρω ενέργειες, δεδομένου ότι δεν προέκυψαν αποδεικτικά στοιχεία μετά την προκαταρκτική αξιολόγηση του περιστατικού·</w:t>
      </w:r>
    </w:p>
    <w:p w:rsidR="006D4BA8" w:rsidRPr="00055942" w:rsidRDefault="001A6C4C" w:rsidP="006D4BA8">
      <w:pPr>
        <w:widowControl/>
        <w:spacing w:after="240"/>
        <w:ind w:left="567" w:hanging="567"/>
        <w:rPr>
          <w:szCs w:val="24"/>
        </w:rPr>
      </w:pPr>
      <w:r w:rsidRPr="00055942">
        <w:t>14.</w:t>
      </w:r>
      <w:r w:rsidRPr="00055942">
        <w:tab/>
        <w:t>εκφράζει την ικανοποίησή του για το γεγονός ότι η Αρχή είναι αφιε</w:t>
      </w:r>
      <w:r w:rsidRPr="00055942">
        <w:t>ρωμένη στην προώθηση και την παροχή ποικιλόμορφου και χωρίς αποκλεισμούς εργασιακού περιβάλλοντος, προσαρμοσμένου επίσης στις ανάγκες των ατόμων με αναπηρία· σημειώνει, στο πλαίσιο αυτό, ότι το 2022 διορίστηκε ο εσωτερικός συντονιστής και πρέσβης της Αρχής</w:t>
      </w:r>
      <w:r w:rsidRPr="00055942">
        <w:t xml:space="preserve"> για την αναπηρία για να ενισχύσει περαιτέρω και να εστιάσει την προσοχή στον συγκεκριμένο τομέα, ενώ πραγματοποιήθηκε ειδική έρευνα, καθώς και δράσεις ευαισθητοποίησης του προσωπικού και της διοίκησης·</w:t>
      </w:r>
    </w:p>
    <w:p w:rsidR="006D4BA8" w:rsidRPr="00055942" w:rsidRDefault="001A6C4C" w:rsidP="006D4BA8">
      <w:pPr>
        <w:widowControl/>
        <w:spacing w:after="240"/>
        <w:ind w:left="567" w:hanging="567"/>
        <w:rPr>
          <w:szCs w:val="24"/>
        </w:rPr>
      </w:pPr>
      <w:r w:rsidRPr="00055942">
        <w:t>15.</w:t>
      </w:r>
      <w:r w:rsidRPr="00055942">
        <w:tab/>
        <w:t xml:space="preserve">σημειώνει ότι η Αρχή παραμένει βαθιά προσηλωμένη </w:t>
      </w:r>
      <w:r w:rsidRPr="00055942">
        <w:t xml:space="preserve">στη βελτίωση της ευημερίας του προσωπικού και της ισορροπίας μεταξύ επαγγελματικής και προσωπικής ζωής, κάτι που φαίνεται πως αποδίδει καθώς καταγράφονται θετικά αποτελέσματα όσον αφορά τη συμμετοχή και την ικανοποίηση του προσωπικού· σημειώνει ότι η Αρχή </w:t>
      </w:r>
      <w:r w:rsidRPr="00055942">
        <w:t>επικεντρώθηκε σε βασικά ζητήματα όπως οι ευέλικτες ρυθμίσεις εργασίας, η τηλεργασία, η διά βίου καθοδήγηση και η εξέλιξη της σταδιοδρομίας, τα προγράμματα ευεξίας και η υποστήριξη από τη διοίκηση·</w:t>
      </w:r>
    </w:p>
    <w:p w:rsidR="006D4BA8" w:rsidRPr="00055942" w:rsidRDefault="001A6C4C" w:rsidP="006D4BA8">
      <w:pPr>
        <w:widowControl/>
        <w:spacing w:after="240"/>
        <w:ind w:left="567" w:hanging="567"/>
        <w:rPr>
          <w:b/>
          <w:i/>
          <w:szCs w:val="24"/>
        </w:rPr>
      </w:pPr>
      <w:r w:rsidRPr="00055942">
        <w:rPr>
          <w:b/>
          <w:i/>
        </w:rPr>
        <w:t>Δημόσιες συμβάσεις</w:t>
      </w:r>
    </w:p>
    <w:p w:rsidR="006D4BA8" w:rsidRPr="00055942" w:rsidRDefault="001A6C4C" w:rsidP="006D4BA8">
      <w:pPr>
        <w:widowControl/>
        <w:spacing w:after="240"/>
        <w:ind w:left="567" w:hanging="567"/>
        <w:rPr>
          <w:szCs w:val="24"/>
        </w:rPr>
      </w:pPr>
      <w:r w:rsidRPr="00055942">
        <w:t>16.</w:t>
      </w:r>
      <w:r w:rsidRPr="00055942">
        <w:tab/>
        <w:t>σημειώνει την παρατήρηση που διατύπω</w:t>
      </w:r>
      <w:r w:rsidRPr="00055942">
        <w:t>σε το Ελεγκτικό Συνέδριο στην έκθεσή του ότι η Αρχή πραγματοποίησε πληρωμές (συνολικού ύψους 25 607 EUR) μετά τη λήξη της σύμβασης μέσω της οποίας η Αρχή προμηθεύτηκε υπηρεσίες κινητής τηλεφωνίας για περίοδο τεσσάρων ετών (2017-2021)· σημειώνει το συμπέρασ</w:t>
      </w:r>
      <w:r w:rsidRPr="00055942">
        <w:t xml:space="preserve">μα του Ελεγκτικού Συνεδρίου ότι οι εν λόγω πληρωμές ήταν παράτυπες· σημειώνει επίσης την </w:t>
      </w:r>
      <w:r w:rsidRPr="00055942">
        <w:lastRenderedPageBreak/>
        <w:t>παρατήρηση του Ελεγκτικού Συνεδρίου ότι η τροποποίηση της εν λόγω σύμβασης, που υπεγράφη τον Απρίλιο του 2022, πραγματοποιήθηκε κατά παράβαση του σημείου 1.1 του παραρ</w:t>
      </w:r>
      <w:r w:rsidRPr="00055942">
        <w:t>τήματος Ι του δημοσιονομικού κανονισμού·</w:t>
      </w:r>
    </w:p>
    <w:p w:rsidR="006D4BA8" w:rsidRPr="00055942" w:rsidRDefault="001A6C4C" w:rsidP="006D4BA8">
      <w:pPr>
        <w:widowControl/>
        <w:spacing w:after="240"/>
        <w:ind w:left="567" w:hanging="567"/>
        <w:rPr>
          <w:szCs w:val="24"/>
        </w:rPr>
      </w:pPr>
      <w:r w:rsidRPr="00055942">
        <w:t>17.</w:t>
      </w:r>
      <w:r w:rsidRPr="00055942">
        <w:tab/>
        <w:t>υπενθυμίζει, με βάση την ετήσια έκθεση του Ελεγκτικού Συνεδρίου σχετικά με τους οργανισμούς της Ένωσης για το 2021, την παρατήρηση σχετικά με το ποσό (288 125 EUR) που καταβλήθηκε παράτυπα από την Αρχή όσον αφορ</w:t>
      </w:r>
      <w:r w:rsidRPr="00055942">
        <w:t>ά τη σύμβαση μίσθωσης των εγκαταστάσεών της· σημειώνει, στο πλαίσιο αυτό, με βάση την έκθεση της Αρχής σχετικά με τα μέτρα που ελήφθησαν με γνώμονα τις συστάσεις της αρμόδιας για την απαλλαγή αρχής (απαλλαγή 2021), τη θέση της Αρχής ότι η μη τήρηση των συμ</w:t>
      </w:r>
      <w:r w:rsidRPr="00055942">
        <w:t xml:space="preserve">βατικών υποχρεώσεων θα είχε αρνητικό νομικό αντίκτυπο στην Αρχή ενώ θα έπληττε και τη δημόσια εικόνα της· σημειώνει, με βάση την έκθεση του Ελεγκτικού Συνεδρίου, ότι δεν έχουν ληφθεί ακόμα μέτρα για τη διευθέτηση της εν λόγω παρατήρησης· καλεί την Αρχή να </w:t>
      </w:r>
      <w:r w:rsidRPr="00055942">
        <w:t>καταβάλει όλες τις αναγκαίες προσπάθειες κατά την έναρξη της διαδικασίας σύναψης σύμβασης για νέα σύμβαση μίσθωσης, ώστε να αποφευχθεί οποιαδήποτε σύγκρουση μεταξύ των υποχρεώσεων που επιβάλλονται από τη σύμβαση μίσθωσης και των σχετικών διατάξεων του δημο</w:t>
      </w:r>
      <w:r w:rsidRPr="00055942">
        <w:t>σιονομικού κανονισμού·</w:t>
      </w:r>
    </w:p>
    <w:p w:rsidR="006D4BA8" w:rsidRPr="00055942" w:rsidRDefault="001A6C4C" w:rsidP="006D4BA8">
      <w:pPr>
        <w:widowControl/>
        <w:spacing w:after="240"/>
        <w:rPr>
          <w:szCs w:val="24"/>
        </w:rPr>
      </w:pPr>
      <w:r w:rsidRPr="00055942">
        <w:rPr>
          <w:b/>
          <w:i/>
        </w:rPr>
        <w:t>Πρόληψη και διαχείριση συγκρούσεων συμφερόντων και διαφάνεια</w:t>
      </w:r>
    </w:p>
    <w:p w:rsidR="006D4BA8" w:rsidRPr="00055942" w:rsidRDefault="001A6C4C" w:rsidP="006D4BA8">
      <w:pPr>
        <w:widowControl/>
        <w:spacing w:after="240"/>
        <w:ind w:left="567" w:hanging="567"/>
        <w:rPr>
          <w:szCs w:val="24"/>
        </w:rPr>
      </w:pPr>
      <w:r w:rsidRPr="00055942">
        <w:t>18.</w:t>
      </w:r>
      <w:r w:rsidRPr="00055942">
        <w:tab/>
        <w:t xml:space="preserve">εκφράζει την ικανοποίησή του για το γεγονός ότι, σύμφωνα με τις νομικές απαιτήσεις της Αρχής, τα βιογραφικά σημειώματα των μελών του συμβουλίου εποπτών και του </w:t>
      </w:r>
      <w:r w:rsidRPr="00055942">
        <w:t>διοικητικού συμβουλίου, του/της προέδρου, του εκτελεστικού διευθυντή και τα σύντομα βιογραφικά σημειώματα των προϊσταμένων τμημάτων της Αρχής δημοσιεύονται στον ιστότοπό της· σημειώνει ότι οι ατομικές δηλώσεις συμφερόντων και οι δηλώσεις προθέσεων δημοσιοπ</w:t>
      </w:r>
      <w:r w:rsidRPr="00055942">
        <w:t>οιούνται για κάθε μέλος του διοικητικού συμβουλίου, κάθε μέλος του συμβουλίου εποπτών και των ανώτερων διοικητικών στελεχών της Αρχής· εκφράζει επίσης την ικανοποίησή του για τη δημοσίευση στον ιστότοπο της Αρχής των συναντήσεων προσωπικού της Αρχής με εκπ</w:t>
      </w:r>
      <w:r w:rsidRPr="00055942">
        <w:t>ροσώπους ομάδων συμφερόντων·</w:t>
      </w:r>
    </w:p>
    <w:p w:rsidR="006D4BA8" w:rsidRPr="00055942" w:rsidRDefault="001A6C4C" w:rsidP="006D4BA8">
      <w:pPr>
        <w:widowControl/>
        <w:spacing w:after="240"/>
        <w:ind w:left="567" w:hanging="567"/>
        <w:rPr>
          <w:szCs w:val="24"/>
        </w:rPr>
      </w:pPr>
      <w:r w:rsidRPr="00055942">
        <w:t>19.</w:t>
      </w:r>
      <w:r w:rsidRPr="00055942">
        <w:tab/>
        <w:t>εκφράζει την ικανοποίησή του για το γεγονός ότι το 2022 η Αρχή ενίσχυσε τους κανόνες δεοντολογίας της για το προσωπικό και τους εξωτερικούς συνεργάτες της, ανταποκρινόμενη στις παρατηρήσεις του Ελεγκτικού Συνεδρίου που διατ</w:t>
      </w:r>
      <w:r w:rsidRPr="00055942">
        <w:t>ύπωσε το Συνέδριο στην έκθεσή του σχετικά με τους ετήσιους λογαριασμούς της Αρχής για το 2021. Στόχος της Αρχής είναι να συνεχίσει να λαμβάνει αποφάσεις αμερόληπτα, αντικειμενικά και ανεξάρτητα, καθώς και να εντοπίζει άμεσα και να χειρίζεται τυχόν περιπτώσ</w:t>
      </w:r>
      <w:r w:rsidRPr="00055942">
        <w:t>εις σύγκρουσης συμφερόντων· σημειώνει, στο πλαίσιο αυτό, την αναθεώρηση του εσωτερικού κανονισμού της Αρχής, την έγκριση της πολιτικής σχετικά με την ανεξαρτησία και τις διαδικασίες λήψης αποφάσεων για την αποφυγή συγκρούσεων συμφερόντων για μη μέλη του πρ</w:t>
      </w:r>
      <w:r w:rsidRPr="00055942">
        <w:t>οσωπικού, την έγκριση αναθεώρησης της απόφασης σχετικά με την αξιολόγηση του προέδρου και του εκτελεστικού διευθυντή και την έγκριση αναθεώρησης των κανόνων δεοντολογίας της Αρχής για τα μέλη του προσωπικού·</w:t>
      </w:r>
    </w:p>
    <w:p w:rsidR="006D4BA8" w:rsidRPr="00055942" w:rsidRDefault="001A6C4C" w:rsidP="006D4BA8">
      <w:pPr>
        <w:widowControl/>
        <w:spacing w:after="240"/>
        <w:ind w:left="567" w:hanging="567"/>
        <w:rPr>
          <w:szCs w:val="24"/>
        </w:rPr>
      </w:pPr>
      <w:r w:rsidRPr="00055942">
        <w:t>20.</w:t>
      </w:r>
      <w:r w:rsidRPr="00055942">
        <w:tab/>
        <w:t>παρατηρεί, όσον αφορά την καταγγελία δυσλειτ</w:t>
      </w:r>
      <w:r w:rsidRPr="00055942">
        <w:t>ουργιών, ότι το 2022 ένα μέλος του προσωπικού εξέφρασε τις ανησυχίες του σχετικά με πιθανή περίπτωση παρατυπιών που διαχειρίστηκε η Αρχή σύμφωνα με τους ισχύοντες κανόνες· σημειώνει, στο πλαίσιο αυτό, ότι η Ευρωπαϊκή Υπηρεσία Καταπολέμησης της Απάτης (OLAF</w:t>
      </w:r>
      <w:r w:rsidRPr="00055942">
        <w:t xml:space="preserve">), η οποία </w:t>
      </w:r>
      <w:r w:rsidRPr="00055942">
        <w:lastRenderedPageBreak/>
        <w:t>ενημερώθηκε αμέσως από την Αρχή, διενήργησε αξιολόγηση απορρίπτοντας την υπόθεση με την αιτιολογία ότι δεν υπήρχαν επαρκείς υπόνοιες για την έναρξη έρευνας·</w:t>
      </w:r>
    </w:p>
    <w:p w:rsidR="006D4BA8" w:rsidRPr="00055942" w:rsidRDefault="001A6C4C" w:rsidP="006D4BA8">
      <w:pPr>
        <w:spacing w:after="240"/>
        <w:ind w:left="567" w:hanging="567"/>
        <w:rPr>
          <w:sz w:val="22"/>
        </w:rPr>
      </w:pPr>
      <w:r w:rsidRPr="00055942">
        <w:t>21.</w:t>
      </w:r>
      <w:r w:rsidRPr="00055942">
        <w:tab/>
        <w:t>επικροτεί το γεγονός ότι, τον Ιούλιο του 2022, το συμβούλιο εποπτών της Αρχής αναθεώ</w:t>
      </w:r>
      <w:r w:rsidRPr="00055942">
        <w:t>ρησε τον εσωτερικό κανονισμό του, λαμβάνοντας υπόψη την παρατήρηση του Ελεγκτικού Συνεδρίου σχετικά με την παρουσία, κατά τις συζητήσεις και ψηφοφορίες, μελών του συμβουλίου εποπτών τα οποία υπόκεινται σε σύγκρουση συμφερόντων· σημειώνει ακόμη ότι το διοικ</w:t>
      </w:r>
      <w:r w:rsidRPr="00055942">
        <w:t>ητικό συμβούλιο της Αρχής ενέκρινε, τον Δεκέμβριο του 2022, αναθεωρημένη απόφαση σχετικά με την αξιολόγηση του προέδρου και του εκτελεστικού διευθυντή, η οποία ευθυγραμμίζεται τις παρατηρήσεις του Ελεγκτικού Συνεδρίου·</w:t>
      </w:r>
    </w:p>
    <w:p w:rsidR="006D4BA8" w:rsidRPr="00055942" w:rsidRDefault="001A6C4C" w:rsidP="006D4BA8">
      <w:pPr>
        <w:widowControl/>
        <w:spacing w:after="240"/>
        <w:ind w:left="567" w:hanging="567"/>
        <w:rPr>
          <w:b/>
          <w:i/>
          <w:szCs w:val="24"/>
        </w:rPr>
      </w:pPr>
      <w:r w:rsidRPr="00055942">
        <w:rPr>
          <w:b/>
          <w:i/>
        </w:rPr>
        <w:t>Εσωτερικοί έλεγχοι</w:t>
      </w:r>
    </w:p>
    <w:p w:rsidR="006D4BA8" w:rsidRPr="00055942" w:rsidRDefault="001A6C4C" w:rsidP="006D4BA8">
      <w:pPr>
        <w:widowControl/>
        <w:spacing w:after="240"/>
        <w:ind w:left="567" w:hanging="567"/>
        <w:rPr>
          <w:szCs w:val="24"/>
        </w:rPr>
      </w:pPr>
      <w:r w:rsidRPr="00055942">
        <w:t>22.</w:t>
      </w:r>
      <w:r w:rsidRPr="00055942">
        <w:tab/>
        <w:t xml:space="preserve">σημειώνει ότι </w:t>
      </w:r>
      <w:r w:rsidRPr="00055942">
        <w:t>το 2022 η Αρχή διενήργησε την ετήσια αξιολόγηση του πλαισίου εσωτερικού ελέγχου της και κατέληξε στο συμπέρασμα ότι όλες οι συνιστώσες και οι αρχές εφαρμόζονται και λειτουργούν όπως προβλέπεται, και ότι απαιτούνται ορισμένες βελτιώσεις λόγω μέτριας ανεπάρκ</w:t>
      </w:r>
      <w:r w:rsidRPr="00055942">
        <w:t>ειας που εντοπίστηκε·</w:t>
      </w:r>
    </w:p>
    <w:p w:rsidR="006D4BA8" w:rsidRPr="00055942" w:rsidRDefault="001A6C4C" w:rsidP="006D4BA8">
      <w:pPr>
        <w:widowControl/>
        <w:spacing w:after="240"/>
        <w:ind w:left="567" w:hanging="567"/>
        <w:rPr>
          <w:szCs w:val="24"/>
        </w:rPr>
      </w:pPr>
      <w:r w:rsidRPr="00055942">
        <w:t>23.</w:t>
      </w:r>
      <w:r w:rsidRPr="00055942">
        <w:tab/>
        <w:t>παρατηρεί ότι το 2022 η Υπηρεσία Εσωτερικού Λογιστικού Ελέγχου (IAS) εξέδωσε έκθεση σχετικά με τον έλεγχο που διενεργήθηκε το 2021 όσον αφορά τα «μέτρα παρέμβασης της EIOPA» για τις εθνικές αρμόδιες αρχές και τους φορείς της αγορά</w:t>
      </w:r>
      <w:r w:rsidRPr="00055942">
        <w:t>ς στους τομείς των ασφαλίσεων και των επαγγελματικών συντάξεων της Ένωσης· παρατηρεί επίσης ότι η Επιτροπή Ποιοτικού Ελέγχου (QCC) της Αρχής εξέδωσε έκθεση επανεξέτασης με τίτλο «Διδάγματα που αντλήθηκαν από τη συνεργασία και την αλληλεπίδραση μεταξύ της E</w:t>
      </w:r>
      <w:r w:rsidRPr="00055942">
        <w:t>IOPA και των αρμόδιων εθνικών αρχών κατά τη διάρκεια της πανδημίας COVID-19»· καλεί την Αρχή να ενημερώνει την αρμόδια για την απαλλαγή αρχή όσον αφορά την εφαρμογή των συστάσεων που εξέδωσαν η Υπηρεσία Εσωτερικού Λογιστικού Ελέγχου και η Επιτροπή Ποιοτικο</w:t>
      </w:r>
      <w:r w:rsidRPr="00055942">
        <w:t>ύ Ελέγχου·</w:t>
      </w:r>
    </w:p>
    <w:p w:rsidR="006D4BA8" w:rsidRPr="00055942" w:rsidRDefault="001A6C4C" w:rsidP="006D4BA8">
      <w:pPr>
        <w:widowControl/>
        <w:spacing w:after="240"/>
        <w:ind w:left="567" w:hanging="567"/>
      </w:pPr>
      <w:r w:rsidRPr="00055942">
        <w:t>24.</w:t>
      </w:r>
      <w:r w:rsidRPr="00055942">
        <w:tab/>
        <w:t>σημειώνει με ικανοποίηση ότι, το 2022, η Αρχή εντόπισε, παρακολούθησε και έλαβε μέτρα για τον μετριασμό των επιπτώσεων των κινδύνων που απορρέουν από το γεγονός ότι δεν ήταν σε θέση να ανταποκριθεί στις νέες εξουσίες και τα καθήκοντα που της</w:t>
      </w:r>
      <w:r w:rsidRPr="00055942">
        <w:t xml:space="preserve"> ανατέθηκαν και παράλληλα να τηρήσει τις υφιστάμενες δεσμεύσεις της, από την έλλειψη ειδικευμένου προσωπικού με τις απαιτούμενες ικανότητες λόγω ζητημάτων που σχετίζονται με την ελκυστικότητα των θέσεων εργασίας και τις προσλήψεις, καθώς και από τις απειλέ</w:t>
      </w:r>
      <w:r w:rsidRPr="00055942">
        <w:t>ς για την ασφάλεια στον κυβερνοχώρο και την επιχειρησιακή συνέχεια·</w:t>
      </w:r>
    </w:p>
    <w:p w:rsidR="006D4BA8" w:rsidRPr="00055942" w:rsidRDefault="001A6C4C" w:rsidP="006D4BA8">
      <w:pPr>
        <w:widowControl/>
        <w:spacing w:after="240"/>
        <w:ind w:left="567" w:hanging="567"/>
      </w:pPr>
      <w:r w:rsidRPr="00055942">
        <w:t>25.</w:t>
      </w:r>
      <w:r w:rsidRPr="00055942">
        <w:tab/>
        <w:t>σημειώνει ότι η Αρχή συνέχισε το 2022 να λαμβάνει υπόψη τις υπόλοιπες συστάσεις που της έγιναν μετά τον έλεγχο σχετικά με τα «εργαλεία εποπτείας στον τομέα της προστασίας των καταναλωτ</w:t>
      </w:r>
      <w:r w:rsidRPr="00055942">
        <w:t xml:space="preserve">ών» (2019-2020)· σημειώνει επίσης ότι ο εν λόγω έλεγχος είχε ως αποτέλεσμα να διατυπωθούν τέσσερις συστάσεις που ελήφθησαν υπόψη, με αποτέλεσμα δύο συστάσεις να θεωρηθούν επίσημα περατωθείσες από την Υπηρεσία Εσωτερικού Λογιστικού Ελέγχου τον Νοέμβριο του </w:t>
      </w:r>
      <w:r w:rsidRPr="00055942">
        <w:t>2021 και άλλες δύο τον Ιούνιο του 2022·</w:t>
      </w:r>
    </w:p>
    <w:p w:rsidR="006D4BA8" w:rsidRPr="00055942" w:rsidRDefault="001A6C4C" w:rsidP="006D4BA8">
      <w:pPr>
        <w:widowControl/>
        <w:spacing w:after="240"/>
        <w:ind w:left="567" w:hanging="567"/>
        <w:rPr>
          <w:b/>
          <w:i/>
          <w:szCs w:val="24"/>
        </w:rPr>
      </w:pPr>
      <w:r w:rsidRPr="00055942">
        <w:rPr>
          <w:b/>
          <w:i/>
        </w:rPr>
        <w:t>Λοιπά σχόλια</w:t>
      </w:r>
    </w:p>
    <w:p w:rsidR="006D4BA8" w:rsidRPr="00055942" w:rsidRDefault="001A6C4C" w:rsidP="006D4BA8">
      <w:pPr>
        <w:spacing w:after="240"/>
        <w:ind w:left="567" w:hanging="567"/>
        <w:rPr>
          <w:szCs w:val="24"/>
        </w:rPr>
      </w:pPr>
      <w:r w:rsidRPr="00055942">
        <w:t>26.</w:t>
      </w:r>
      <w:r w:rsidRPr="00055942">
        <w:tab/>
        <w:t xml:space="preserve">σημειώνει ότι το 2022 η Αρχή, από κοινού με τις άλλες ευρωπαϊκές εποπτικές αρχές, </w:t>
      </w:r>
      <w:r w:rsidRPr="00055942">
        <w:lastRenderedPageBreak/>
        <w:t>εξέδωσε προειδοποιήσεις προς τους καταναλωτές σχετικά με τις υψηλού κινδύνου και κερδοσκοπικές δραστηριότητες που συν</w:t>
      </w:r>
      <w:r w:rsidRPr="00055942">
        <w:t>δέονται με πολλά κρυπτοστοιχεία·</w:t>
      </w:r>
    </w:p>
    <w:p w:rsidR="006D4BA8" w:rsidRPr="00055942" w:rsidRDefault="001A6C4C" w:rsidP="006D4BA8">
      <w:pPr>
        <w:spacing w:after="240"/>
        <w:ind w:left="567" w:hanging="567"/>
        <w:rPr>
          <w:szCs w:val="24"/>
        </w:rPr>
      </w:pPr>
      <w:r w:rsidRPr="00055942">
        <w:t>27.</w:t>
      </w:r>
      <w:r w:rsidRPr="00055942">
        <w:tab/>
        <w:t>σημειώνει, με βάση τις απαντήσεις της Αρχής στις ερωτήσεις της αρμόδιας για την απαλλαγή αρχής, ότι η Αρχή αξιοποιεί επί του παρόντος τα εργαλεία ηλεκτρονικής υποβολής προσφορών της Επιτροπής (ηλεκτρονική δημοσίευση προ</w:t>
      </w:r>
      <w:r w:rsidRPr="00055942">
        <w:t>κηρύξεων διαγωνισμών, ηλεκτρονική υποβολή προσφορών, ηλεκτρονική τιμολόγηση) ενώ το εργαλείο διαχείρισης των δημόσιων συμβάσεων (PPMT) έχει εν τω μεταξύ τεθεί σε εφαρμογή (από τον Ιούλιο του 2023)· εκφράζει την ικανοποίησή του για το γεγονός ότι οι διαδικα</w:t>
      </w:r>
      <w:r w:rsidRPr="00055942">
        <w:t>σίες υποβολής προσφορών της EIOPA περιλαμβάνουν και οικολογικά κριτήρια, όπου είναι δυνατόν, και ότι όσοι συμμετάσχουν πρέπει να υπογράψουν την υπεύθυνη δήλωση σχετικά με τη συμμόρφωση με τις περιβαλλοντικές και κοινωνικές υποχρεώσεις, μεταξύ άλλων·</w:t>
      </w:r>
    </w:p>
    <w:p w:rsidR="006D4BA8" w:rsidRPr="00055942" w:rsidRDefault="001A6C4C" w:rsidP="006D4BA8">
      <w:pPr>
        <w:spacing w:after="240"/>
        <w:ind w:left="567" w:hanging="567"/>
        <w:rPr>
          <w:szCs w:val="24"/>
        </w:rPr>
      </w:pPr>
      <w:r w:rsidRPr="00055942">
        <w:t>28.</w:t>
      </w:r>
      <w:r w:rsidRPr="00055942">
        <w:tab/>
      </w:r>
      <w:r w:rsidRPr="00055942">
        <w:t xml:space="preserve">σημειώνει ότι, το 2022, η Αρχή δημοσίευσε τα αποτελέσματα των εργασιών της με τη μορφή εκθέσεων, στον ιστότοπό της και στα μέσα κοινωνικής δικτύωσης, οι περισσότερες από τις οποίες συνοδεύονταν από δελτίο Τύπου· εκφράζει την ικανοποίησή του για το γεγονός </w:t>
      </w:r>
      <w:r w:rsidRPr="00055942">
        <w:t>ότι, σε ορισμένες περιπτώσεις, οι εκθέσεις συνοδεύονται επίσης από περιλήψεις, σύντομης διάρκειας βίντεο στα μέσα κοινωνικής δικτύωσης ή σύντομες συνεντεύξεις για την απλούστερη επεξήγηση του περιεχομένου·</w:t>
      </w:r>
    </w:p>
    <w:p w:rsidR="006D4BA8" w:rsidRPr="00055942" w:rsidRDefault="001A6C4C" w:rsidP="006D4BA8">
      <w:pPr>
        <w:pStyle w:val="NormalCenter12a"/>
      </w:pPr>
      <w:r w:rsidRPr="00055942">
        <w:t>°</w:t>
      </w:r>
    </w:p>
    <w:p w:rsidR="006D4BA8" w:rsidRPr="00055942" w:rsidRDefault="001A6C4C" w:rsidP="006D4BA8">
      <w:pPr>
        <w:pStyle w:val="NormalCenter12a"/>
      </w:pPr>
      <w:r w:rsidRPr="00055942">
        <w:t>°</w:t>
      </w:r>
      <w:r w:rsidRPr="00055942">
        <w:tab/>
        <w:t>°</w:t>
      </w:r>
    </w:p>
    <w:p w:rsidR="006D4BA8" w:rsidRPr="00055942" w:rsidRDefault="001A6C4C" w:rsidP="006D4BA8">
      <w:pPr>
        <w:pStyle w:val="NormalHanging12a"/>
      </w:pPr>
      <w:r w:rsidRPr="00055942">
        <w:t>29.</w:t>
      </w:r>
      <w:r w:rsidRPr="00055942">
        <w:tab/>
        <w:t>παραπέμπει, όσον αφορά άλλες παρατηρήσει</w:t>
      </w:r>
      <w:r w:rsidRPr="00055942">
        <w:t>ς οριζόντιου χαρακτήρα που συνοδεύουν την απόφαση απαλλαγής, στο ψήφισμά του της [...] 2024</w:t>
      </w:r>
      <w:r w:rsidRPr="00055942">
        <w:rPr>
          <w:rStyle w:val="FootnoteReference"/>
        </w:rPr>
        <w:footnoteReference w:id="12"/>
      </w:r>
      <w:r w:rsidRPr="00055942">
        <w:t xml:space="preserve"> σχετικά με τις επιδόσεις, τη χρηματοοικονομική διαχείριση και τον έλεγχο των οργανισμών.</w:t>
      </w:r>
    </w:p>
    <w:p w:rsidR="00041AE6" w:rsidRPr="00055942" w:rsidRDefault="00041AE6" w:rsidP="00041AE6"/>
    <w:sectPr w:rsidR="00041AE6" w:rsidRPr="00055942" w:rsidSect="00041AE6">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55942" w:rsidRDefault="001A6C4C">
      <w:r w:rsidRPr="00055942">
        <w:separator/>
      </w:r>
    </w:p>
  </w:endnote>
  <w:endnote w:type="continuationSeparator" w:id="0">
    <w:p w:rsidR="00000000" w:rsidRPr="00055942" w:rsidRDefault="001A6C4C">
      <w:r w:rsidRPr="000559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942" w:rsidRPr="00055942" w:rsidRDefault="00055942" w:rsidP="00055942">
    <w:pPr>
      <w:pStyle w:val="EPFooter"/>
    </w:pPr>
    <w:r w:rsidRPr="00055942">
      <w:t>PE</w:t>
    </w:r>
    <w:r w:rsidRPr="00055942">
      <w:rPr>
        <w:rStyle w:val="HideTWBExt"/>
      </w:rPr>
      <w:t>&lt;NoPE&gt;</w:t>
    </w:r>
    <w:r w:rsidRPr="00055942">
      <w:t>753.521</w:t>
    </w:r>
    <w:r w:rsidRPr="00055942">
      <w:rPr>
        <w:rStyle w:val="HideTWBExt"/>
      </w:rPr>
      <w:t>&lt;/NoPE&gt;&lt;Version&gt;</w:t>
    </w:r>
    <w:r w:rsidRPr="00055942">
      <w:t>v01-00</w:t>
    </w:r>
    <w:r w:rsidRPr="00055942">
      <w:rPr>
        <w:rStyle w:val="HideTWBExt"/>
      </w:rPr>
      <w:t>&lt;/Version&gt;</w:t>
    </w:r>
    <w:r w:rsidRPr="00055942">
      <w:tab/>
    </w:r>
    <w:r w:rsidRPr="00055942">
      <w:fldChar w:fldCharType="begin"/>
    </w:r>
    <w:r w:rsidRPr="00055942">
      <w:instrText xml:space="preserve"> PAGE  \* MERGEFORMAT </w:instrText>
    </w:r>
    <w:r w:rsidRPr="00055942">
      <w:fldChar w:fldCharType="separate"/>
    </w:r>
    <w:r w:rsidR="001A6C4C">
      <w:rPr>
        <w:noProof/>
      </w:rPr>
      <w:t>4</w:t>
    </w:r>
    <w:r w:rsidRPr="00055942">
      <w:fldChar w:fldCharType="end"/>
    </w:r>
    <w:r w:rsidRPr="00055942">
      <w:t>/</w:t>
    </w:r>
    <w:fldSimple w:instr=" NUMPAGES  \* MERGEFORMAT ">
      <w:r w:rsidR="001A6C4C">
        <w:rPr>
          <w:noProof/>
        </w:rPr>
        <w:t>13</w:t>
      </w:r>
    </w:fldSimple>
    <w:r w:rsidRPr="00055942">
      <w:tab/>
    </w:r>
    <w:r w:rsidRPr="00055942">
      <w:rPr>
        <w:rStyle w:val="HideTWBExt"/>
      </w:rPr>
      <w:t>&lt;PathFdR&gt;</w:t>
    </w:r>
    <w:r w:rsidRPr="00055942">
      <w:t>PR\1286148EL.docx</w:t>
    </w:r>
    <w:r w:rsidRPr="00055942">
      <w:rPr>
        <w:rStyle w:val="HideTWBExt"/>
      </w:rPr>
      <w:t>&lt;/PathFdR&gt;</w:t>
    </w:r>
  </w:p>
  <w:p w:rsidR="00041AE6" w:rsidRPr="00055942" w:rsidRDefault="00055942" w:rsidP="00055942">
    <w:pPr>
      <w:pStyle w:val="EPFooter2"/>
    </w:pPr>
    <w:r w:rsidRPr="00055942">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942" w:rsidRPr="00055942" w:rsidRDefault="00055942" w:rsidP="00055942">
    <w:pPr>
      <w:pStyle w:val="EPFooter"/>
    </w:pPr>
    <w:r w:rsidRPr="00055942">
      <w:rPr>
        <w:rStyle w:val="HideTWBExt"/>
      </w:rPr>
      <w:t>&lt;PathFdR&gt;</w:t>
    </w:r>
    <w:r w:rsidRPr="00055942">
      <w:t>PR\1286148EL.docx</w:t>
    </w:r>
    <w:r w:rsidRPr="00055942">
      <w:rPr>
        <w:rStyle w:val="HideTWBExt"/>
      </w:rPr>
      <w:t>&lt;/PathFdR&gt;</w:t>
    </w:r>
    <w:r w:rsidRPr="00055942">
      <w:tab/>
    </w:r>
    <w:r w:rsidRPr="00055942">
      <w:fldChar w:fldCharType="begin"/>
    </w:r>
    <w:r w:rsidRPr="00055942">
      <w:instrText xml:space="preserve"> PAGE  \* MERGEFORMAT </w:instrText>
    </w:r>
    <w:r w:rsidRPr="00055942">
      <w:fldChar w:fldCharType="separate"/>
    </w:r>
    <w:r w:rsidR="001A6C4C">
      <w:rPr>
        <w:noProof/>
      </w:rPr>
      <w:t>3</w:t>
    </w:r>
    <w:r w:rsidRPr="00055942">
      <w:fldChar w:fldCharType="end"/>
    </w:r>
    <w:r w:rsidRPr="00055942">
      <w:t>/</w:t>
    </w:r>
    <w:fldSimple w:instr=" NUMPAGES  \* MERGEFORMAT ">
      <w:r w:rsidR="001A6C4C">
        <w:rPr>
          <w:noProof/>
        </w:rPr>
        <w:t>13</w:t>
      </w:r>
    </w:fldSimple>
    <w:r w:rsidRPr="00055942">
      <w:tab/>
      <w:t>PE</w:t>
    </w:r>
    <w:r w:rsidRPr="00055942">
      <w:rPr>
        <w:rStyle w:val="HideTWBExt"/>
      </w:rPr>
      <w:t>&lt;NoPE&gt;</w:t>
    </w:r>
    <w:r w:rsidRPr="00055942">
      <w:t>753.521</w:t>
    </w:r>
    <w:r w:rsidRPr="00055942">
      <w:rPr>
        <w:rStyle w:val="HideTWBExt"/>
      </w:rPr>
      <w:t>&lt;/NoPE&gt;&lt;Version&gt;</w:t>
    </w:r>
    <w:r w:rsidRPr="00055942">
      <w:t>v01-00</w:t>
    </w:r>
    <w:r w:rsidRPr="00055942">
      <w:rPr>
        <w:rStyle w:val="HideTWBExt"/>
      </w:rPr>
      <w:t>&lt;/Version&gt;</w:t>
    </w:r>
  </w:p>
  <w:p w:rsidR="00041AE6" w:rsidRPr="00055942" w:rsidRDefault="00055942" w:rsidP="00055942">
    <w:pPr>
      <w:pStyle w:val="EPFooter2"/>
    </w:pPr>
    <w:r w:rsidRPr="00055942">
      <w:tab/>
    </w:r>
    <w:r w:rsidRPr="00055942">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942" w:rsidRPr="00055942" w:rsidRDefault="00055942" w:rsidP="00055942">
    <w:pPr>
      <w:pStyle w:val="EPFooter"/>
    </w:pPr>
    <w:r w:rsidRPr="00055942">
      <w:rPr>
        <w:rStyle w:val="HideTWBExt"/>
      </w:rPr>
      <w:t>&lt;PathFdR&gt;</w:t>
    </w:r>
    <w:r w:rsidRPr="00055942">
      <w:t>PR\1286148EL.docx</w:t>
    </w:r>
    <w:r w:rsidRPr="00055942">
      <w:rPr>
        <w:rStyle w:val="HideTWBExt"/>
      </w:rPr>
      <w:t>&lt;/PathFdR&gt;</w:t>
    </w:r>
    <w:r w:rsidRPr="00055942">
      <w:tab/>
    </w:r>
    <w:r w:rsidRPr="00055942">
      <w:tab/>
      <w:t>PE</w:t>
    </w:r>
    <w:r w:rsidRPr="00055942">
      <w:rPr>
        <w:rStyle w:val="HideTWBExt"/>
      </w:rPr>
      <w:t>&lt;NoPE&gt;</w:t>
    </w:r>
    <w:r w:rsidRPr="00055942">
      <w:t>753.521</w:t>
    </w:r>
    <w:r w:rsidRPr="00055942">
      <w:rPr>
        <w:rStyle w:val="HideTWBExt"/>
      </w:rPr>
      <w:t>&lt;/NoPE&gt;&lt;Version&gt;</w:t>
    </w:r>
    <w:r w:rsidRPr="00055942">
      <w:t>v01-00</w:t>
    </w:r>
    <w:r w:rsidRPr="00055942">
      <w:rPr>
        <w:rStyle w:val="HideTWBExt"/>
      </w:rPr>
      <w:t>&lt;/Version&gt;</w:t>
    </w:r>
  </w:p>
  <w:p w:rsidR="00041AE6" w:rsidRPr="00055942" w:rsidRDefault="00055942" w:rsidP="00055942">
    <w:pPr>
      <w:pStyle w:val="EPFooter2"/>
    </w:pPr>
    <w:r w:rsidRPr="00055942">
      <w:t>EL</w:t>
    </w:r>
    <w:r w:rsidRPr="00055942">
      <w:tab/>
    </w:r>
    <w:r w:rsidRPr="00055942">
      <w:rPr>
        <w:b w:val="0"/>
        <w:i/>
        <w:color w:val="C0C0C0"/>
        <w:sz w:val="22"/>
      </w:rPr>
      <w:t>Ενωμένη στην πολυμορφία</w:t>
    </w:r>
    <w:r w:rsidRPr="00055942">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055942" w:rsidRDefault="001A6C4C" w:rsidP="001A54A8">
    <w:pPr>
      <w:pStyle w:val="EPFooter"/>
    </w:pPr>
    <w:r w:rsidRPr="00055942">
      <w:rPr>
        <w:rStyle w:val="HideTWBExt"/>
      </w:rPr>
      <w:t>&lt;PathFdR&gt;</w:t>
    </w:r>
    <w:r w:rsidR="007F18B5" w:rsidRPr="00055942">
      <w:t>PR\1286148EN.docx</w:t>
    </w:r>
    <w:r w:rsidRPr="00055942">
      <w:rPr>
        <w:rStyle w:val="HideTWBExt"/>
      </w:rPr>
      <w:t>&lt;/PathFdR&gt;</w:t>
    </w:r>
    <w:r w:rsidRPr="00055942">
      <w:tab/>
    </w:r>
    <w:r w:rsidRPr="00055942">
      <w:tab/>
      <w:t>PE</w:t>
    </w:r>
    <w:r w:rsidRPr="00055942">
      <w:rPr>
        <w:rStyle w:val="HideTWBExt"/>
      </w:rPr>
      <w:t>&lt;NoPE&gt;</w:t>
    </w:r>
    <w:r w:rsidR="007F18B5" w:rsidRPr="00055942">
      <w:t>753.521</w:t>
    </w:r>
    <w:r w:rsidRPr="00055942">
      <w:rPr>
        <w:rStyle w:val="HideTWBExt"/>
      </w:rPr>
      <w:t>&lt;/NoPE&gt;&lt;Version&gt;</w:t>
    </w:r>
    <w:r w:rsidR="00E95A82" w:rsidRPr="00055942">
      <w:t>v</w:t>
    </w:r>
    <w:r w:rsidR="007F18B5" w:rsidRPr="00055942">
      <w:t>01-00</w:t>
    </w:r>
    <w:r w:rsidRPr="00055942">
      <w:rPr>
        <w:rStyle w:val="HideTWBExt"/>
      </w:rPr>
      <w:t>&lt;/Version&gt;</w:t>
    </w:r>
  </w:p>
  <w:p w:rsidR="00390068" w:rsidRPr="00055942" w:rsidRDefault="001A6C4C" w:rsidP="00390068">
    <w:pPr>
      <w:pStyle w:val="EPFooter2"/>
      <w:tabs>
        <w:tab w:val="clear" w:pos="4535"/>
        <w:tab w:val="center" w:pos="4536"/>
      </w:tabs>
    </w:pPr>
    <w:r w:rsidRPr="00055942">
      <w:fldChar w:fldCharType="begin"/>
    </w:r>
    <w:r w:rsidRPr="00055942">
      <w:instrText xml:space="preserve"> DOCPROPERTY "&lt;Extension&gt;" </w:instrText>
    </w:r>
    <w:r w:rsidRPr="00055942">
      <w:fldChar w:fldCharType="separate"/>
    </w:r>
    <w:r>
      <w:t>EL</w:t>
    </w:r>
    <w:r w:rsidRPr="00055942">
      <w:fldChar w:fldCharType="end"/>
    </w:r>
    <w:r w:rsidRPr="00055942">
      <w:tab/>
    </w:r>
    <w:r w:rsidR="007F18B5" w:rsidRPr="00055942">
      <w:rPr>
        <w:b w:val="0"/>
        <w:i/>
        <w:color w:val="C0C0C0"/>
        <w:sz w:val="22"/>
        <w:szCs w:val="22"/>
      </w:rPr>
      <w:t>United in diversity</w:t>
    </w:r>
    <w:r w:rsidRPr="00055942">
      <w:tab/>
    </w:r>
    <w:r w:rsidRPr="00055942">
      <w:fldChar w:fldCharType="begin"/>
    </w:r>
    <w:r w:rsidRPr="00055942">
      <w:instrText xml:space="preserve"> DOCPROPERTY "&lt;Extension&gt;" </w:instrText>
    </w:r>
    <w:r w:rsidRPr="00055942">
      <w:fldChar w:fldCharType="separate"/>
    </w:r>
    <w:r>
      <w:t>EL</w:t>
    </w:r>
    <w:r w:rsidRPr="0005594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A82" w:rsidRPr="00055942" w:rsidRDefault="001A6C4C">
      <w:r w:rsidRPr="00055942">
        <w:separator/>
      </w:r>
    </w:p>
  </w:footnote>
  <w:footnote w:type="continuationSeparator" w:id="0">
    <w:p w:rsidR="00E95A82" w:rsidRPr="00055942" w:rsidRDefault="001A6C4C">
      <w:r w:rsidRPr="00055942">
        <w:continuationSeparator/>
      </w:r>
    </w:p>
  </w:footnote>
  <w:footnote w:id="1">
    <w:p w:rsidR="00041AE6" w:rsidRPr="00055942" w:rsidRDefault="001A6C4C" w:rsidP="00041AE6">
      <w:pPr>
        <w:pStyle w:val="FootnoteText"/>
        <w:ind w:left="567" w:hanging="567"/>
      </w:pPr>
      <w:r w:rsidRPr="00055942">
        <w:rPr>
          <w:rStyle w:val="FootnoteReference"/>
        </w:rPr>
        <w:footnoteRef/>
      </w:r>
      <w:r w:rsidRPr="00055942">
        <w:t xml:space="preserve"> ΕΕ C, C/2023/594, 27.10.2023.</w:t>
      </w:r>
    </w:p>
  </w:footnote>
  <w:footnote w:id="2">
    <w:p w:rsidR="00041AE6" w:rsidRPr="00055942" w:rsidRDefault="001A6C4C" w:rsidP="00041AE6">
      <w:pPr>
        <w:pStyle w:val="FootnoteText"/>
        <w:ind w:left="567" w:hanging="567"/>
      </w:pPr>
      <w:r w:rsidRPr="00055942">
        <w:rPr>
          <w:rStyle w:val="FootnoteReference"/>
        </w:rPr>
        <w:footnoteRef/>
      </w:r>
      <w:r w:rsidRPr="00055942">
        <w:t xml:space="preserve"> ΕΕ C, C/2023/112, 2.10.2023.</w:t>
      </w:r>
    </w:p>
  </w:footnote>
  <w:footnote w:id="3">
    <w:p w:rsidR="00041AE6" w:rsidRPr="00055942" w:rsidRDefault="001A6C4C" w:rsidP="00041AE6">
      <w:pPr>
        <w:pStyle w:val="FootnoteText"/>
        <w:ind w:left="567" w:hanging="567"/>
      </w:pPr>
      <w:r w:rsidRPr="00055942">
        <w:rPr>
          <w:rStyle w:val="FootnoteReference"/>
        </w:rPr>
        <w:footnoteRef/>
      </w:r>
      <w:r w:rsidRPr="00055942">
        <w:t xml:space="preserve"> ΕΕ L 193 της 30.7.2018, σ. 1.</w:t>
      </w:r>
    </w:p>
  </w:footnote>
  <w:footnote w:id="4">
    <w:p w:rsidR="00041AE6" w:rsidRPr="00055942" w:rsidRDefault="001A6C4C" w:rsidP="00041AE6">
      <w:pPr>
        <w:pStyle w:val="FootnoteText"/>
        <w:ind w:left="567" w:hanging="567"/>
      </w:pPr>
      <w:r w:rsidRPr="00055942">
        <w:rPr>
          <w:rStyle w:val="FootnoteReference"/>
        </w:rPr>
        <w:footnoteRef/>
      </w:r>
      <w:r w:rsidRPr="00055942">
        <w:t xml:space="preserve"> ΕΕ L 331 της 15.12.2010, σ. 48</w:t>
      </w:r>
    </w:p>
  </w:footnote>
  <w:footnote w:id="5">
    <w:p w:rsidR="00041AE6" w:rsidRPr="00055942" w:rsidRDefault="001A6C4C" w:rsidP="00041AE6">
      <w:pPr>
        <w:pStyle w:val="FootnoteText"/>
        <w:ind w:left="567" w:hanging="567"/>
        <w:rPr>
          <w:sz w:val="24"/>
          <w:szCs w:val="24"/>
        </w:rPr>
      </w:pPr>
      <w:r w:rsidRPr="00055942">
        <w:rPr>
          <w:rStyle w:val="FootnoteReference"/>
        </w:rPr>
        <w:footnoteRef/>
      </w:r>
      <w:r w:rsidRPr="00055942">
        <w:t xml:space="preserve"> ΕΕ L 122 της 10.5.2019, σ. 1.</w:t>
      </w:r>
    </w:p>
  </w:footnote>
  <w:footnote w:id="6">
    <w:p w:rsidR="00041AE6" w:rsidRPr="00055942" w:rsidRDefault="001A6C4C" w:rsidP="00041AE6">
      <w:pPr>
        <w:pStyle w:val="FootnoteText"/>
        <w:ind w:left="567" w:hanging="567"/>
      </w:pPr>
      <w:r w:rsidRPr="00055942">
        <w:rPr>
          <w:rStyle w:val="FootnoteReference"/>
        </w:rPr>
        <w:footnoteRef/>
      </w:r>
      <w:r w:rsidRPr="00055942">
        <w:t xml:space="preserve"> ΕΕ C, C/2023/594, 27.10.2023.</w:t>
      </w:r>
    </w:p>
  </w:footnote>
  <w:footnote w:id="7">
    <w:p w:rsidR="00041AE6" w:rsidRPr="00055942" w:rsidRDefault="001A6C4C" w:rsidP="00041AE6">
      <w:pPr>
        <w:pStyle w:val="FootnoteText"/>
        <w:ind w:left="567" w:hanging="567"/>
      </w:pPr>
      <w:r w:rsidRPr="00055942">
        <w:rPr>
          <w:rStyle w:val="FootnoteReference"/>
        </w:rPr>
        <w:footnoteRef/>
      </w:r>
      <w:r w:rsidRPr="00055942">
        <w:t xml:space="preserve"> ΕΕ C, C/2023/112, 12.10.2023.</w:t>
      </w:r>
    </w:p>
  </w:footnote>
  <w:footnote w:id="8">
    <w:p w:rsidR="00041AE6" w:rsidRPr="00055942" w:rsidRDefault="001A6C4C" w:rsidP="00041AE6">
      <w:pPr>
        <w:pStyle w:val="FootnoteText"/>
        <w:ind w:left="567" w:hanging="567"/>
      </w:pPr>
      <w:r w:rsidRPr="00055942">
        <w:rPr>
          <w:rStyle w:val="FootnoteReference"/>
        </w:rPr>
        <w:footnoteRef/>
      </w:r>
      <w:r w:rsidRPr="00055942">
        <w:t xml:space="preserve"> ΕΕ L 193 της 30.7.2018, σ. 1.</w:t>
      </w:r>
    </w:p>
  </w:footnote>
  <w:footnote w:id="9">
    <w:p w:rsidR="00041AE6" w:rsidRPr="00055942" w:rsidRDefault="001A6C4C" w:rsidP="00041AE6">
      <w:pPr>
        <w:pStyle w:val="FootnoteText"/>
        <w:ind w:left="567" w:hanging="567"/>
      </w:pPr>
      <w:r w:rsidRPr="00055942">
        <w:rPr>
          <w:rStyle w:val="FootnoteReference"/>
        </w:rPr>
        <w:footnoteRef/>
      </w:r>
      <w:r w:rsidRPr="00055942">
        <w:t xml:space="preserve"> ΕΕ L 331 της 15.12.2010, σ. 48</w:t>
      </w:r>
    </w:p>
  </w:footnote>
  <w:footnote w:id="10">
    <w:p w:rsidR="00041AE6" w:rsidRPr="00055942" w:rsidRDefault="001A6C4C" w:rsidP="00041AE6">
      <w:pPr>
        <w:pStyle w:val="FootnoteText"/>
        <w:ind w:left="567" w:hanging="567"/>
        <w:rPr>
          <w:sz w:val="24"/>
          <w:szCs w:val="24"/>
        </w:rPr>
      </w:pPr>
      <w:r w:rsidRPr="00055942">
        <w:rPr>
          <w:rStyle w:val="FootnoteReference"/>
        </w:rPr>
        <w:footnoteRef/>
      </w:r>
      <w:r w:rsidRPr="00055942">
        <w:t xml:space="preserve"> ΕΕ L 122 της 10.5.2019, σ. 1.</w:t>
      </w:r>
    </w:p>
  </w:footnote>
  <w:footnote w:id="11">
    <w:p w:rsidR="006D4BA8" w:rsidRPr="00055942" w:rsidRDefault="001A6C4C" w:rsidP="006D4BA8">
      <w:pPr>
        <w:pStyle w:val="FootnoteText"/>
      </w:pPr>
      <w:r w:rsidRPr="00055942">
        <w:rPr>
          <w:rStyle w:val="FootnoteReference"/>
        </w:rPr>
        <w:footnoteRef/>
      </w:r>
      <w:r w:rsidRPr="00055942">
        <w:t xml:space="preserve"> ΕΕ C 38 της 31.1.2023, σ. 78.</w:t>
      </w:r>
    </w:p>
  </w:footnote>
  <w:footnote w:id="12">
    <w:p w:rsidR="006D4BA8" w:rsidRPr="00055942" w:rsidRDefault="001A6C4C" w:rsidP="006D4BA8">
      <w:pPr>
        <w:pStyle w:val="FootnoteText"/>
      </w:pPr>
      <w:r w:rsidRPr="00055942">
        <w:rPr>
          <w:rStyle w:val="FootnoteReference"/>
        </w:rPr>
        <w:footnoteRef/>
      </w:r>
      <w:r w:rsidRPr="00055942">
        <w:t xml:space="preserve"> Κείμενα που εγκρίθηκαν, P9_TA (2024)0000.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C4C" w:rsidRDefault="001A6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C4C" w:rsidRDefault="001A6C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C4C" w:rsidRDefault="001A6C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0E8833E">
      <w:start w:val="1"/>
      <w:numFmt w:val="upperLetter"/>
      <w:lvlText w:val="%1."/>
      <w:lvlJc w:val="left"/>
      <w:pPr>
        <w:tabs>
          <w:tab w:val="num" w:pos="360"/>
        </w:tabs>
        <w:ind w:left="360" w:hanging="360"/>
      </w:pPr>
      <w:rPr>
        <w:rFonts w:hint="default"/>
      </w:rPr>
    </w:lvl>
    <w:lvl w:ilvl="1" w:tplc="84540672" w:tentative="1">
      <w:start w:val="1"/>
      <w:numFmt w:val="lowerLetter"/>
      <w:lvlText w:val="%2."/>
      <w:lvlJc w:val="left"/>
      <w:pPr>
        <w:tabs>
          <w:tab w:val="num" w:pos="1080"/>
        </w:tabs>
        <w:ind w:left="1080" w:hanging="360"/>
      </w:pPr>
    </w:lvl>
    <w:lvl w:ilvl="2" w:tplc="7CD43E22" w:tentative="1">
      <w:start w:val="1"/>
      <w:numFmt w:val="lowerRoman"/>
      <w:lvlText w:val="%3."/>
      <w:lvlJc w:val="right"/>
      <w:pPr>
        <w:tabs>
          <w:tab w:val="num" w:pos="1800"/>
        </w:tabs>
        <w:ind w:left="1800" w:hanging="180"/>
      </w:pPr>
    </w:lvl>
    <w:lvl w:ilvl="3" w:tplc="1212AAD6" w:tentative="1">
      <w:start w:val="1"/>
      <w:numFmt w:val="decimal"/>
      <w:lvlText w:val="%4."/>
      <w:lvlJc w:val="left"/>
      <w:pPr>
        <w:tabs>
          <w:tab w:val="num" w:pos="2520"/>
        </w:tabs>
        <w:ind w:left="2520" w:hanging="360"/>
      </w:pPr>
    </w:lvl>
    <w:lvl w:ilvl="4" w:tplc="5A4A22F4" w:tentative="1">
      <w:start w:val="1"/>
      <w:numFmt w:val="lowerLetter"/>
      <w:lvlText w:val="%5."/>
      <w:lvlJc w:val="left"/>
      <w:pPr>
        <w:tabs>
          <w:tab w:val="num" w:pos="3240"/>
        </w:tabs>
        <w:ind w:left="3240" w:hanging="360"/>
      </w:pPr>
    </w:lvl>
    <w:lvl w:ilvl="5" w:tplc="4F26C7E4" w:tentative="1">
      <w:start w:val="1"/>
      <w:numFmt w:val="lowerRoman"/>
      <w:lvlText w:val="%6."/>
      <w:lvlJc w:val="right"/>
      <w:pPr>
        <w:tabs>
          <w:tab w:val="num" w:pos="3960"/>
        </w:tabs>
        <w:ind w:left="3960" w:hanging="180"/>
      </w:pPr>
    </w:lvl>
    <w:lvl w:ilvl="6" w:tplc="10B6645C" w:tentative="1">
      <w:start w:val="1"/>
      <w:numFmt w:val="decimal"/>
      <w:lvlText w:val="%7."/>
      <w:lvlJc w:val="left"/>
      <w:pPr>
        <w:tabs>
          <w:tab w:val="num" w:pos="4680"/>
        </w:tabs>
        <w:ind w:left="4680" w:hanging="360"/>
      </w:pPr>
    </w:lvl>
    <w:lvl w:ilvl="7" w:tplc="81F2B65E" w:tentative="1">
      <w:start w:val="1"/>
      <w:numFmt w:val="lowerLetter"/>
      <w:lvlText w:val="%8."/>
      <w:lvlJc w:val="left"/>
      <w:pPr>
        <w:tabs>
          <w:tab w:val="num" w:pos="5400"/>
        </w:tabs>
        <w:ind w:left="5400" w:hanging="360"/>
      </w:pPr>
    </w:lvl>
    <w:lvl w:ilvl="8" w:tplc="C8807D5A"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7562AF40">
      <w:start w:val="1"/>
      <w:numFmt w:val="decimal"/>
      <w:lvlText w:val="%1."/>
      <w:lvlJc w:val="left"/>
      <w:pPr>
        <w:tabs>
          <w:tab w:val="num" w:pos="720"/>
        </w:tabs>
        <w:ind w:left="720" w:hanging="360"/>
      </w:pPr>
    </w:lvl>
    <w:lvl w:ilvl="1" w:tplc="96B05142" w:tentative="1">
      <w:start w:val="1"/>
      <w:numFmt w:val="lowerLetter"/>
      <w:lvlText w:val="%2."/>
      <w:lvlJc w:val="left"/>
      <w:pPr>
        <w:tabs>
          <w:tab w:val="num" w:pos="1440"/>
        </w:tabs>
        <w:ind w:left="1440" w:hanging="360"/>
      </w:pPr>
    </w:lvl>
    <w:lvl w:ilvl="2" w:tplc="B2481CB0" w:tentative="1">
      <w:start w:val="1"/>
      <w:numFmt w:val="lowerRoman"/>
      <w:lvlText w:val="%3."/>
      <w:lvlJc w:val="right"/>
      <w:pPr>
        <w:tabs>
          <w:tab w:val="num" w:pos="2160"/>
        </w:tabs>
        <w:ind w:left="2160" w:hanging="180"/>
      </w:pPr>
    </w:lvl>
    <w:lvl w:ilvl="3" w:tplc="F4A28650" w:tentative="1">
      <w:start w:val="1"/>
      <w:numFmt w:val="decimal"/>
      <w:lvlText w:val="%4."/>
      <w:lvlJc w:val="left"/>
      <w:pPr>
        <w:tabs>
          <w:tab w:val="num" w:pos="2880"/>
        </w:tabs>
        <w:ind w:left="2880" w:hanging="360"/>
      </w:pPr>
    </w:lvl>
    <w:lvl w:ilvl="4" w:tplc="27228AC8" w:tentative="1">
      <w:start w:val="1"/>
      <w:numFmt w:val="lowerLetter"/>
      <w:lvlText w:val="%5."/>
      <w:lvlJc w:val="left"/>
      <w:pPr>
        <w:tabs>
          <w:tab w:val="num" w:pos="3600"/>
        </w:tabs>
        <w:ind w:left="3600" w:hanging="360"/>
      </w:pPr>
    </w:lvl>
    <w:lvl w:ilvl="5" w:tplc="9A52C462" w:tentative="1">
      <w:start w:val="1"/>
      <w:numFmt w:val="lowerRoman"/>
      <w:lvlText w:val="%6."/>
      <w:lvlJc w:val="right"/>
      <w:pPr>
        <w:tabs>
          <w:tab w:val="num" w:pos="4320"/>
        </w:tabs>
        <w:ind w:left="4320" w:hanging="180"/>
      </w:pPr>
    </w:lvl>
    <w:lvl w:ilvl="6" w:tplc="7C4CDE1E" w:tentative="1">
      <w:start w:val="1"/>
      <w:numFmt w:val="decimal"/>
      <w:lvlText w:val="%7."/>
      <w:lvlJc w:val="left"/>
      <w:pPr>
        <w:tabs>
          <w:tab w:val="num" w:pos="5040"/>
        </w:tabs>
        <w:ind w:left="5040" w:hanging="360"/>
      </w:pPr>
    </w:lvl>
    <w:lvl w:ilvl="7" w:tplc="D09A32BE" w:tentative="1">
      <w:start w:val="1"/>
      <w:numFmt w:val="lowerLetter"/>
      <w:lvlText w:val="%8."/>
      <w:lvlJc w:val="left"/>
      <w:pPr>
        <w:tabs>
          <w:tab w:val="num" w:pos="5760"/>
        </w:tabs>
        <w:ind w:left="5760" w:hanging="360"/>
      </w:pPr>
    </w:lvl>
    <w:lvl w:ilvl="8" w:tplc="E942341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CISIONMNU" w:val=" 3"/>
    <w:docVar w:name="FN1DT" w:val="..."/>
    <w:docVar w:name="FN2DT" w:val="..."/>
    <w:docVar w:name="LastEditedSection" w:val=" 1"/>
    <w:docVar w:name="LETTERSMNU" w:val=" 3"/>
    <w:docVar w:name="OBSERVATIONSMNU" w:val=" 1"/>
    <w:docVar w:name="OPIN1KEY" w:val="EMPL"/>
    <w:docVar w:name="OPINIONSMNU" w:val=" 1"/>
    <w:docVar w:name="POSITIONSMNU" w:val=" 3"/>
    <w:docVar w:name="STOREDT" w:val="..."/>
    <w:docVar w:name="strDocTypeID" w:val="PR_DEC_Agencies"/>
    <w:docVar w:name="strSubDir" w:val="1286"/>
    <w:docVar w:name="TITLEMNU" w:val=" 14"/>
    <w:docVar w:name="TXTBUDYEAR" w:val="2022"/>
    <w:docVar w:name="TXTFN1" w:val="…"/>
    <w:docVar w:name="TXTFN2" w:val="…"/>
    <w:docVar w:name="TXTLANGUE" w:val="EN"/>
    <w:docVar w:name="TXTLANGUEMIN" w:val="en"/>
    <w:docVar w:name="TXTNRC" w:val="0000/2024"/>
    <w:docVar w:name="TXTNRCOUNC" w:val="00000/2024"/>
    <w:docVar w:name="TXTNRDEC" w:val="2023/2153"/>
    <w:docVar w:name="TXTNRPE" w:val="753.521"/>
    <w:docVar w:name="TXTNRTA" w:val="(2024)0000"/>
    <w:docVar w:name="TXTPEorAP" w:val="PE"/>
    <w:docVar w:name="TXTPG1" w:val="…"/>
    <w:docVar w:name="TXTPG2" w:val="…"/>
    <w:docVar w:name="TXTROUTE" w:val="PR\1286148EN.docx"/>
    <w:docVar w:name="TXTVERSION" w:val="01-00"/>
  </w:docVars>
  <w:rsids>
    <w:rsidRoot w:val="00E95A82"/>
    <w:rsid w:val="00002C51"/>
    <w:rsid w:val="00041AE6"/>
    <w:rsid w:val="00055942"/>
    <w:rsid w:val="00064DFF"/>
    <w:rsid w:val="00090E0B"/>
    <w:rsid w:val="00093163"/>
    <w:rsid w:val="000A05D5"/>
    <w:rsid w:val="000A48E0"/>
    <w:rsid w:val="000B47E5"/>
    <w:rsid w:val="00104CB9"/>
    <w:rsid w:val="001150DB"/>
    <w:rsid w:val="00116CB4"/>
    <w:rsid w:val="00150EC1"/>
    <w:rsid w:val="0017746B"/>
    <w:rsid w:val="001A54A8"/>
    <w:rsid w:val="001A6C4C"/>
    <w:rsid w:val="001B4494"/>
    <w:rsid w:val="001E1032"/>
    <w:rsid w:val="00202D84"/>
    <w:rsid w:val="002377CC"/>
    <w:rsid w:val="002421F7"/>
    <w:rsid w:val="002443C0"/>
    <w:rsid w:val="002502C8"/>
    <w:rsid w:val="00253648"/>
    <w:rsid w:val="00256BE3"/>
    <w:rsid w:val="00276092"/>
    <w:rsid w:val="002D1E60"/>
    <w:rsid w:val="002D6EA9"/>
    <w:rsid w:val="0031254A"/>
    <w:rsid w:val="00320A9A"/>
    <w:rsid w:val="003315AF"/>
    <w:rsid w:val="00336524"/>
    <w:rsid w:val="003369E3"/>
    <w:rsid w:val="00340842"/>
    <w:rsid w:val="00381864"/>
    <w:rsid w:val="00390068"/>
    <w:rsid w:val="003D353C"/>
    <w:rsid w:val="003E25A9"/>
    <w:rsid w:val="003E6AFB"/>
    <w:rsid w:val="003E735B"/>
    <w:rsid w:val="003E7C73"/>
    <w:rsid w:val="003F0E64"/>
    <w:rsid w:val="003F229D"/>
    <w:rsid w:val="00413713"/>
    <w:rsid w:val="004532FF"/>
    <w:rsid w:val="004651E1"/>
    <w:rsid w:val="004749EC"/>
    <w:rsid w:val="004A34BF"/>
    <w:rsid w:val="004A480C"/>
    <w:rsid w:val="004C6C3F"/>
    <w:rsid w:val="004C70BD"/>
    <w:rsid w:val="004D13BA"/>
    <w:rsid w:val="0050312B"/>
    <w:rsid w:val="00507D7F"/>
    <w:rsid w:val="005477C9"/>
    <w:rsid w:val="00550863"/>
    <w:rsid w:val="00550E6B"/>
    <w:rsid w:val="00564DB0"/>
    <w:rsid w:val="005A3D7F"/>
    <w:rsid w:val="005A5191"/>
    <w:rsid w:val="005A6CAE"/>
    <w:rsid w:val="005B2950"/>
    <w:rsid w:val="005C689E"/>
    <w:rsid w:val="005D3E9F"/>
    <w:rsid w:val="005E49E1"/>
    <w:rsid w:val="005E6A67"/>
    <w:rsid w:val="005E7E89"/>
    <w:rsid w:val="005F367B"/>
    <w:rsid w:val="005F6B87"/>
    <w:rsid w:val="00611C37"/>
    <w:rsid w:val="0063324A"/>
    <w:rsid w:val="00643EBE"/>
    <w:rsid w:val="0066045F"/>
    <w:rsid w:val="00671F88"/>
    <w:rsid w:val="006835EB"/>
    <w:rsid w:val="00686BB9"/>
    <w:rsid w:val="00693FF3"/>
    <w:rsid w:val="0069786A"/>
    <w:rsid w:val="006B0ED0"/>
    <w:rsid w:val="006D37D7"/>
    <w:rsid w:val="006D4BA8"/>
    <w:rsid w:val="006D5743"/>
    <w:rsid w:val="006E740E"/>
    <w:rsid w:val="00706383"/>
    <w:rsid w:val="00732E95"/>
    <w:rsid w:val="0074734C"/>
    <w:rsid w:val="00784758"/>
    <w:rsid w:val="007A4AC9"/>
    <w:rsid w:val="007B4901"/>
    <w:rsid w:val="007C3B7E"/>
    <w:rsid w:val="007C7DE0"/>
    <w:rsid w:val="007D1E61"/>
    <w:rsid w:val="007E2834"/>
    <w:rsid w:val="007F18B5"/>
    <w:rsid w:val="007F713D"/>
    <w:rsid w:val="0081446A"/>
    <w:rsid w:val="00837B2B"/>
    <w:rsid w:val="00841D8C"/>
    <w:rsid w:val="0085038E"/>
    <w:rsid w:val="00895F7F"/>
    <w:rsid w:val="008A23A3"/>
    <w:rsid w:val="008D2063"/>
    <w:rsid w:val="00916826"/>
    <w:rsid w:val="009347E5"/>
    <w:rsid w:val="009378F5"/>
    <w:rsid w:val="00947D32"/>
    <w:rsid w:val="009807D1"/>
    <w:rsid w:val="009A1AE4"/>
    <w:rsid w:val="009B566F"/>
    <w:rsid w:val="009B6E2F"/>
    <w:rsid w:val="009C06C9"/>
    <w:rsid w:val="009C4C82"/>
    <w:rsid w:val="009F1C87"/>
    <w:rsid w:val="009F2DD4"/>
    <w:rsid w:val="00A273FA"/>
    <w:rsid w:val="00A35902"/>
    <w:rsid w:val="00A84FF1"/>
    <w:rsid w:val="00A92249"/>
    <w:rsid w:val="00A95064"/>
    <w:rsid w:val="00AB4789"/>
    <w:rsid w:val="00AD2ECC"/>
    <w:rsid w:val="00AD47D4"/>
    <w:rsid w:val="00B11618"/>
    <w:rsid w:val="00B553CB"/>
    <w:rsid w:val="00B6540D"/>
    <w:rsid w:val="00B75AA6"/>
    <w:rsid w:val="00B844BC"/>
    <w:rsid w:val="00BA46FB"/>
    <w:rsid w:val="00BB09B0"/>
    <w:rsid w:val="00BB3008"/>
    <w:rsid w:val="00BD13C4"/>
    <w:rsid w:val="00BE0DC4"/>
    <w:rsid w:val="00BE6336"/>
    <w:rsid w:val="00BF0771"/>
    <w:rsid w:val="00C03C2E"/>
    <w:rsid w:val="00C0769E"/>
    <w:rsid w:val="00C1531C"/>
    <w:rsid w:val="00C36B81"/>
    <w:rsid w:val="00C46F6A"/>
    <w:rsid w:val="00C56953"/>
    <w:rsid w:val="00C607B5"/>
    <w:rsid w:val="00C63401"/>
    <w:rsid w:val="00C75A8F"/>
    <w:rsid w:val="00C85D0F"/>
    <w:rsid w:val="00C951A4"/>
    <w:rsid w:val="00CB6B29"/>
    <w:rsid w:val="00CD1E8A"/>
    <w:rsid w:val="00CF07EC"/>
    <w:rsid w:val="00D05CBA"/>
    <w:rsid w:val="00D13DD1"/>
    <w:rsid w:val="00D437B2"/>
    <w:rsid w:val="00D46466"/>
    <w:rsid w:val="00D52EA4"/>
    <w:rsid w:val="00D74CC3"/>
    <w:rsid w:val="00D86C90"/>
    <w:rsid w:val="00DA5269"/>
    <w:rsid w:val="00DA6863"/>
    <w:rsid w:val="00DF7BA5"/>
    <w:rsid w:val="00E31C35"/>
    <w:rsid w:val="00E33228"/>
    <w:rsid w:val="00E44A07"/>
    <w:rsid w:val="00E50576"/>
    <w:rsid w:val="00E80CE4"/>
    <w:rsid w:val="00E8604D"/>
    <w:rsid w:val="00E95A82"/>
    <w:rsid w:val="00EB31C4"/>
    <w:rsid w:val="00ED335B"/>
    <w:rsid w:val="00F017D4"/>
    <w:rsid w:val="00F02E0E"/>
    <w:rsid w:val="00F0381D"/>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CBE29"/>
  <w15:chartTrackingRefBased/>
  <w15:docId w15:val="{C6A6C0DF-6FCB-414F-8623-B1B3B397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7F18B5"/>
    <w:rPr>
      <w:sz w:val="20"/>
    </w:rPr>
  </w:style>
  <w:style w:type="character" w:customStyle="1" w:styleId="FootnoteTextChar">
    <w:name w:val="Footnote Text Char"/>
    <w:basedOn w:val="DefaultParagraphFont"/>
    <w:link w:val="FootnoteText"/>
    <w:rsid w:val="007F18B5"/>
  </w:style>
  <w:style w:type="character" w:styleId="FootnoteReference">
    <w:name w:val="footnote reference"/>
    <w:basedOn w:val="DefaultParagraphFont"/>
    <w:rsid w:val="007F18B5"/>
    <w:rPr>
      <w:vertAlign w:val="superscript"/>
    </w:rPr>
  </w:style>
  <w:style w:type="paragraph" w:styleId="Footer">
    <w:name w:val="footer"/>
    <w:basedOn w:val="Normal"/>
    <w:link w:val="FooterChar"/>
    <w:semiHidden/>
    <w:rsid w:val="00041AE6"/>
    <w:pPr>
      <w:tabs>
        <w:tab w:val="center" w:pos="4513"/>
        <w:tab w:val="right" w:pos="9026"/>
      </w:tabs>
    </w:pPr>
  </w:style>
  <w:style w:type="character" w:customStyle="1" w:styleId="FooterChar">
    <w:name w:val="Footer Char"/>
    <w:basedOn w:val="DefaultParagraphFont"/>
    <w:link w:val="Footer"/>
    <w:semiHidden/>
    <w:rsid w:val="00041AE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3906</Words>
  <Characters>23208</Characters>
  <Application>Microsoft Office Word</Application>
  <DocSecurity>0</DocSecurity>
  <Lines>414</Lines>
  <Paragraphs>114</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creator>GISBRECHT Evelyna</dc:creator>
  <cp:lastModifiedBy>SAVVIDOU Viktoria</cp:lastModifiedBy>
  <cp:revision>2</cp:revision>
  <cp:lastPrinted>2004-12-08T15:27:00Z</cp:lastPrinted>
  <dcterms:created xsi:type="dcterms:W3CDTF">2024-01-29T09:25:00Z</dcterms:created>
  <dcterms:modified xsi:type="dcterms:W3CDTF">2024-01-29T09:25:00Z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1286148</vt:lpwstr>
  </property>
  <property fmtid="{D5CDD505-2E9C-101B-9397-08002B2CF9AE}" pid="4" name="&lt;Model&gt;">
    <vt:lpwstr>PR_DEC_Agencies</vt:lpwstr>
  </property>
  <property fmtid="{D5CDD505-2E9C-101B-9397-08002B2CF9AE}" pid="5" name="&lt;ModelCod&gt;">
    <vt:lpwstr>\\eiciBRUpr1\pdocep$\DocEP\DOCS\General\PR\PR_BUD\DEC\PR_DEC_Agencies.dotx(13/10/2022 07:29:28)</vt:lpwstr>
  </property>
  <property fmtid="{D5CDD505-2E9C-101B-9397-08002B2CF9AE}" pid="6" name="&lt;ModelTra&gt;">
    <vt:lpwstr>\\eiciBRUpr1\pdocep$\DocEP\TRANSFIL\EN\PR_DEC_Agencies.EN(25/09/2023 08:37:04)</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PR\1286148EL.docx</vt:lpwstr>
  </property>
  <property fmtid="{D5CDD505-2E9C-101B-9397-08002B2CF9AE}" pid="10" name="LastEdited with">
    <vt:lpwstr>9.16.1 Build [20230920]</vt:lpwstr>
  </property>
  <property fmtid="{D5CDD505-2E9C-101B-9397-08002B2CF9AE}" pid="11" name="PE number">
    <vt:lpwstr>753.521</vt:lpwstr>
  </property>
  <property fmtid="{D5CDD505-2E9C-101B-9397-08002B2CF9AE}" pid="12" name="SDLStudio">
    <vt:lpwstr/>
  </property>
  <property fmtid="{D5CDD505-2E9C-101B-9397-08002B2CF9AE}" pid="13" name="SendToEpades">
    <vt:lpwstr>OK - 2024/01/09 11:45</vt:lpwstr>
  </property>
  <property fmtid="{D5CDD505-2E9C-101B-9397-08002B2CF9AE}" pid="14" name="Bookout">
    <vt:lpwstr>OK - 2024/01/29 10:24</vt:lpwstr>
  </property>
</Properties>
</file>