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D0703" w:rsidRPr="009F6C8F" w:rsidTr="00C85D0F">
        <w:trPr>
          <w:trHeight w:hRule="exact" w:val="1418"/>
        </w:trPr>
        <w:tc>
          <w:tcPr>
            <w:tcW w:w="6804" w:type="dxa"/>
            <w:shd w:val="clear" w:color="auto" w:fill="auto"/>
            <w:vAlign w:val="center"/>
          </w:tcPr>
          <w:p w:rsidR="004749EC" w:rsidRPr="009F6C8F" w:rsidRDefault="008A3A5F" w:rsidP="00C85D0F">
            <w:pPr>
              <w:pStyle w:val="EPName"/>
            </w:pPr>
            <w:r w:rsidRPr="009F6C8F">
              <w:t>Euroopa Parlament</w:t>
            </w:r>
          </w:p>
          <w:p w:rsidR="004749EC" w:rsidRPr="009F6C8F" w:rsidRDefault="008A3A5F" w:rsidP="007F18B5">
            <w:pPr>
              <w:pStyle w:val="EPTerm"/>
            </w:pPr>
            <w:r w:rsidRPr="009F6C8F">
              <w:t>2019-2024</w:t>
            </w:r>
          </w:p>
        </w:tc>
        <w:tc>
          <w:tcPr>
            <w:tcW w:w="2268" w:type="dxa"/>
            <w:shd w:val="clear" w:color="auto" w:fill="auto"/>
          </w:tcPr>
          <w:p w:rsidR="004749EC" w:rsidRPr="009F6C8F" w:rsidRDefault="008A3A5F" w:rsidP="00C85D0F">
            <w:pPr>
              <w:pStyle w:val="EPLogo"/>
            </w:pPr>
            <w:r w:rsidRPr="009F6C8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390068" w:rsidRPr="009F6C8F" w:rsidRDefault="00390068" w:rsidP="00390068">
      <w:pPr>
        <w:pStyle w:val="LineTop"/>
      </w:pPr>
    </w:p>
    <w:p w:rsidR="00390068" w:rsidRPr="009F6C8F" w:rsidRDefault="008A3A5F" w:rsidP="00390068">
      <w:pPr>
        <w:pStyle w:val="EPBody"/>
      </w:pPr>
      <w:r w:rsidRPr="001E4EC9">
        <w:rPr>
          <w:rStyle w:val="HideTWBExt"/>
          <w:i w:val="0"/>
          <w:szCs w:val="20"/>
        </w:rPr>
        <w:t>&lt;Commission&gt;</w:t>
      </w:r>
      <w:r w:rsidRPr="001E4EC9">
        <w:rPr>
          <w:rStyle w:val="HideTWBInt"/>
          <w:i w:val="0"/>
          <w:szCs w:val="20"/>
        </w:rPr>
        <w:t>{CONT}</w:t>
      </w:r>
      <w:r w:rsidRPr="009F6C8F">
        <w:t>Eelarvekontrollikomisjon</w:t>
      </w:r>
      <w:r w:rsidRPr="001E4EC9">
        <w:rPr>
          <w:rStyle w:val="HideTWBExt"/>
          <w:i w:val="0"/>
          <w:szCs w:val="20"/>
        </w:rPr>
        <w:t>&lt;/Commission&gt;</w:t>
      </w:r>
    </w:p>
    <w:p w:rsidR="00390068" w:rsidRPr="009F6C8F" w:rsidRDefault="00390068" w:rsidP="00390068">
      <w:pPr>
        <w:pStyle w:val="LineBottom"/>
      </w:pPr>
    </w:p>
    <w:p w:rsidR="00C1531C" w:rsidRPr="009F6C8F" w:rsidRDefault="008A3A5F">
      <w:pPr>
        <w:pStyle w:val="CoverReference"/>
      </w:pPr>
      <w:r w:rsidRPr="001E4EC9">
        <w:rPr>
          <w:rStyle w:val="HideTWBExt"/>
          <w:b w:val="0"/>
        </w:rPr>
        <w:t>&lt;RefProc&gt;</w:t>
      </w:r>
      <w:r w:rsidRPr="009F6C8F">
        <w:t>2023/2153</w:t>
      </w:r>
      <w:r w:rsidRPr="001E4EC9">
        <w:rPr>
          <w:rStyle w:val="HideTWBExt"/>
          <w:b w:val="0"/>
        </w:rPr>
        <w:t>&lt;/RefProc&gt;&lt;RefTypeProc&gt;</w:t>
      </w:r>
      <w:r w:rsidRPr="009F6C8F">
        <w:t>(DEC)</w:t>
      </w:r>
      <w:r w:rsidRPr="001E4EC9">
        <w:rPr>
          <w:rStyle w:val="HideTWBExt"/>
          <w:b w:val="0"/>
        </w:rPr>
        <w:t>&lt;/RefTypeProc&gt;</w:t>
      </w:r>
    </w:p>
    <w:p w:rsidR="00C1531C" w:rsidRPr="009F6C8F" w:rsidRDefault="008A3A5F">
      <w:pPr>
        <w:pStyle w:val="CoverDate"/>
      </w:pPr>
      <w:r w:rsidRPr="001E4EC9">
        <w:rPr>
          <w:rStyle w:val="HideTWBExt"/>
        </w:rPr>
        <w:t>&lt;Date&gt;</w:t>
      </w:r>
      <w:r w:rsidRPr="001E4EC9">
        <w:rPr>
          <w:rStyle w:val="HideTWBInt"/>
        </w:rPr>
        <w:t>{09/01/2024}</w:t>
      </w:r>
      <w:r w:rsidRPr="009F6C8F">
        <w:t>9.1.2024</w:t>
      </w:r>
      <w:r w:rsidRPr="001E4EC9">
        <w:rPr>
          <w:rStyle w:val="HideTWBExt"/>
        </w:rPr>
        <w:t>&lt;/Date&gt;</w:t>
      </w:r>
    </w:p>
    <w:p w:rsidR="00C1531C" w:rsidRPr="009F6C8F" w:rsidRDefault="008A3A5F">
      <w:pPr>
        <w:pStyle w:val="CoverDocType24a"/>
      </w:pPr>
      <w:r w:rsidRPr="001E4EC9">
        <w:rPr>
          <w:rStyle w:val="HideTWBExt"/>
          <w:b w:val="0"/>
        </w:rPr>
        <w:t>&lt;TitreType&gt;</w:t>
      </w:r>
      <w:r w:rsidRPr="009F6C8F">
        <w:t>RAP</w:t>
      </w:r>
      <w:bookmarkStart w:id="0" w:name="_GoBack"/>
      <w:bookmarkEnd w:id="0"/>
      <w:r w:rsidRPr="009F6C8F">
        <w:t>ORTI PROJEKT</w:t>
      </w:r>
      <w:r w:rsidRPr="001E4EC9">
        <w:rPr>
          <w:rStyle w:val="HideTWBExt"/>
          <w:b w:val="0"/>
        </w:rPr>
        <w:t>&lt;/TitreType&gt;</w:t>
      </w:r>
    </w:p>
    <w:p w:rsidR="00C1531C" w:rsidRPr="009F6C8F" w:rsidRDefault="008A3A5F">
      <w:pPr>
        <w:pStyle w:val="CoverNormal"/>
      </w:pPr>
      <w:r w:rsidRPr="001E4EC9">
        <w:rPr>
          <w:rStyle w:val="HideTWBExt"/>
        </w:rPr>
        <w:t>&lt;Titre&gt;</w:t>
      </w:r>
      <w:r w:rsidRPr="009F6C8F">
        <w:t>Euroopa Kindlustus- ja Tööandjapensionide Järelevalve 2022. aasta eelarve täitmisele heakskiidu andmise kohta</w:t>
      </w:r>
      <w:r w:rsidRPr="001E4EC9">
        <w:rPr>
          <w:rStyle w:val="HideTWBExt"/>
        </w:rPr>
        <w:t>&lt;/Titre&gt;</w:t>
      </w:r>
    </w:p>
    <w:p w:rsidR="00C1531C" w:rsidRPr="009F6C8F" w:rsidRDefault="008A3A5F">
      <w:pPr>
        <w:pStyle w:val="CoverNormal24a"/>
      </w:pPr>
      <w:r w:rsidRPr="001E4EC9">
        <w:rPr>
          <w:rStyle w:val="HideTWBExt"/>
        </w:rPr>
        <w:t>&lt;DocRef&gt;</w:t>
      </w:r>
      <w:r w:rsidRPr="009F6C8F">
        <w:t>(2023/2153(DEC))</w:t>
      </w:r>
      <w:r w:rsidRPr="001E4EC9">
        <w:rPr>
          <w:rStyle w:val="HideTWBExt"/>
        </w:rPr>
        <w:t>&lt;/DocRef&gt;</w:t>
      </w:r>
    </w:p>
    <w:p w:rsidR="00C1531C" w:rsidRPr="009F6C8F" w:rsidRDefault="008A3A5F">
      <w:pPr>
        <w:pStyle w:val="CoverNormal24a"/>
      </w:pPr>
      <w:r w:rsidRPr="001E4EC9">
        <w:rPr>
          <w:rStyle w:val="HideTWBExt"/>
        </w:rPr>
        <w:t>&lt;Commission&gt;</w:t>
      </w:r>
      <w:r w:rsidRPr="001E4EC9">
        <w:rPr>
          <w:rStyle w:val="HideTWBInt"/>
        </w:rPr>
        <w:t>{CONT}</w:t>
      </w:r>
      <w:r w:rsidRPr="009F6C8F">
        <w:t>Eelarvekontrollikomisjon</w:t>
      </w:r>
      <w:r w:rsidRPr="001E4EC9">
        <w:rPr>
          <w:rStyle w:val="HideTWBExt"/>
        </w:rPr>
        <w:t>&lt;/Commission&gt;</w:t>
      </w:r>
    </w:p>
    <w:p w:rsidR="00C1531C" w:rsidRPr="009F6C8F" w:rsidRDefault="008A3A5F">
      <w:pPr>
        <w:pStyle w:val="CoverNormal24a"/>
      </w:pPr>
      <w:r w:rsidRPr="009F6C8F">
        <w:t xml:space="preserve">Raportöör: </w:t>
      </w:r>
      <w:r w:rsidRPr="001E4EC9">
        <w:rPr>
          <w:rStyle w:val="HideTWBExt"/>
        </w:rPr>
        <w:t>&lt;Depute&gt;</w:t>
      </w:r>
      <w:r w:rsidRPr="009F6C8F">
        <w:t>Petri Sarvamaa</w:t>
      </w:r>
      <w:r w:rsidRPr="001E4EC9">
        <w:rPr>
          <w:rStyle w:val="HideTWBExt"/>
        </w:rPr>
        <w:t>&lt;/Depute&gt;</w:t>
      </w:r>
    </w:p>
    <w:p w:rsidR="00320A9A" w:rsidRPr="009F6C8F" w:rsidRDefault="00320A9A" w:rsidP="00320A9A">
      <w:pPr>
        <w:pStyle w:val="CoverNormal"/>
      </w:pPr>
    </w:p>
    <w:p w:rsidR="00C1531C" w:rsidRPr="009F6C8F" w:rsidRDefault="008A3A5F" w:rsidP="00D46466">
      <w:pPr>
        <w:widowControl/>
        <w:tabs>
          <w:tab w:val="center" w:pos="4677"/>
        </w:tabs>
      </w:pPr>
      <w:r w:rsidRPr="009F6C8F">
        <w:br w:type="page"/>
      </w:r>
      <w:r w:rsidRPr="009F6C8F">
        <w:lastRenderedPageBreak/>
        <w:t>PR_DEC_Agencies</w:t>
      </w:r>
    </w:p>
    <w:p w:rsidR="00C1531C" w:rsidRPr="009F6C8F" w:rsidRDefault="008A3A5F">
      <w:pPr>
        <w:pStyle w:val="TOCHeading"/>
      </w:pPr>
      <w:r w:rsidRPr="009F6C8F">
        <w:t>SISUKORD</w:t>
      </w:r>
    </w:p>
    <w:p w:rsidR="00837B2B" w:rsidRPr="009F6C8F" w:rsidRDefault="008A3A5F" w:rsidP="00837B2B">
      <w:pPr>
        <w:pStyle w:val="TOCPage"/>
      </w:pPr>
      <w:r w:rsidRPr="009F6C8F">
        <w:t>lk</w:t>
      </w:r>
    </w:p>
    <w:p w:rsidR="00C450BA" w:rsidRPr="00C450BA" w:rsidRDefault="008A3A5F">
      <w:pPr>
        <w:pStyle w:val="TOC1"/>
        <w:tabs>
          <w:tab w:val="right" w:leader="dot" w:pos="9060"/>
        </w:tabs>
        <w:rPr>
          <w:rFonts w:asciiTheme="minorHAnsi" w:eastAsiaTheme="minorEastAsia" w:hAnsiTheme="minorHAnsi" w:cstheme="minorBidi"/>
          <w:sz w:val="22"/>
          <w:szCs w:val="22"/>
          <w:lang w:val="fi-FI"/>
        </w:rPr>
      </w:pPr>
      <w:r w:rsidRPr="009F6C8F">
        <w:rPr>
          <w:b/>
        </w:rPr>
        <w:fldChar w:fldCharType="begin"/>
      </w:r>
      <w:r w:rsidRPr="009F6C8F">
        <w:rPr>
          <w:b/>
        </w:rPr>
        <w:instrText xml:space="preserve"> TOC \t "PageHeading</w:instrText>
      </w:r>
      <w:r w:rsidR="001E4EC9">
        <w:rPr>
          <w:b/>
        </w:rPr>
        <w:instrText>;</w:instrText>
      </w:r>
      <w:r w:rsidRPr="009F6C8F">
        <w:rPr>
          <w:b/>
        </w:rPr>
        <w:instrText xml:space="preserve">1" </w:instrText>
      </w:r>
      <w:r w:rsidRPr="009F6C8F">
        <w:rPr>
          <w:b/>
        </w:rPr>
        <w:fldChar w:fldCharType="separate"/>
      </w:r>
      <w:r w:rsidR="00C450BA">
        <w:t>1. ETTEPANEK VÕTTA VASTU EUROOPA PARLAMENDI OTSUS</w:t>
      </w:r>
      <w:r w:rsidR="00C450BA">
        <w:tab/>
      </w:r>
      <w:r w:rsidR="00C450BA">
        <w:fldChar w:fldCharType="begin"/>
      </w:r>
      <w:r w:rsidR="00C450BA">
        <w:instrText xml:space="preserve"> PAGEREF _Toc157411267 \h </w:instrText>
      </w:r>
      <w:r w:rsidR="00C450BA">
        <w:fldChar w:fldCharType="separate"/>
      </w:r>
      <w:r w:rsidR="00C450BA">
        <w:t>3</w:t>
      </w:r>
      <w:r w:rsidR="00C450BA">
        <w:fldChar w:fldCharType="end"/>
      </w:r>
    </w:p>
    <w:p w:rsidR="00C450BA" w:rsidRPr="00C450BA" w:rsidRDefault="00C450BA">
      <w:pPr>
        <w:pStyle w:val="TOC1"/>
        <w:tabs>
          <w:tab w:val="right" w:leader="dot" w:pos="9060"/>
        </w:tabs>
        <w:rPr>
          <w:rFonts w:asciiTheme="minorHAnsi" w:eastAsiaTheme="minorEastAsia" w:hAnsiTheme="minorHAnsi" w:cstheme="minorBidi"/>
          <w:sz w:val="22"/>
          <w:szCs w:val="22"/>
          <w:lang w:val="fi-FI"/>
        </w:rPr>
      </w:pPr>
      <w:r>
        <w:t>2. ETTEPANEK VÕTTA VASTU EUROOPA PARLAMENDI OTSUS</w:t>
      </w:r>
      <w:r>
        <w:tab/>
      </w:r>
      <w:r>
        <w:fldChar w:fldCharType="begin"/>
      </w:r>
      <w:r>
        <w:instrText xml:space="preserve"> PAGEREF _Toc157411268 \h </w:instrText>
      </w:r>
      <w:r>
        <w:fldChar w:fldCharType="separate"/>
      </w:r>
      <w:r>
        <w:t>5</w:t>
      </w:r>
      <w:r>
        <w:fldChar w:fldCharType="end"/>
      </w:r>
    </w:p>
    <w:p w:rsidR="00C450BA" w:rsidRDefault="00C450BA">
      <w:pPr>
        <w:pStyle w:val="TOC1"/>
        <w:tabs>
          <w:tab w:val="right" w:leader="dot" w:pos="9060"/>
        </w:tabs>
        <w:rPr>
          <w:rFonts w:asciiTheme="minorHAnsi" w:eastAsiaTheme="minorEastAsia" w:hAnsiTheme="minorHAnsi" w:cstheme="minorBidi"/>
          <w:sz w:val="22"/>
          <w:szCs w:val="22"/>
          <w:lang w:val="en-GB"/>
        </w:rPr>
      </w:pPr>
      <w:r>
        <w:t>3. EUROOPA PARLAMENDI RESOLUTSIOONI ETTEPANEK</w:t>
      </w:r>
      <w:r>
        <w:tab/>
      </w:r>
      <w:r>
        <w:fldChar w:fldCharType="begin"/>
      </w:r>
      <w:r>
        <w:instrText xml:space="preserve"> PAGEREF _Toc157411269 \h </w:instrText>
      </w:r>
      <w:r>
        <w:fldChar w:fldCharType="separate"/>
      </w:r>
      <w:r>
        <w:t>7</w:t>
      </w:r>
      <w:r>
        <w:fldChar w:fldCharType="end"/>
      </w:r>
    </w:p>
    <w:p w:rsidR="00C1531C" w:rsidRPr="009F6C8F" w:rsidRDefault="008A3A5F" w:rsidP="003F229D">
      <w:r w:rsidRPr="009F6C8F">
        <w:rPr>
          <w:b/>
        </w:rPr>
        <w:fldChar w:fldCharType="end"/>
      </w:r>
    </w:p>
    <w:p w:rsidR="00C1531C" w:rsidRPr="009F6C8F" w:rsidRDefault="008A3A5F" w:rsidP="004D13BA">
      <w:pPr>
        <w:pStyle w:val="PageHeading"/>
      </w:pPr>
      <w:r w:rsidRPr="009F6C8F">
        <w:br w:type="page"/>
      </w:r>
      <w:bookmarkStart w:id="1" w:name="_Toc26759888"/>
      <w:bookmarkStart w:id="2" w:name="_Toc86200285"/>
      <w:bookmarkStart w:id="3" w:name="_Toc157411267"/>
      <w:r w:rsidRPr="009F6C8F">
        <w:t>1. ETTEPANEK VÕTTA VASTU EUROOPA PARLAMENDI OTSUS</w:t>
      </w:r>
      <w:bookmarkEnd w:id="3"/>
    </w:p>
    <w:p w:rsidR="00C1531C" w:rsidRPr="009F6C8F" w:rsidRDefault="008A3A5F">
      <w:pPr>
        <w:pStyle w:val="NormalBold"/>
      </w:pPr>
      <w:r w:rsidRPr="009F6C8F">
        <w:t>Euroopa Kindlustus- ja Tööandjapensionide Järelevalve 2022. aasta eelarve täitmisele heakskiidu andmise kohta</w:t>
      </w:r>
    </w:p>
    <w:p w:rsidR="00C1531C" w:rsidRPr="009F6C8F" w:rsidRDefault="008A3A5F" w:rsidP="002421F7">
      <w:pPr>
        <w:pStyle w:val="NormalBold"/>
      </w:pPr>
      <w:r w:rsidRPr="009F6C8F">
        <w:t>(2023/2153(DEC))</w:t>
      </w:r>
    </w:p>
    <w:bookmarkEnd w:id="1"/>
    <w:bookmarkEnd w:id="2"/>
    <w:p w:rsidR="00041AE6" w:rsidRPr="009F6C8F" w:rsidRDefault="008A3A5F" w:rsidP="00041AE6">
      <w:pPr>
        <w:pStyle w:val="EPComma"/>
      </w:pPr>
      <w:r w:rsidRPr="009F6C8F">
        <w:rPr>
          <w:i/>
          <w:iCs/>
        </w:rPr>
        <w:t>Euroopa Parlament</w:t>
      </w:r>
      <w:r w:rsidRPr="009F6C8F">
        <w:t>,</w:t>
      </w:r>
    </w:p>
    <w:p w:rsidR="00041AE6" w:rsidRPr="009F6C8F" w:rsidRDefault="008A3A5F" w:rsidP="00041AE6">
      <w:pPr>
        <w:pStyle w:val="NormalHanging12a"/>
      </w:pPr>
      <w:r w:rsidRPr="009F6C8F">
        <w:t>–</w:t>
      </w:r>
      <w:r w:rsidRPr="009F6C8F">
        <w:tab/>
        <w:t>võttes arvesse Euroopa Kindlustus- ja Tööandjapensionide Järelevalve 2022. aasta lõplikku raamatupidamisaruannet,</w:t>
      </w:r>
    </w:p>
    <w:p w:rsidR="00041AE6" w:rsidRPr="009F6C8F" w:rsidRDefault="008A3A5F" w:rsidP="00041AE6">
      <w:pPr>
        <w:pStyle w:val="NormalHanging12a"/>
      </w:pPr>
      <w:r w:rsidRPr="009F6C8F">
        <w:t>–</w:t>
      </w:r>
      <w:r w:rsidRPr="009F6C8F">
        <w:tab/>
        <w:t>võttes arvesse kontrollikoja aastaaruannet ELi asutuste eelarveaasta 2022 kohta koos asutuste vastustega</w:t>
      </w:r>
      <w:r w:rsidRPr="009F6C8F">
        <w:rPr>
          <w:rStyle w:val="FootnoteReference"/>
        </w:rPr>
        <w:footnoteReference w:id="1"/>
      </w:r>
      <w:r w:rsidRPr="009F6C8F">
        <w:t>,</w:t>
      </w:r>
    </w:p>
    <w:p w:rsidR="00041AE6" w:rsidRPr="009F6C8F" w:rsidRDefault="008A3A5F" w:rsidP="00041AE6">
      <w:pPr>
        <w:pStyle w:val="NormalHanging12a"/>
      </w:pPr>
      <w:r w:rsidRPr="009F6C8F">
        <w:t>–</w:t>
      </w:r>
      <w:r w:rsidRPr="009F6C8F">
        <w:tab/>
        <w:t>võttes arvesse vastavalt Euroopa Liidu toimimise lepingu artiklile 287 tehtud kontrollikoja kinnitavat avaldust</w:t>
      </w:r>
      <w:r w:rsidRPr="009F6C8F">
        <w:rPr>
          <w:rStyle w:val="FootnoteReference"/>
        </w:rPr>
        <w:footnoteReference w:id="2"/>
      </w:r>
      <w:r w:rsidRPr="009F6C8F">
        <w:t xml:space="preserve"> 2022. aasta raamatupidamise aastaaruande usaldusväärsuse ja selle aluseks olevate tehingute seaduslikkuse ja korrektsuse kohta,</w:t>
      </w:r>
    </w:p>
    <w:p w:rsidR="00041AE6" w:rsidRPr="009F6C8F" w:rsidRDefault="008A3A5F" w:rsidP="00041AE6">
      <w:pPr>
        <w:pStyle w:val="NormalHanging12a"/>
      </w:pPr>
      <w:r w:rsidRPr="009F6C8F">
        <w:t>–</w:t>
      </w:r>
      <w:r w:rsidRPr="009F6C8F">
        <w:tab/>
        <w:t>võttes arvesse nõukogu ... veebruari 2024. aasta soovitust asutuse tegevusele heakskiidu andmise kohta 2022. aasta eelarve täitmisel (00000/2024 – C9</w:t>
      </w:r>
      <w:r w:rsidRPr="009F6C8F">
        <w:noBreakHyphen/>
        <w:t>0000/2024),</w:t>
      </w:r>
    </w:p>
    <w:p w:rsidR="00041AE6" w:rsidRPr="009F6C8F" w:rsidRDefault="008A3A5F" w:rsidP="00041AE6">
      <w:pPr>
        <w:pStyle w:val="NormalHanging12a"/>
      </w:pPr>
      <w:r w:rsidRPr="009F6C8F">
        <w:t>–</w:t>
      </w:r>
      <w:r w:rsidRPr="009F6C8F">
        <w:tab/>
        <w:t>võttes arvesse Euroopa Liidu toimimise lepingu artiklit 319,</w:t>
      </w:r>
    </w:p>
    <w:p w:rsidR="00041AE6" w:rsidRPr="009F6C8F" w:rsidRDefault="008A3A5F" w:rsidP="00041AE6">
      <w:pPr>
        <w:pStyle w:val="NormalHanging12a"/>
      </w:pPr>
      <w:r w:rsidRPr="009F6C8F">
        <w:t>–</w:t>
      </w:r>
      <w:r w:rsidRPr="009F6C8F">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9F6C8F">
        <w:rPr>
          <w:rStyle w:val="FootnoteReference"/>
        </w:rPr>
        <w:footnoteReference w:id="3"/>
      </w:r>
      <w:r w:rsidRPr="009F6C8F">
        <w:t>, eriti selle artiklit 70,</w:t>
      </w:r>
    </w:p>
    <w:p w:rsidR="00041AE6" w:rsidRPr="009F6C8F" w:rsidRDefault="008A3A5F" w:rsidP="00041AE6">
      <w:pPr>
        <w:pStyle w:val="NormalHanging12a"/>
      </w:pPr>
      <w:r w:rsidRPr="009F6C8F">
        <w:t>–</w:t>
      </w:r>
      <w:r w:rsidRPr="009F6C8F">
        <w:tab/>
        <w:t>võttes arvesse Euroopa Parlamendi ja nõukogu 24. novembri 2010. aasta määrust (EL) nr 1094/2010 (millega asutatakse Euroopa Järelevalveasutus (Euroopa Kindlustus- ja Tööandjapensionide Järelevalve), muudetakse otsust nr 716/2009/EÜ ning tunnistatakse kehtetuks komisjoni otsus 2009/79/EÜ)</w:t>
      </w:r>
      <w:r w:rsidRPr="009F6C8F">
        <w:rPr>
          <w:rStyle w:val="FootnoteReference"/>
        </w:rPr>
        <w:footnoteReference w:id="4"/>
      </w:r>
      <w:r w:rsidRPr="009F6C8F">
        <w:t>, eriti selle artiklit 64,</w:t>
      </w:r>
    </w:p>
    <w:p w:rsidR="00041AE6" w:rsidRPr="009F6C8F" w:rsidRDefault="008A3A5F" w:rsidP="00041AE6">
      <w:pPr>
        <w:pStyle w:val="NormalHanging12a"/>
      </w:pPr>
      <w:r w:rsidRPr="009F6C8F">
        <w:t>–</w:t>
      </w:r>
      <w:r w:rsidRPr="009F6C8F">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9F6C8F">
        <w:rPr>
          <w:rStyle w:val="FootnoteReference"/>
        </w:rPr>
        <w:footnoteReference w:id="5"/>
      </w:r>
      <w:r w:rsidRPr="009F6C8F">
        <w:t>, eriti selle artiklit 105,</w:t>
      </w:r>
    </w:p>
    <w:p w:rsidR="00041AE6" w:rsidRPr="009F6C8F" w:rsidRDefault="008A3A5F" w:rsidP="00041AE6">
      <w:pPr>
        <w:pStyle w:val="NormalHanging12a"/>
      </w:pPr>
      <w:r w:rsidRPr="009F6C8F">
        <w:t>–</w:t>
      </w:r>
      <w:r w:rsidRPr="009F6C8F">
        <w:tab/>
        <w:t>võttes arvesse kodukorra artiklit 100 ja V lisa,</w:t>
      </w:r>
    </w:p>
    <w:p w:rsidR="00041AE6" w:rsidRPr="009F6C8F" w:rsidRDefault="008A3A5F" w:rsidP="00041AE6">
      <w:pPr>
        <w:pStyle w:val="NormalHanging12a"/>
      </w:pPr>
      <w:r w:rsidRPr="009F6C8F">
        <w:t>–</w:t>
      </w:r>
      <w:r w:rsidRPr="009F6C8F">
        <w:tab/>
        <w:t>võttes arvesse eelarvekontrollikomisjoni raportit (A9</w:t>
      </w:r>
      <w:r w:rsidRPr="009F6C8F">
        <w:noBreakHyphen/>
        <w:t>0000/2024),</w:t>
      </w:r>
    </w:p>
    <w:p w:rsidR="00041AE6" w:rsidRPr="009F6C8F" w:rsidRDefault="008A3A5F" w:rsidP="00041AE6">
      <w:pPr>
        <w:pStyle w:val="NormalHanging12a"/>
      </w:pPr>
      <w:r w:rsidRPr="009F6C8F">
        <w:t>1.</w:t>
      </w:r>
      <w:r w:rsidRPr="009F6C8F">
        <w:tab/>
        <w:t>annab heakskiidu Euroopa Kindlustus- ja Tööandjapensionide Järelevalve tegevdirektori tegevusele asutuse 2022. aasta eelarve täitmisel / lükkab edasi otsuse tegemise heakskiidu andmise kohta Euroopa Kindlustus- ja Tööandjapensionide Järelevalve tegevdirektori tegevusele asutuse 2022. aasta eelarve täitmisel;</w:t>
      </w:r>
    </w:p>
    <w:p w:rsidR="00041AE6" w:rsidRPr="009F6C8F" w:rsidRDefault="008A3A5F" w:rsidP="00041AE6">
      <w:pPr>
        <w:pStyle w:val="NormalHanging12a"/>
      </w:pPr>
      <w:r w:rsidRPr="009F6C8F">
        <w:t>2.</w:t>
      </w:r>
      <w:r w:rsidRPr="009F6C8F">
        <w:tab/>
        <w:t>esitab oma tähelepanekud alltoodud resolutsioonis;</w:t>
      </w:r>
    </w:p>
    <w:p w:rsidR="00041AE6" w:rsidRPr="009F6C8F" w:rsidRDefault="008A3A5F" w:rsidP="00041AE6">
      <w:pPr>
        <w:pStyle w:val="NormalHanging12a"/>
      </w:pPr>
      <w:r w:rsidRPr="009F6C8F">
        <w:t>3.</w:t>
      </w:r>
      <w:r w:rsidRPr="009F6C8F">
        <w:tab/>
        <w:t xml:space="preserve">teeb presidendile ülesandeks edastada käesolev otsus ja resolutsioon, mis on selle lahutamatu osa, Euroopa Kindlustus- ja Tööandjapensionide Järelevalve tegevdirektorile, nõukogule, komisjonile ja kontrollikojale ning korraldada nende avaldamine </w:t>
      </w:r>
      <w:r w:rsidRPr="009F6C8F">
        <w:rPr>
          <w:i/>
        </w:rPr>
        <w:t>Euroopa Liidu Teatajas</w:t>
      </w:r>
      <w:r w:rsidRPr="009F6C8F">
        <w:t xml:space="preserve"> (L-seerias).</w:t>
      </w:r>
    </w:p>
    <w:p w:rsidR="00041AE6" w:rsidRPr="009F6C8F" w:rsidRDefault="00041AE6" w:rsidP="00041AE6"/>
    <w:p w:rsidR="00041AE6" w:rsidRPr="009F6C8F" w:rsidRDefault="00041AE6" w:rsidP="00041AE6">
      <w:pPr>
        <w:widowControl/>
        <w:rPr>
          <w:rFonts w:ascii="Arial" w:hAnsi="Arial" w:cs="Arial"/>
          <w:b/>
        </w:rPr>
        <w:sectPr w:rsidR="00041AE6" w:rsidRPr="009F6C8F" w:rsidSect="009F6C8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rsidR="00041AE6" w:rsidRPr="009F6C8F" w:rsidRDefault="008A3A5F" w:rsidP="00041AE6">
      <w:pPr>
        <w:pStyle w:val="PageHeading"/>
      </w:pPr>
      <w:bookmarkStart w:id="4" w:name="_Toc146789945"/>
      <w:bookmarkStart w:id="5" w:name="_Toc157411268"/>
      <w:r w:rsidRPr="009F6C8F">
        <w:t>2. ETTEPANEK VÕTTA VASTU EUROOPA PARLAMENDI OTSUS</w:t>
      </w:r>
      <w:bookmarkEnd w:id="4"/>
      <w:bookmarkEnd w:id="5"/>
    </w:p>
    <w:p w:rsidR="00041AE6" w:rsidRPr="009F6C8F" w:rsidRDefault="008A3A5F" w:rsidP="00041AE6">
      <w:pPr>
        <w:pStyle w:val="NormalBold"/>
      </w:pPr>
      <w:r w:rsidRPr="009F6C8F">
        <w:t>Euroopa Kindlustus- ja Tööandjapensionide Järelevalve 2022. aasta raamatupidamiskontode sulgemise kohta</w:t>
      </w:r>
    </w:p>
    <w:p w:rsidR="00041AE6" w:rsidRPr="009F6C8F" w:rsidRDefault="008A3A5F" w:rsidP="00041AE6">
      <w:pPr>
        <w:pStyle w:val="NormalBold"/>
      </w:pPr>
      <w:r w:rsidRPr="009F6C8F">
        <w:t>(2023/2153(DEC))</w:t>
      </w:r>
    </w:p>
    <w:p w:rsidR="00041AE6" w:rsidRPr="009F6C8F" w:rsidRDefault="008A3A5F" w:rsidP="00041AE6">
      <w:pPr>
        <w:pStyle w:val="EPComma"/>
      </w:pPr>
      <w:r w:rsidRPr="009F6C8F">
        <w:rPr>
          <w:i/>
          <w:iCs/>
        </w:rPr>
        <w:t>Euroopa Parlament</w:t>
      </w:r>
      <w:r w:rsidRPr="009F6C8F">
        <w:t>,</w:t>
      </w:r>
    </w:p>
    <w:p w:rsidR="00041AE6" w:rsidRPr="009F6C8F" w:rsidRDefault="008A3A5F" w:rsidP="00041AE6">
      <w:pPr>
        <w:pStyle w:val="NormalHanging12a"/>
      </w:pPr>
      <w:r w:rsidRPr="009F6C8F">
        <w:t>–</w:t>
      </w:r>
      <w:r w:rsidRPr="009F6C8F">
        <w:tab/>
        <w:t>võttes arvesse Euroopa Kindlustus- ja Tööandjapensionide Järelevalve 2022. aasta lõplikku raamatupidamisaruannet,</w:t>
      </w:r>
    </w:p>
    <w:p w:rsidR="00041AE6" w:rsidRPr="009F6C8F" w:rsidRDefault="008A3A5F" w:rsidP="00041AE6">
      <w:pPr>
        <w:pStyle w:val="NormalHanging12a"/>
      </w:pPr>
      <w:r w:rsidRPr="009F6C8F">
        <w:t>–</w:t>
      </w:r>
      <w:r w:rsidRPr="009F6C8F">
        <w:tab/>
        <w:t>võttes arvesse kontrollikoja aastaaruannet ELi asutuste eelarveaasta 2022 kohta koos asutuste vastustega</w:t>
      </w:r>
      <w:r w:rsidRPr="009F6C8F">
        <w:rPr>
          <w:rStyle w:val="FootnoteReference"/>
        </w:rPr>
        <w:footnoteReference w:id="6"/>
      </w:r>
      <w:r w:rsidRPr="009F6C8F">
        <w:t>,</w:t>
      </w:r>
    </w:p>
    <w:p w:rsidR="00041AE6" w:rsidRPr="009F6C8F" w:rsidRDefault="008A3A5F" w:rsidP="00041AE6">
      <w:pPr>
        <w:pStyle w:val="NormalHanging12a"/>
      </w:pPr>
      <w:r w:rsidRPr="009F6C8F">
        <w:t>–</w:t>
      </w:r>
      <w:r w:rsidRPr="009F6C8F">
        <w:tab/>
        <w:t>võttes arvesse vastavalt Euroopa Liidu toimimise lepingu artiklile 287 tehtud kontrollikoja kinnitavat avaldust</w:t>
      </w:r>
      <w:r w:rsidRPr="009F6C8F">
        <w:rPr>
          <w:rStyle w:val="FootnoteReference"/>
        </w:rPr>
        <w:footnoteReference w:id="7"/>
      </w:r>
      <w:r w:rsidRPr="009F6C8F">
        <w:t xml:space="preserve"> 2022. aasta raamatupidamise aastaaruande usaldusväärsuse ja selle aluseks olevate tehingute seaduslikkuse ja korrektsuse kohta,</w:t>
      </w:r>
    </w:p>
    <w:p w:rsidR="00041AE6" w:rsidRPr="009F6C8F" w:rsidRDefault="008A3A5F" w:rsidP="00041AE6">
      <w:pPr>
        <w:pStyle w:val="NormalHanging12a"/>
      </w:pPr>
      <w:r w:rsidRPr="009F6C8F">
        <w:t>–</w:t>
      </w:r>
      <w:r w:rsidRPr="009F6C8F">
        <w:tab/>
        <w:t>võttes arvesse nõukogu ... veebruari 2024. aasta soovitust asutuse tegevusele heakskiidu andmise kohta 2022. aasta eelarve täitmisel (00000/2024 – C9</w:t>
      </w:r>
      <w:r w:rsidRPr="009F6C8F">
        <w:noBreakHyphen/>
        <w:t>0000/2024),</w:t>
      </w:r>
    </w:p>
    <w:p w:rsidR="00041AE6" w:rsidRPr="009F6C8F" w:rsidRDefault="008A3A5F" w:rsidP="00041AE6">
      <w:pPr>
        <w:pStyle w:val="NormalHanging12a"/>
      </w:pPr>
      <w:r w:rsidRPr="009F6C8F">
        <w:t>–</w:t>
      </w:r>
      <w:r w:rsidRPr="009F6C8F">
        <w:tab/>
        <w:t>võttes arvesse Euroopa Liidu toimimise lepingu artiklit 319,</w:t>
      </w:r>
    </w:p>
    <w:p w:rsidR="00041AE6" w:rsidRPr="009F6C8F" w:rsidRDefault="008A3A5F" w:rsidP="00041AE6">
      <w:pPr>
        <w:pStyle w:val="NormalHanging12a"/>
      </w:pPr>
      <w:r w:rsidRPr="009F6C8F">
        <w:t>–</w:t>
      </w:r>
      <w:r w:rsidRPr="009F6C8F">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9F6C8F">
        <w:rPr>
          <w:rStyle w:val="FootnoteReference"/>
        </w:rPr>
        <w:footnoteReference w:id="8"/>
      </w:r>
      <w:r w:rsidRPr="009F6C8F">
        <w:t>, eriti selle artiklit 70,</w:t>
      </w:r>
    </w:p>
    <w:p w:rsidR="00041AE6" w:rsidRPr="009F6C8F" w:rsidRDefault="008A3A5F" w:rsidP="00041AE6">
      <w:pPr>
        <w:pStyle w:val="NormalHanging12a"/>
      </w:pPr>
      <w:r w:rsidRPr="009F6C8F">
        <w:t>–</w:t>
      </w:r>
      <w:r w:rsidRPr="009F6C8F">
        <w:tab/>
        <w:t>võttes arvesse Euroopa Parlamendi ja nõukogu 24. novembri 2010. aasta määrust (EL) nr 1094/2010 (millega asutatakse Euroopa Järelevalveasutus (Euroopa Kindlustus- ja Tööandjapensionide Järelevalve), muudetakse otsust nr 716/2009/EÜ ning tunnistatakse kehtetuks komisjoni otsus 2009/79/EÜ)</w:t>
      </w:r>
      <w:r w:rsidRPr="009F6C8F">
        <w:rPr>
          <w:rStyle w:val="FootnoteReference"/>
        </w:rPr>
        <w:footnoteReference w:id="9"/>
      </w:r>
      <w:r w:rsidRPr="009F6C8F">
        <w:t>, eriti selle artiklit 64,</w:t>
      </w:r>
    </w:p>
    <w:p w:rsidR="00041AE6" w:rsidRPr="009F6C8F" w:rsidRDefault="008A3A5F" w:rsidP="00041AE6">
      <w:pPr>
        <w:pStyle w:val="NormalHanging12a"/>
      </w:pPr>
      <w:r w:rsidRPr="009F6C8F">
        <w:t>–</w:t>
      </w:r>
      <w:r w:rsidRPr="009F6C8F">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9F6C8F">
        <w:rPr>
          <w:rStyle w:val="FootnoteReference"/>
        </w:rPr>
        <w:footnoteReference w:id="10"/>
      </w:r>
      <w:r w:rsidRPr="009F6C8F">
        <w:t>, eriti selle artiklit 105,</w:t>
      </w:r>
    </w:p>
    <w:p w:rsidR="00041AE6" w:rsidRPr="009F6C8F" w:rsidRDefault="008A3A5F" w:rsidP="00041AE6">
      <w:pPr>
        <w:pStyle w:val="NormalHanging12a"/>
      </w:pPr>
      <w:r w:rsidRPr="009F6C8F">
        <w:t>–</w:t>
      </w:r>
      <w:r w:rsidRPr="009F6C8F">
        <w:tab/>
        <w:t>võttes arvesse kodukorra artiklit 100 ja V lisa,</w:t>
      </w:r>
    </w:p>
    <w:p w:rsidR="00041AE6" w:rsidRPr="009F6C8F" w:rsidRDefault="008A3A5F" w:rsidP="00041AE6">
      <w:pPr>
        <w:pStyle w:val="NormalHanging12a"/>
      </w:pPr>
      <w:r w:rsidRPr="009F6C8F">
        <w:t>–</w:t>
      </w:r>
      <w:r w:rsidRPr="009F6C8F">
        <w:tab/>
        <w:t>võttes arvesse eelarvekontrollikomisjoni raportit (A9</w:t>
      </w:r>
      <w:r w:rsidRPr="009F6C8F">
        <w:noBreakHyphen/>
        <w:t>0000/2024),</w:t>
      </w:r>
    </w:p>
    <w:p w:rsidR="00041AE6" w:rsidRPr="009F6C8F" w:rsidRDefault="008A3A5F" w:rsidP="00041AE6">
      <w:pPr>
        <w:pStyle w:val="NormalHanging12a"/>
      </w:pPr>
      <w:r w:rsidRPr="009F6C8F">
        <w:t>1.</w:t>
      </w:r>
      <w:r w:rsidRPr="009F6C8F">
        <w:tab/>
        <w:t>annab heakskiidu Euroopa Kindlustus- ja Tööandjapensionide Järelevalve 2022. aasta raamatupidamiskontode sulgemisele / lükkab edasi Euroopa Kindlustus- ja Tööandjapensionide Järelevalve 2022. aasta raamatupidamiskontode sulgemise;</w:t>
      </w:r>
    </w:p>
    <w:p w:rsidR="00041AE6" w:rsidRPr="009F6C8F" w:rsidRDefault="008A3A5F" w:rsidP="00041AE6">
      <w:pPr>
        <w:pStyle w:val="NormalHanging12a"/>
      </w:pPr>
      <w:r w:rsidRPr="009F6C8F">
        <w:t>2.</w:t>
      </w:r>
      <w:r w:rsidRPr="009F6C8F">
        <w:tab/>
        <w:t xml:space="preserve">teeb presidendile ülesandeks edastada käesolev otsus Euroopa Kindlustus- ja Tööandjapensionide Järelevalve tegevdirektorile, nõukogule, komisjonile ja kontrollikojale ning korraldada selle avaldamine </w:t>
      </w:r>
      <w:r w:rsidRPr="009F6C8F">
        <w:rPr>
          <w:i/>
        </w:rPr>
        <w:t>Euroopa Liidu Teatajas</w:t>
      </w:r>
      <w:r w:rsidRPr="009F6C8F">
        <w:t xml:space="preserve"> (L-seerias).</w:t>
      </w:r>
    </w:p>
    <w:p w:rsidR="00041AE6" w:rsidRPr="009F6C8F" w:rsidRDefault="00041AE6" w:rsidP="00041AE6"/>
    <w:p w:rsidR="00041AE6" w:rsidRPr="009F6C8F" w:rsidRDefault="00041AE6" w:rsidP="00041AE6">
      <w:pPr>
        <w:widowControl/>
        <w:rPr>
          <w:rFonts w:ascii="Arial" w:hAnsi="Arial" w:cs="Arial"/>
          <w:b/>
        </w:rPr>
        <w:sectPr w:rsidR="00041AE6" w:rsidRPr="009F6C8F">
          <w:footnotePr>
            <w:numRestart w:val="eachSect"/>
          </w:footnotePr>
          <w:endnotePr>
            <w:numFmt w:val="decimal"/>
          </w:endnotePr>
          <w:pgSz w:w="11906" w:h="16838"/>
          <w:pgMar w:top="1134" w:right="1418" w:bottom="1418" w:left="1418" w:header="567" w:footer="567" w:gutter="0"/>
          <w:cols w:space="720"/>
        </w:sectPr>
      </w:pPr>
    </w:p>
    <w:p w:rsidR="00041AE6" w:rsidRPr="009F6C8F" w:rsidRDefault="008A3A5F" w:rsidP="00041AE6">
      <w:pPr>
        <w:pStyle w:val="PageHeading"/>
      </w:pPr>
      <w:bookmarkStart w:id="6" w:name="_Toc146789946"/>
      <w:bookmarkStart w:id="7" w:name="_Toc157411269"/>
      <w:r w:rsidRPr="009F6C8F">
        <w:t>3. EUROOPA PARLAMENDI RESOLUTSIOONI ETTEPANEK</w:t>
      </w:r>
      <w:bookmarkEnd w:id="6"/>
      <w:bookmarkEnd w:id="7"/>
    </w:p>
    <w:p w:rsidR="00041AE6" w:rsidRPr="009F6C8F" w:rsidRDefault="008A3A5F" w:rsidP="00041AE6">
      <w:pPr>
        <w:pStyle w:val="NormalBold"/>
      </w:pPr>
      <w:r w:rsidRPr="009F6C8F">
        <w:t>tähelepanekutega, mis on Euroopa Kindlustus- ja Tööandjapensionide Järelevalve 2022. aasta eelarve täitmisele heakskiidu andmist käsitleva otsuse lahutamatu osa</w:t>
      </w:r>
    </w:p>
    <w:p w:rsidR="00041AE6" w:rsidRPr="009F6C8F" w:rsidRDefault="008A3A5F" w:rsidP="00041AE6">
      <w:pPr>
        <w:pStyle w:val="NormalBold"/>
      </w:pPr>
      <w:r w:rsidRPr="009F6C8F">
        <w:t>(2023/2153(DEC))</w:t>
      </w:r>
    </w:p>
    <w:p w:rsidR="006D4BA8" w:rsidRPr="009F6C8F" w:rsidRDefault="008A3A5F" w:rsidP="006D4BA8">
      <w:pPr>
        <w:pStyle w:val="EPComma"/>
      </w:pPr>
      <w:r w:rsidRPr="009F6C8F">
        <w:rPr>
          <w:i/>
          <w:iCs/>
        </w:rPr>
        <w:t>Euroopa Parlament,</w:t>
      </w:r>
    </w:p>
    <w:p w:rsidR="006D4BA8" w:rsidRPr="009F6C8F" w:rsidRDefault="008A3A5F" w:rsidP="006D4BA8">
      <w:pPr>
        <w:pStyle w:val="NormalHanging12a"/>
      </w:pPr>
      <w:r w:rsidRPr="009F6C8F">
        <w:t>–</w:t>
      </w:r>
      <w:r w:rsidRPr="009F6C8F">
        <w:tab/>
        <w:t>võttes arvesse oma otsust Euroopa Kindlustus- ja Tööandjapensionide Järelevalve 2022. aasta eelarve täitmisele heakskiidu andmise kohta,</w:t>
      </w:r>
    </w:p>
    <w:p w:rsidR="006D4BA8" w:rsidRPr="009F6C8F" w:rsidRDefault="008A3A5F" w:rsidP="006D4BA8">
      <w:pPr>
        <w:pStyle w:val="NormalHanging12a"/>
      </w:pPr>
      <w:r w:rsidRPr="009F6C8F">
        <w:t>–</w:t>
      </w:r>
      <w:r w:rsidRPr="009F6C8F">
        <w:tab/>
        <w:t>võttes arvesse kodukorra artiklit 100 ja V lisa,</w:t>
      </w:r>
    </w:p>
    <w:p w:rsidR="006D4BA8" w:rsidRPr="009F6C8F" w:rsidRDefault="008A3A5F" w:rsidP="006D4BA8">
      <w:pPr>
        <w:pStyle w:val="NormalHanging12a"/>
      </w:pPr>
      <w:r w:rsidRPr="009F6C8F">
        <w:t>–</w:t>
      </w:r>
      <w:r w:rsidRPr="009F6C8F">
        <w:tab/>
        <w:t>võttes arvesse eelarvekontrollikomisjoni raportit (A9</w:t>
      </w:r>
      <w:r w:rsidRPr="009F6C8F">
        <w:noBreakHyphen/>
        <w:t>0000/2024),</w:t>
      </w:r>
    </w:p>
    <w:p w:rsidR="006D4BA8" w:rsidRPr="009F6C8F" w:rsidRDefault="008A3A5F" w:rsidP="006D4BA8">
      <w:pPr>
        <w:widowControl/>
        <w:spacing w:after="240"/>
        <w:ind w:left="567" w:hanging="567"/>
        <w:rPr>
          <w:szCs w:val="24"/>
        </w:rPr>
      </w:pPr>
      <w:r w:rsidRPr="009F6C8F">
        <w:t>A.</w:t>
      </w:r>
      <w:r w:rsidRPr="009F6C8F">
        <w:tab/>
        <w:t>arvestades, et Euroopa Kindlustus- ja Tööandjapensionide Järelevalve (edaspidi „asutus“) tulude ja kulude eelarvestuse</w:t>
      </w:r>
      <w:r w:rsidRPr="009F6C8F">
        <w:rPr>
          <w:rStyle w:val="FootnoteReference"/>
          <w:szCs w:val="24"/>
        </w:rPr>
        <w:footnoteReference w:id="11"/>
      </w:r>
      <w:r w:rsidRPr="009F6C8F">
        <w:t xml:space="preserve"> kohaselt oli asutuse 2022. aasta lõplik eelarve 34 571 120 eurot, mis tähendab 2021. aastaga võrreldes 5,27 % suurust kasvu; arvestades, et asutust rahastatakse liidu eelarvest eraldatavast summast (12 932 000 eurot, mis moodustab 37,40 %) ja liikmesriikide riiklike järelevalveasutuste osamaksetest (21 076 120 eurot, mis moodustab 60,96 %);</w:t>
      </w:r>
    </w:p>
    <w:p w:rsidR="006D4BA8" w:rsidRPr="009F6C8F" w:rsidRDefault="008A3A5F" w:rsidP="006D4BA8">
      <w:pPr>
        <w:widowControl/>
        <w:spacing w:after="240"/>
        <w:ind w:left="567" w:hanging="567"/>
        <w:rPr>
          <w:szCs w:val="24"/>
        </w:rPr>
      </w:pPr>
      <w:r w:rsidRPr="009F6C8F">
        <w:t>B.</w:t>
      </w:r>
      <w:r w:rsidRPr="009F6C8F">
        <w:tab/>
        <w:t>arvestades, et kontrollikoda märkis oma aruandes Euroopa Kindlustus- ja Tööandjapensionide Järelevalve eelarveaasta 2022 raamatupidamise aastaaruande kohta (edaspidi „kontrollikoja aruanne“), et ta sai piisava kindluse selle kohta, et asutuse raamatupidamise aastaaruanne on usaldusväärne ning selle aluseks olevad tehingud on seaduslikud ja korrektsed;</w:t>
      </w:r>
    </w:p>
    <w:p w:rsidR="006D4BA8" w:rsidRPr="009F6C8F" w:rsidRDefault="008A3A5F" w:rsidP="006D4BA8">
      <w:pPr>
        <w:widowControl/>
        <w:spacing w:after="240"/>
        <w:ind w:left="567" w:hanging="567"/>
        <w:rPr>
          <w:b/>
          <w:i/>
          <w:szCs w:val="24"/>
        </w:rPr>
      </w:pPr>
      <w:r w:rsidRPr="009F6C8F">
        <w:rPr>
          <w:b/>
          <w:i/>
        </w:rPr>
        <w:t>Eelarve haldamine ja finantsjuhtimine</w:t>
      </w:r>
    </w:p>
    <w:p w:rsidR="006D4BA8" w:rsidRPr="009F6C8F" w:rsidRDefault="008A3A5F" w:rsidP="006D4BA8">
      <w:pPr>
        <w:widowControl/>
        <w:spacing w:after="240"/>
        <w:ind w:left="567" w:hanging="567"/>
        <w:rPr>
          <w:szCs w:val="24"/>
        </w:rPr>
      </w:pPr>
      <w:r w:rsidRPr="009F6C8F">
        <w:t>1.</w:t>
      </w:r>
      <w:r w:rsidRPr="009F6C8F">
        <w:tab/>
        <w:t>märgib rahuloluga, et 2022. aastal tehtud eelarveseire tulemusel oli eelarve täitmise määr 99,46 %, mis oli 2021. aasta omast 0,52 % madalam; märgib siiski, et maksete assigneeringute täitmise määr oli 92,07 %, mis on 2021. aastaga võrreldes 12,95 % kõrgem;</w:t>
      </w:r>
    </w:p>
    <w:p w:rsidR="006D4BA8" w:rsidRPr="009F6C8F" w:rsidRDefault="008A3A5F" w:rsidP="006D4BA8">
      <w:pPr>
        <w:widowControl/>
        <w:spacing w:after="240"/>
        <w:ind w:left="567" w:hanging="567"/>
        <w:rPr>
          <w:szCs w:val="24"/>
        </w:rPr>
      </w:pPr>
      <w:r w:rsidRPr="009F6C8F">
        <w:rPr>
          <w:b/>
          <w:i/>
        </w:rPr>
        <w:t>Tulemuslikkus</w:t>
      </w:r>
    </w:p>
    <w:p w:rsidR="006D4BA8" w:rsidRPr="009F6C8F" w:rsidRDefault="008A3A5F" w:rsidP="006D4BA8">
      <w:pPr>
        <w:widowControl/>
        <w:spacing w:after="240"/>
        <w:ind w:left="567" w:hanging="567"/>
        <w:rPr>
          <w:szCs w:val="24"/>
        </w:rPr>
      </w:pPr>
      <w:r w:rsidRPr="009F6C8F">
        <w:t>2.</w:t>
      </w:r>
      <w:r w:rsidRPr="009F6C8F">
        <w:tab/>
        <w:t>märgib, et asutus kasutab teatavaid meetmeid, näiteks peamisi tulemusnäitajaid, et hinnata oma tegevusest tulenevat lisaväärtust, ning teisi meetmeid, et parandada eelarve haldamist; märgib, et 2022. aastal seadis asutus oma seitsmes peamises töövaldkonnas 17 strateegilise tasandi tulemuseesmärki; märgib rahuloluga, et asutus saavutas neist eesmärkidest 15 või ületas neid, samas kui kahe muu peamise tulemusnäitaja eesmärki ei peetud kohaldatavaks, sest sõltuti digitaalse tegevuskerksuse määruse (DORA) seadusandlikust ajakavast ja murrangulisest tehnoloogiast;</w:t>
      </w:r>
    </w:p>
    <w:p w:rsidR="006D4BA8" w:rsidRPr="009F6C8F" w:rsidRDefault="008A3A5F" w:rsidP="006D4BA8">
      <w:pPr>
        <w:widowControl/>
        <w:spacing w:after="240"/>
        <w:ind w:left="567" w:hanging="567"/>
        <w:rPr>
          <w:szCs w:val="24"/>
        </w:rPr>
      </w:pPr>
      <w:r w:rsidRPr="009F6C8F">
        <w:t>3.</w:t>
      </w:r>
      <w:r w:rsidRPr="009F6C8F">
        <w:tab/>
        <w:t>märgib, et asutuse kava kohaselt tarniti 342 toodet ja teenust, mis moodustavad 91 % kõigist toodetest ja teenustest, kusjuures 20 toote ja teenuse puhul esines väikesi viivitusi ning 13 toodet ja teenust ei ole edasi arendatud, sageli seetõttu, et sõltutakse seadusandlike otsuste tähtaegadest (nt Solventsus II läbivaatamine) või tehnoloogilisest arengust turul ja konkureerivatest prioriteetidest; tunnustab asutust selle eest, et tema ettekanded kasvasid 167-lt 2021. aastal 214-le 2022. aastal;</w:t>
      </w:r>
    </w:p>
    <w:p w:rsidR="006D4BA8" w:rsidRPr="009F6C8F" w:rsidRDefault="008A3A5F" w:rsidP="006D4BA8">
      <w:pPr>
        <w:widowControl/>
        <w:spacing w:after="240"/>
        <w:ind w:left="567" w:hanging="567"/>
        <w:rPr>
          <w:szCs w:val="24"/>
        </w:rPr>
      </w:pPr>
      <w:r w:rsidRPr="009F6C8F">
        <w:t>4.</w:t>
      </w:r>
      <w:r w:rsidRPr="009F6C8F">
        <w:tab/>
        <w:t>tunnustab asutuse arvukaid saavutusi 2022. aastal, mil too täitis suurel määral oma ülesandeid järelevalve ühtlustamise, tarbijakaitse ja finantsstabiilsuse valdkonnas; märgib eelkõige, et asutus viis läbi esimese tööandja kogumispensioni asutuse kliimaalase stressitesti, et saada ülevaade keskkonnariskide mõjust Euroopa kutsepensionisektorile, esitas komisjonile rakenduslikud tehnilised standardid, milles on sätestatud Solventsus II kohased järelevalvelise aruandluse ja avalikustamise nõuded, avaldas mitu dokumenti, aruannet ja suunist kestlikkusriskide integreerimise kohta (edasi)kindlustusandjate ja tööandjapensionifondide riskijuhtimisse ning andis kaasseadusandjatele tehisintellekti käsitleva õigusakti ja DORAga seotud õigusloomeprotsessis sisendit ja tehnilist nõu; tunnustab asutust digiülemineku valdkonna mitmesuguste algatuste ja meetmete eest, millega toetatakse liidu digirahanduse strateegia eesmärke, sealhulgas aidates koos mitme sidusrühmaga, näiteks Euroopa Ülikool-Instituudiga asutada ELi digirahanduse järelevalve akadeemiat;</w:t>
      </w:r>
    </w:p>
    <w:p w:rsidR="006D4BA8" w:rsidRPr="009F6C8F" w:rsidRDefault="008A3A5F" w:rsidP="006D4BA8">
      <w:pPr>
        <w:widowControl/>
        <w:spacing w:after="240"/>
        <w:ind w:left="567" w:hanging="567"/>
        <w:rPr>
          <w:szCs w:val="24"/>
        </w:rPr>
      </w:pPr>
      <w:r w:rsidRPr="009F6C8F">
        <w:t>5.</w:t>
      </w:r>
      <w:r w:rsidRPr="009F6C8F">
        <w:tab/>
        <w:t>täheldab, et asutus kasutas esimest korda mitmeid asutusele EIOPA määrusega antud volitusi ja vahendeid; võtab sellega seoses teadmiseks, et asutus esitas 2022. aastal Slovakkia Riigipangale (NBS) oma järelduste põhjal soovituse, mille kohaselt ei olnud järelevalve seisukohast asjakohaselt käsitletud kapitalinõuete rikkumist (mille pani toime Slovakkia kindlustusandja); märgib lisaks murega, et asutus leidis, et Slovakkia Riigipank rikub liidu õigust, ning seetõttu esitas komisjon ametliku arvamuse, milles nõuti, et Slovakkia Riigipank võtaks liidu õiguse järgimiseks vajalikke meetmeid, ning EIOPA määruse artikli 22 alusel viidi läbi uurimine; palub asutusel hoida eelarve täitmisele heakskiidu andmise eest vastutavat institutsiooni kõnealuse uurimise järelmeetmete ja tulemustega kursis;</w:t>
      </w:r>
    </w:p>
    <w:p w:rsidR="006D4BA8" w:rsidRPr="009F6C8F" w:rsidRDefault="008A3A5F" w:rsidP="006D4BA8">
      <w:pPr>
        <w:widowControl/>
        <w:spacing w:after="240"/>
        <w:ind w:left="567" w:hanging="567"/>
        <w:rPr>
          <w:szCs w:val="24"/>
        </w:rPr>
      </w:pPr>
      <w:r w:rsidRPr="009F6C8F">
        <w:t>6.</w:t>
      </w:r>
      <w:r w:rsidRPr="009F6C8F">
        <w:tab/>
        <w:t>märgib, et asutus aitas tagada finantsstabiilsust ja kaitsta tarbijaid, jälgides põhjalikult turge ja hinnates mõju uues kontekstis, mis on seotud Venemaa provotseerimata ja ebaseadusliku sissetungiga Ukrainasse ning rahapoliitika järkjärgulise karmistamisega, et reageerida rekordiliselt kõrgetele inflatsioonimääradele kogu Euroopas; väljendab heameelt selle üle, et 2022. aastal avaldati õigeaegselt inflatsiooni käsitlev järelevalvearuanne, milles keskendutakse sellele, kuidas inflatsioon mõjutab tehnilisi eraldisi, investeeringuid ja solventsuskapitalinõudeid;</w:t>
      </w:r>
    </w:p>
    <w:p w:rsidR="006D4BA8" w:rsidRPr="009F6C8F" w:rsidRDefault="008A3A5F" w:rsidP="006D4BA8">
      <w:pPr>
        <w:widowControl/>
        <w:spacing w:after="240"/>
        <w:ind w:left="567" w:hanging="567"/>
        <w:rPr>
          <w:b/>
          <w:i/>
          <w:szCs w:val="24"/>
        </w:rPr>
      </w:pPr>
      <w:r w:rsidRPr="009F6C8F">
        <w:rPr>
          <w:b/>
          <w:i/>
        </w:rPr>
        <w:t>Tõhusus ja selle suurendamine</w:t>
      </w:r>
    </w:p>
    <w:p w:rsidR="006D4BA8" w:rsidRPr="009F6C8F" w:rsidRDefault="008A3A5F" w:rsidP="006D4BA8">
      <w:pPr>
        <w:widowControl/>
        <w:spacing w:after="240"/>
        <w:ind w:left="567" w:hanging="567"/>
        <w:rPr>
          <w:rFonts w:cstheme="minorHAnsi"/>
        </w:rPr>
      </w:pPr>
      <w:r w:rsidRPr="009F6C8F">
        <w:t>7.</w:t>
      </w:r>
      <w:r w:rsidRPr="009F6C8F">
        <w:tab/>
        <w:t>võtab teadmiseks, et Euroopa järelevalveasutused (ESAd) koordineerivad, jagavad ja toetavad üksteist paljudes valdkondades, nii põhitegevuses kui ka tugivaldkondades; väljendab heameelt asjaolu üle, et ESAd ühendasid jõud strateegilistes algatustes, nagu tarkvararakenduste arendamine, võrgutaristu ja IT-alane nõustamine, jagades muu hulgas samu tarnijaid; võtab sellega seoses teadmiseks asutuse 2022. aastal heaks kiidetud pilvandmetöötluse strateegia, mille töötas välja asutus koos kahe teise Euroopa järelevalveasutuse, teiste liidu institutsioonide ja riiklike pädevate asutustega ning mille eesmärk on pakkuda autonoomsemaid, automatiseeritud ja iseteenindustooteid, et teenindada asutuse eksperte ja liikmesriikide pädevaid asutusi;</w:t>
      </w:r>
    </w:p>
    <w:p w:rsidR="006D4BA8" w:rsidRPr="009F6C8F" w:rsidRDefault="008A3A5F" w:rsidP="006D4BA8">
      <w:pPr>
        <w:widowControl/>
        <w:spacing w:after="240"/>
        <w:ind w:left="567" w:hanging="567"/>
        <w:rPr>
          <w:rFonts w:cstheme="minorHAnsi"/>
        </w:rPr>
      </w:pPr>
      <w:r w:rsidRPr="009F6C8F">
        <w:t>8.</w:t>
      </w:r>
      <w:r w:rsidRPr="009F6C8F">
        <w:tab/>
        <w:t>tunnustab asutust investeeringute ja töötajate määramise eest digiülemineku valdkonna projektidesse, et saavutada uus tõhususe tase, automatiseerides ja ühtlustades äriprotsesse ning parandades muu hulgas turulejõudmise aega ja koostööd funktsioonide sees ja vahel; väljendab sellega seoses heameelt asutuse 2022. aastal ellu viidud projektide üle, milles keskendutakse andmeanalüüsi suutlikkuse parandamisele, et saavutada eesmärk muuta asutus täielikult digitaalseks ja andmepõhiseks organisatsiooniks;</w:t>
      </w:r>
    </w:p>
    <w:p w:rsidR="006D4BA8" w:rsidRPr="009F6C8F" w:rsidRDefault="008A3A5F" w:rsidP="006D4BA8">
      <w:pPr>
        <w:widowControl/>
        <w:spacing w:after="240"/>
        <w:ind w:left="567" w:hanging="567"/>
        <w:rPr>
          <w:rFonts w:cstheme="minorHAnsi"/>
          <w:iCs/>
        </w:rPr>
      </w:pPr>
      <w:r w:rsidRPr="009F6C8F">
        <w:t>9.</w:t>
      </w:r>
      <w:r w:rsidRPr="009F6C8F">
        <w:tab/>
        <w:t>märgib, et seoses igapäevaste äritavadega on asutus rakendanud kulutõhususe suurendamiseks mitmesuguseid meetmeid, nagu hübriidtöö, füüsilise töökoha jagamine ja kaasaegsed videokonverentsilahendused, mis on viinud ärireiside vähenemiseni; märgib, et institutsiooniliste teadmiste, oskusteabe ja tõhususe säilitamiseks põhiülesannete täitmisel tõhustas asutus veelgi oma integreeritud talendihaldussüsteemi; palub asutusel esitada eelarve täitmisele heakskiidu andmise eest vastutavale institutsioonile andmed ja arvandmed eelnimetatud süsteemi mõju kohta;</w:t>
      </w:r>
    </w:p>
    <w:p w:rsidR="006D4BA8" w:rsidRPr="009F6C8F" w:rsidRDefault="008A3A5F" w:rsidP="006D4BA8">
      <w:pPr>
        <w:widowControl/>
        <w:spacing w:after="240"/>
        <w:ind w:left="567" w:hanging="567"/>
        <w:rPr>
          <w:rFonts w:cstheme="minorHAnsi"/>
          <w:iCs/>
        </w:rPr>
      </w:pPr>
      <w:r w:rsidRPr="009F6C8F">
        <w:t>10.</w:t>
      </w:r>
      <w:r w:rsidRPr="009F6C8F">
        <w:tab/>
        <w:t>võtab kontrollikoja aruande põhjal teadmiseks, et asutus kuulub nende ametite hulka, kellel on ametikava oma tegevuse energiatõhususe ja kliimaneutraalsuse parandamiseks ning kes esitab keskkonnaaruande (nt CO</w:t>
      </w:r>
      <w:r w:rsidRPr="009F6C8F">
        <w:rPr>
          <w:vertAlign w:val="subscript"/>
        </w:rPr>
        <w:t>2</w:t>
      </w:r>
      <w:r w:rsidRPr="009F6C8F">
        <w:t xml:space="preserve"> jalajälje aruandluse kohta), mis on lisatud nende iga-aastastesse tegevusaruannetesse; tunnustab lisaks asutust selle eest, et ta sai 2022. aastal EMASi (Euroopa Liidu keskkonnajuhtimis- ja -auditeerimissüsteem) sertifitseerimise, et saavutada 2023. aastal EMASi ametlik akrediteering;</w:t>
      </w:r>
    </w:p>
    <w:p w:rsidR="006D4BA8" w:rsidRPr="009F6C8F" w:rsidRDefault="008A3A5F" w:rsidP="006D4BA8">
      <w:pPr>
        <w:widowControl/>
        <w:spacing w:after="240"/>
        <w:ind w:left="567" w:hanging="567"/>
        <w:rPr>
          <w:b/>
          <w:i/>
          <w:szCs w:val="24"/>
        </w:rPr>
      </w:pPr>
      <w:r w:rsidRPr="009F6C8F">
        <w:rPr>
          <w:b/>
          <w:i/>
        </w:rPr>
        <w:t>Personalipoliitika</w:t>
      </w:r>
    </w:p>
    <w:p w:rsidR="006D4BA8" w:rsidRPr="009F6C8F" w:rsidRDefault="008A3A5F" w:rsidP="006D4BA8">
      <w:pPr>
        <w:widowControl/>
        <w:spacing w:after="240"/>
        <w:ind w:left="567" w:hanging="567"/>
        <w:rPr>
          <w:szCs w:val="24"/>
        </w:rPr>
      </w:pPr>
      <w:r w:rsidRPr="009F6C8F">
        <w:t>11.</w:t>
      </w:r>
      <w:r w:rsidRPr="009F6C8F">
        <w:tab/>
        <w:t>märgib, et 31. detsembri 2022. aasta seisuga oli 99 % ametikohtade loetelus olevatest kohtadest täidetud (sama, mis 2021. aastal), kusjuures liidu eelarves kinnitatud 138 ajutisest teenistujast oli ametisse nimetatud 137; märgib, et 2022. aastal töötas asutuse heaks ka 36 lepingulist töötajat ja 24 lähetatud riiklikku eksperti;</w:t>
      </w:r>
    </w:p>
    <w:p w:rsidR="006D4BA8" w:rsidRPr="009F6C8F" w:rsidRDefault="008A3A5F" w:rsidP="006D4BA8">
      <w:pPr>
        <w:spacing w:after="240"/>
        <w:ind w:left="567" w:hanging="567"/>
        <w:rPr>
          <w:szCs w:val="24"/>
        </w:rPr>
      </w:pPr>
      <w:r w:rsidRPr="009F6C8F">
        <w:t>12.</w:t>
      </w:r>
      <w:r w:rsidRPr="009F6C8F">
        <w:tab/>
        <w:t>võtab teadmiseks asutuse teatatud soolise jaotuse 2022. aastal: 15 meest (65,20 %) ja 8 naist (34,80 %) keskmise ja kõrgema juhtkonna ametikohtadel ja juhatuses, ning 104 meest (53,60 %) ja 90 naist (46,40 %) kogu personali hulgas kokku;</w:t>
      </w:r>
    </w:p>
    <w:p w:rsidR="006D4BA8" w:rsidRPr="009F6C8F" w:rsidRDefault="008A3A5F" w:rsidP="006D4BA8">
      <w:pPr>
        <w:spacing w:after="240"/>
        <w:ind w:left="567" w:hanging="567"/>
        <w:rPr>
          <w:rFonts w:cstheme="minorHAnsi"/>
        </w:rPr>
      </w:pPr>
      <w:r w:rsidRPr="009F6C8F">
        <w:t>13.</w:t>
      </w:r>
      <w:r w:rsidRPr="009F6C8F">
        <w:tab/>
        <w:t xml:space="preserve">väljendab heameelt asjaolu üle, et 2022. aastal jätkas asutus mitmekesisuse ja kaasamise strateegia (vastu võetud 2021. aastal) ja oma üksikasjaliku tegevuskava rakendamist algatuste kaudu, mis hõlmavad valdkondadevahelisi meetmeid, nagu muu hulgas koostöö teiste institutsioonidega, mitmekesisema tööjõu ligimeelitamine ja valimine, diskrimineerimise, ahistamise, teadliku ja alateadliku kallutatuse ennetamine ning mitmekesisuse ja kaasamisega seotud andmete jälgimine; märgib, et 2022. aastal teatati ühest väidetavast ahistamisest, kuid juhtum lõpetati ilma edasiste meetmeteta, sest esialgse hinnangu põhjal ei leitud </w:t>
      </w:r>
      <w:r w:rsidRPr="009F6C8F">
        <w:rPr>
          <w:i/>
        </w:rPr>
        <w:t>prima faciae</w:t>
      </w:r>
      <w:r w:rsidRPr="009F6C8F">
        <w:t xml:space="preserve"> tõendeid;</w:t>
      </w:r>
    </w:p>
    <w:p w:rsidR="006D4BA8" w:rsidRPr="009F6C8F" w:rsidRDefault="008A3A5F" w:rsidP="006D4BA8">
      <w:pPr>
        <w:widowControl/>
        <w:spacing w:after="240"/>
        <w:ind w:left="567" w:hanging="567"/>
        <w:rPr>
          <w:szCs w:val="24"/>
        </w:rPr>
      </w:pPr>
      <w:r w:rsidRPr="009F6C8F">
        <w:t>14.</w:t>
      </w:r>
      <w:r w:rsidRPr="009F6C8F">
        <w:tab/>
        <w:t>väljendab heameelt asjaolu üle, et asutus on pühendunud mitmekesise ja kaasava töökeskkonna edendamisele ja pakkumisele, mis vastab ka puuetega inimeste vajadustele; märgib sellega seoses, et 2022. aastal nimetati ametisse asutusesisene puuetega inimeste koordinaator ja saadik, et veelgi tugevdada ja keskendada tähelepanu sellele konkreetsele valdkonnale, ning töötajate ja juhtkonna seas viidi läbi spetsiaalne uuring ning teadlikkuse suurendamise meetmed;</w:t>
      </w:r>
    </w:p>
    <w:p w:rsidR="006D4BA8" w:rsidRPr="009F6C8F" w:rsidRDefault="008A3A5F" w:rsidP="006D4BA8">
      <w:pPr>
        <w:widowControl/>
        <w:spacing w:after="240"/>
        <w:ind w:left="567" w:hanging="567"/>
        <w:rPr>
          <w:szCs w:val="24"/>
        </w:rPr>
      </w:pPr>
      <w:r w:rsidRPr="009F6C8F">
        <w:t>15.</w:t>
      </w:r>
      <w:r w:rsidRPr="009F6C8F">
        <w:tab/>
        <w:t>märgib, et asutus on jätkuvalt kindlalt pühendunud töötajate heaolu ning töö- ja eraelu tasakaalu parandamisele, kusjuures töötajate kaasamise ja rahulolu vallas on näha positiivseid tulemusi; märgib, et peamised tähelepanu all olevad valdkonnad olid paindlik töökorraldus, kaugtöö, elukestev nõustamine ja karjääri arendamine, heaoluprogrammid ja toetav juhtimine;</w:t>
      </w:r>
    </w:p>
    <w:p w:rsidR="006D4BA8" w:rsidRPr="009F6C8F" w:rsidRDefault="008A3A5F" w:rsidP="006D4BA8">
      <w:pPr>
        <w:widowControl/>
        <w:spacing w:after="240"/>
        <w:ind w:left="567" w:hanging="567"/>
        <w:rPr>
          <w:b/>
          <w:i/>
          <w:szCs w:val="24"/>
        </w:rPr>
      </w:pPr>
      <w:r w:rsidRPr="009F6C8F">
        <w:rPr>
          <w:b/>
          <w:i/>
        </w:rPr>
        <w:t>Hanked</w:t>
      </w:r>
    </w:p>
    <w:p w:rsidR="006D4BA8" w:rsidRPr="009F6C8F" w:rsidRDefault="008A3A5F" w:rsidP="006D4BA8">
      <w:pPr>
        <w:widowControl/>
        <w:spacing w:after="240"/>
        <w:ind w:left="567" w:hanging="567"/>
        <w:rPr>
          <w:szCs w:val="24"/>
        </w:rPr>
      </w:pPr>
      <w:r w:rsidRPr="009F6C8F">
        <w:t>16.</w:t>
      </w:r>
      <w:r w:rsidRPr="009F6C8F">
        <w:tab/>
        <w:t>võtab kontrollikoja aruande põhjal teadmiseks tähelepaneku, et asutus tegi makseid (kokku 25 607 eurot) pärast selle lepingu kehtivusaja lõppu, mille alusel asutus hankis mobiilsideteenuseid nelja aasta jooksul (2017–2021); võtab teadmiseks kontrollikoja järelduse, et need maksed olid õigusnormide vastased; võtab lisaks teadmiseks kontrollikoja tähelepaneku, et selle lepingu muudatusega, mis allkirjastati 2022. aasta aprillis, rikuti finantsmääruse I lisa punkti 1.1;</w:t>
      </w:r>
    </w:p>
    <w:p w:rsidR="006D4BA8" w:rsidRPr="009F6C8F" w:rsidRDefault="008A3A5F" w:rsidP="006D4BA8">
      <w:pPr>
        <w:widowControl/>
        <w:spacing w:after="240"/>
        <w:ind w:left="567" w:hanging="567"/>
        <w:rPr>
          <w:szCs w:val="24"/>
        </w:rPr>
      </w:pPr>
      <w:r w:rsidRPr="009F6C8F">
        <w:t>17.</w:t>
      </w:r>
      <w:r w:rsidRPr="009F6C8F">
        <w:tab/>
        <w:t>tuletab kontrollikoja aastaaruandest liidu asutuste eelarveaasta 2021 kohta meelde tähelepanekut summa (28 8125 eurot) kohta, mille asutus maksis alusetult seoses oma ruumide üürilepinguga; võtab eelnevaga seoses teadmiseks asutuse aruande meetmete kohta, mis on võetud eelarve täitmisele heakskiidu andmise eest vastutava institutsiooni soovituste alusel (2021. aasta eelarve täitmisele heakskiidu andmine), asutuse seisukoha, et lepinguliste kohustuste eiramine oleks avaldanud asutusele negatiivset õiguslikku ja mainealast mõju; võtab kontrollikoja aruande põhjal teadmiseks, et selle tähelepaneku staatus on endiselt lahtine; kutsub asutust üles tegema uue rendilepingu hankemenetluse algatamisel kõik vajalikud jõupingutused, et vältida mis tahes vastuolu üürilepinguga kehtestatud kohustuste ja finantsmääruse asjakohaste sätete vahel;</w:t>
      </w:r>
    </w:p>
    <w:p w:rsidR="006D4BA8" w:rsidRPr="009F6C8F" w:rsidRDefault="008A3A5F" w:rsidP="006D4BA8">
      <w:pPr>
        <w:widowControl/>
        <w:spacing w:after="240"/>
        <w:rPr>
          <w:szCs w:val="24"/>
        </w:rPr>
      </w:pPr>
      <w:r w:rsidRPr="009F6C8F">
        <w:rPr>
          <w:b/>
          <w:i/>
        </w:rPr>
        <w:t>Huvide konfliktide ennetamine ja ohjamine ning läbipaistvus</w:t>
      </w:r>
    </w:p>
    <w:p w:rsidR="006D4BA8" w:rsidRPr="009F6C8F" w:rsidRDefault="008A3A5F" w:rsidP="006D4BA8">
      <w:pPr>
        <w:widowControl/>
        <w:spacing w:after="240"/>
        <w:ind w:left="567" w:hanging="567"/>
        <w:rPr>
          <w:szCs w:val="24"/>
        </w:rPr>
      </w:pPr>
      <w:r w:rsidRPr="009F6C8F">
        <w:t>18.</w:t>
      </w:r>
      <w:r w:rsidRPr="009F6C8F">
        <w:tab/>
        <w:t>väljendab heameelt selle üle, et asutuse õiguslike nõuete kohaselt avaldatakse asutuse veebisaidil tema järelevalvenõukogu liikmete ja juhatuse liikmete elulookirjeldused, asutuse esimehe ja tegevdirektori elulookirjeldused ning asutuse osakonnajuhatajate lühikesed elulookirjeldused; märgib, et iga juhatuse liikme, järelevalvenõukogu liikme ja asutuse kõrgema juhtkonna liikme kohta on avalikult kättesaadavad huvide deklaratsioonid ja kavatsuste deklaratsioonid; väljendab lisaks heameelt selle üle, et asutuse veebisaidil avaldati töötajate kohtumised lobistidega;</w:t>
      </w:r>
    </w:p>
    <w:p w:rsidR="006D4BA8" w:rsidRPr="009F6C8F" w:rsidRDefault="008A3A5F" w:rsidP="006D4BA8">
      <w:pPr>
        <w:widowControl/>
        <w:spacing w:after="240"/>
        <w:ind w:left="567" w:hanging="567"/>
        <w:rPr>
          <w:szCs w:val="24"/>
        </w:rPr>
      </w:pPr>
      <w:r w:rsidRPr="009F6C8F">
        <w:t>19.</w:t>
      </w:r>
      <w:r w:rsidRPr="009F6C8F">
        <w:tab/>
        <w:t>väljendab heameelt asjaolu üle, et 2022. aastal tugevdas asutus oma töötajate ja mittekoosseisuliste liikmete eetikanorme, käsitledes kontrollikoja tähelepanekuid, mis on esitatud asutuse 2021. aasta raamatupidamise aastaaruannet käsitlevas kontrollikoja aruandes ning mille eesmärk on säilitada erapooletu, objektiivne ja sõltumatu otsuste tegemine ning teha kiiresti kindlaks ja käsitleda võimalikke huvide konflikte; märgib sellega seoses, et vaadati läbi asutuse kodukord, võeti vastu sõltumatuse ja otsustusprotsessi poliitika, et vältida mittekoosseisuliste töötajate huvide konflikte, kiideti heaks esimehe ja tegevdirektori hindamist käsitleva otsuse läbivaatamine ning võeti vastu asutuse töötajate muudetud eetikaeeskirjad;</w:t>
      </w:r>
    </w:p>
    <w:p w:rsidR="006D4BA8" w:rsidRPr="009F6C8F" w:rsidRDefault="008A3A5F" w:rsidP="006D4BA8">
      <w:pPr>
        <w:widowControl/>
        <w:spacing w:after="240"/>
        <w:ind w:left="567" w:hanging="567"/>
        <w:rPr>
          <w:szCs w:val="24"/>
        </w:rPr>
      </w:pPr>
      <w:r w:rsidRPr="009F6C8F">
        <w:t>20.</w:t>
      </w:r>
      <w:r w:rsidRPr="009F6C8F">
        <w:tab/>
        <w:t>märgib seoses rikkumisest teatamisega, et 2022. aastal väljendas üks töötaja muret võimaliku õigusnormide rikkumise juhtumi pärast, mida asutus on kooskõlas kohaldatavate eeskirjadega hallanud; märgib sellega seoses, et Euroopa Pettustevastane Amet (OLAF), keda asutus kohe teavitas, viis läbi hindamise ja lükkas juhtumi tagasi põhjendusel, et puudus piisav kahtlus uurimise algatamiseks;</w:t>
      </w:r>
    </w:p>
    <w:p w:rsidR="006D4BA8" w:rsidRPr="009F6C8F" w:rsidRDefault="008A3A5F" w:rsidP="006D4BA8">
      <w:pPr>
        <w:spacing w:after="240"/>
        <w:ind w:left="567" w:hanging="567"/>
        <w:rPr>
          <w:sz w:val="22"/>
        </w:rPr>
      </w:pPr>
      <w:r w:rsidRPr="009F6C8F">
        <w:t>21.</w:t>
      </w:r>
      <w:r w:rsidRPr="009F6C8F">
        <w:tab/>
        <w:t>väljendab heameelt asjaolu üle, et järelevalvenõukogu vaatas 2022. aasta juulis läbi oma kodukorra, rakendades kontrollikoja tähelepanekut järelevalvenõukogu huvide konfliktiga liikmete kohalolu kohta aruteludel ja hääletamisel; märgib lisaks, et ameti haldusnõukogu kiitis 2022. aasta detsembris heaks muudetud otsuse esimehe ja tegevdirektori hindamise kohta kooskõlas kontrollikoja tähelepanekutega;</w:t>
      </w:r>
    </w:p>
    <w:p w:rsidR="006D4BA8" w:rsidRPr="009F6C8F" w:rsidRDefault="008A3A5F" w:rsidP="006D4BA8">
      <w:pPr>
        <w:widowControl/>
        <w:spacing w:after="240"/>
        <w:ind w:left="567" w:hanging="567"/>
        <w:rPr>
          <w:b/>
          <w:i/>
          <w:szCs w:val="24"/>
        </w:rPr>
      </w:pPr>
      <w:r w:rsidRPr="009F6C8F">
        <w:rPr>
          <w:b/>
          <w:i/>
        </w:rPr>
        <w:t>Sisekontroll</w:t>
      </w:r>
    </w:p>
    <w:p w:rsidR="006D4BA8" w:rsidRPr="009F6C8F" w:rsidRDefault="008A3A5F" w:rsidP="006D4BA8">
      <w:pPr>
        <w:widowControl/>
        <w:spacing w:after="240"/>
        <w:ind w:left="567" w:hanging="567"/>
        <w:rPr>
          <w:szCs w:val="24"/>
        </w:rPr>
      </w:pPr>
      <w:r w:rsidRPr="009F6C8F">
        <w:t>22.</w:t>
      </w:r>
      <w:r w:rsidRPr="009F6C8F">
        <w:tab/>
        <w:t>märgib, et asutus viis 2022. aastal läbi oma sisekontrolliraamistiku iga-aastase hindamise ning jõudis järeldusele, et kõiki komponente ja põhimõtteid rakendatakse ja need toimivad ettenähtud viisil, kusjuures kindlaks tehtud mõõdukate puuduste puhul on vaja teha mõningaid parandusi;</w:t>
      </w:r>
    </w:p>
    <w:p w:rsidR="006D4BA8" w:rsidRPr="009F6C8F" w:rsidRDefault="008A3A5F" w:rsidP="006D4BA8">
      <w:pPr>
        <w:widowControl/>
        <w:spacing w:after="240"/>
        <w:ind w:left="567" w:hanging="567"/>
        <w:rPr>
          <w:szCs w:val="24"/>
        </w:rPr>
      </w:pPr>
      <w:r w:rsidRPr="009F6C8F">
        <w:t>23.</w:t>
      </w:r>
      <w:r w:rsidRPr="009F6C8F">
        <w:tab/>
        <w:t>märgib, et 2022. aastal avaldas siseauditi talitus aruande 2021. aastal läbi viidud auditi kohta Euroopa Kindlustus- ja Tööandjapensionide Järelevalve (EIOPA) sekkumismeetmete kohta, mis olid suunatud liikmesriikide pädevatele asutustele ning liidu kindlustus- ja tööandjapensionide sektori turuosalistele; märgib lisaks, et asutuse kvaliteedikontrolli komitee avaldas ülevaatliku aruande EIOPA ja riiklike pädevate asutuste koostööst ja suhtlusest saadud kogemuste kohta COVID-19 pandeemia ajal; palub asutusel hoida eelarve täitmisele heakskiidu andmise eest vastutavat institutsiooni siseauditi talituse ja kvaliteedikontrollikomisjoni soovituste elluviimisega kursis;</w:t>
      </w:r>
    </w:p>
    <w:p w:rsidR="006D4BA8" w:rsidRPr="009F6C8F" w:rsidRDefault="008A3A5F" w:rsidP="006D4BA8">
      <w:pPr>
        <w:widowControl/>
        <w:spacing w:after="240"/>
        <w:ind w:left="567" w:hanging="567"/>
      </w:pPr>
      <w:r w:rsidRPr="009F6C8F">
        <w:t>24.</w:t>
      </w:r>
      <w:r w:rsidRPr="009F6C8F">
        <w:tab/>
        <w:t>märgib rahuloluga, et 2022. aastal tegi asutus kindlaks, jälgis ja võttis meetmeid riskide mõju leevendamiseks seoses sellega, et tal ei olnud piisavat suutlikkust rakendada uusi volitusi ja ülesandeid, täites samal ajal olemasolevaid kohustusi, vajaliku pädevusega kvalifitseeritud töötajate puudusega atraktiivsuse ja värbamise ning küberturvalisuse ohtude ja talitluspidevusega seotud probleemide tõttu;</w:t>
      </w:r>
    </w:p>
    <w:p w:rsidR="006D4BA8" w:rsidRPr="009F6C8F" w:rsidRDefault="008A3A5F" w:rsidP="006D4BA8">
      <w:pPr>
        <w:widowControl/>
        <w:spacing w:after="240"/>
        <w:ind w:left="567" w:hanging="567"/>
      </w:pPr>
      <w:r w:rsidRPr="009F6C8F">
        <w:t>25.</w:t>
      </w:r>
      <w:r w:rsidRPr="009F6C8F">
        <w:tab/>
        <w:t>märgib, et asutus jätkas 2022. aastal tarbijakaitse valdkonna järelevalvevahendite auditi (2019–2020) ülejäänud soovituste käsitlemist; märgib lisaks, et auditi tulemusel esitati neli soovitust, mida on käsitletud nii, et siseauditi talitus viis kaks soovitust 2021. aasta novembris ametlikult lõpule ja kaks soovitust lõpetati ametlikult 2022. aasta juunis;</w:t>
      </w:r>
    </w:p>
    <w:p w:rsidR="006D4BA8" w:rsidRPr="009F6C8F" w:rsidRDefault="008A3A5F" w:rsidP="006D4BA8">
      <w:pPr>
        <w:widowControl/>
        <w:spacing w:after="240"/>
        <w:ind w:left="567" w:hanging="567"/>
        <w:rPr>
          <w:b/>
          <w:i/>
          <w:szCs w:val="24"/>
        </w:rPr>
      </w:pPr>
      <w:r w:rsidRPr="009F6C8F">
        <w:rPr>
          <w:b/>
          <w:i/>
        </w:rPr>
        <w:t>Muud kommentaarid</w:t>
      </w:r>
    </w:p>
    <w:p w:rsidR="006D4BA8" w:rsidRPr="009F6C8F" w:rsidRDefault="008A3A5F" w:rsidP="006D4BA8">
      <w:pPr>
        <w:spacing w:after="240"/>
        <w:ind w:left="567" w:hanging="567"/>
        <w:rPr>
          <w:szCs w:val="24"/>
        </w:rPr>
      </w:pPr>
      <w:r w:rsidRPr="009F6C8F">
        <w:t>26.</w:t>
      </w:r>
      <w:r w:rsidRPr="009F6C8F">
        <w:tab/>
        <w:t>märgib, et 2022. aastal andis asutus koos teiste Euroopa järelevalveasutustega tarbijatele hoiatusi paljude krüptovaradega seotud suure riskiga ja spekulatiivse tegevuse kohta;</w:t>
      </w:r>
    </w:p>
    <w:p w:rsidR="006D4BA8" w:rsidRPr="009F6C8F" w:rsidRDefault="008A3A5F" w:rsidP="006D4BA8">
      <w:pPr>
        <w:spacing w:after="240"/>
        <w:ind w:left="567" w:hanging="567"/>
        <w:rPr>
          <w:szCs w:val="24"/>
        </w:rPr>
      </w:pPr>
      <w:r w:rsidRPr="009F6C8F">
        <w:t>27.</w:t>
      </w:r>
      <w:r w:rsidRPr="009F6C8F">
        <w:tab/>
        <w:t>võtab asutuse vastuste põhjal eelarve täitmisele heakskiidu andmise eest vastutava institutsiooni küsimustele teadmiseks, et asutus kasutab praegu komisjoni e-hanke vahendeid (e-hanked, pakkumuste elektrooniline esitamine, e-arved) ja riigihangete haldamise vahendit (PPMT) (alates 2023. aasta juulist); väljendab heameelt asjaolu üle, et EIOPA hankemenetlused sisaldavad võimaluse korral keskkonnahoidlike riigihangete kriteeriumide nõudeid ning EIOPA pakkujad peavad muu hulgas allkirjastama kirjaliku kinnituse keskkonnaalaste ja sotsiaalsete kohustuste täitmise kohta;</w:t>
      </w:r>
    </w:p>
    <w:p w:rsidR="006D4BA8" w:rsidRPr="009F6C8F" w:rsidRDefault="008A3A5F" w:rsidP="006D4BA8">
      <w:pPr>
        <w:spacing w:after="240"/>
        <w:ind w:left="567" w:hanging="567"/>
        <w:rPr>
          <w:szCs w:val="24"/>
        </w:rPr>
      </w:pPr>
      <w:r w:rsidRPr="009F6C8F">
        <w:t>28.</w:t>
      </w:r>
      <w:r w:rsidRPr="009F6C8F">
        <w:tab/>
        <w:t>märgib, et 2022. aastal avaldas asutus oma töö tulemused aruannetena oma veebisaidil ja sotsiaalmeedias, kusjuures enamiku aruannetega kaasnes pressiteade; väljendab heameelt asjaolu üle, et mõnel juhul on aruannetele lisatud ka kokkuvõtted, lühikesed sotsiaalmeediaklipid või lühiintervjuud, et selgitada sisu lihtsamalt;</w:t>
      </w:r>
    </w:p>
    <w:p w:rsidR="006D4BA8" w:rsidRPr="009F6C8F" w:rsidRDefault="008A3A5F" w:rsidP="006D4BA8">
      <w:pPr>
        <w:pStyle w:val="NormalCenter12a"/>
      </w:pPr>
      <w:r w:rsidRPr="009F6C8F">
        <w:t>°</w:t>
      </w:r>
    </w:p>
    <w:p w:rsidR="006D4BA8" w:rsidRPr="009F6C8F" w:rsidRDefault="008A3A5F" w:rsidP="006D4BA8">
      <w:pPr>
        <w:pStyle w:val="NormalCenter12a"/>
      </w:pPr>
      <w:r w:rsidRPr="009F6C8F">
        <w:t>°</w:t>
      </w:r>
      <w:r w:rsidRPr="009F6C8F">
        <w:tab/>
        <w:t>°</w:t>
      </w:r>
    </w:p>
    <w:p w:rsidR="006D4BA8" w:rsidRPr="009F6C8F" w:rsidRDefault="008A3A5F" w:rsidP="006D4BA8">
      <w:pPr>
        <w:pStyle w:val="NormalHanging12a"/>
      </w:pPr>
      <w:r w:rsidRPr="009F6C8F">
        <w:t>29.</w:t>
      </w:r>
      <w:r w:rsidRPr="009F6C8F">
        <w:tab/>
        <w:t>viitab eelarve täitmisele heakskiidu andmise otsusele lisatud muude horisontaalsete tähelepanekute osas oma ... 2024. aasta resolutsioonile</w:t>
      </w:r>
      <w:r w:rsidRPr="009F6C8F">
        <w:rPr>
          <w:rStyle w:val="FootnoteReference"/>
        </w:rPr>
        <w:footnoteReference w:id="12"/>
      </w:r>
      <w:r w:rsidRPr="009F6C8F">
        <w:t xml:space="preserve"> ametite tulemuste, finantsjuhtimise ja kontrolli kohta.</w:t>
      </w:r>
    </w:p>
    <w:sectPr w:rsidR="006D4BA8" w:rsidRPr="009F6C8F" w:rsidSect="00041AE6">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F3A" w:rsidRPr="009F6C8F" w:rsidRDefault="008A3A5F">
      <w:r w:rsidRPr="009F6C8F">
        <w:separator/>
      </w:r>
    </w:p>
  </w:endnote>
  <w:endnote w:type="continuationSeparator" w:id="0">
    <w:p w:rsidR="00A84F3A" w:rsidRPr="009F6C8F" w:rsidRDefault="008A3A5F">
      <w:r w:rsidRPr="009F6C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C8F" w:rsidRPr="009F6C8F" w:rsidRDefault="009F6C8F" w:rsidP="009F6C8F">
    <w:pPr>
      <w:pStyle w:val="EPFooter"/>
    </w:pPr>
    <w:r w:rsidRPr="009F6C8F">
      <w:t>PE</w:t>
    </w:r>
    <w:r w:rsidRPr="001E4EC9">
      <w:rPr>
        <w:rStyle w:val="HideTWBExt"/>
      </w:rPr>
      <w:t>&lt;NoPE&gt;</w:t>
    </w:r>
    <w:r w:rsidRPr="009F6C8F">
      <w:t>753.521</w:t>
    </w:r>
    <w:r w:rsidRPr="001E4EC9">
      <w:rPr>
        <w:rStyle w:val="HideTWBExt"/>
      </w:rPr>
      <w:t>&lt;/NoPE&gt;&lt;Version&gt;</w:t>
    </w:r>
    <w:r w:rsidRPr="009F6C8F">
      <w:t>v01-00</w:t>
    </w:r>
    <w:r w:rsidRPr="001E4EC9">
      <w:rPr>
        <w:rStyle w:val="HideTWBExt"/>
      </w:rPr>
      <w:t>&lt;/Version&gt;</w:t>
    </w:r>
    <w:r w:rsidRPr="009F6C8F">
      <w:tab/>
    </w:r>
    <w:r w:rsidRPr="009F6C8F">
      <w:fldChar w:fldCharType="begin"/>
    </w:r>
    <w:r w:rsidRPr="009F6C8F">
      <w:instrText xml:space="preserve"> PAGE  \* MERGEFORMAT </w:instrText>
    </w:r>
    <w:r w:rsidRPr="009F6C8F">
      <w:fldChar w:fldCharType="separate"/>
    </w:r>
    <w:r w:rsidR="00C450BA">
      <w:rPr>
        <w:noProof/>
      </w:rPr>
      <w:t>12</w:t>
    </w:r>
    <w:r w:rsidRPr="009F6C8F">
      <w:fldChar w:fldCharType="end"/>
    </w:r>
    <w:r w:rsidRPr="009F6C8F">
      <w:t>/</w:t>
    </w:r>
    <w:r w:rsidR="00C450BA">
      <w:fldChar w:fldCharType="begin"/>
    </w:r>
    <w:r w:rsidR="00C450BA">
      <w:instrText xml:space="preserve"> NUMPAGES  \* MERGEFOR</w:instrText>
    </w:r>
    <w:r w:rsidR="00C450BA">
      <w:instrText xml:space="preserve">MAT </w:instrText>
    </w:r>
    <w:r w:rsidR="00C450BA">
      <w:fldChar w:fldCharType="separate"/>
    </w:r>
    <w:r w:rsidR="00C450BA">
      <w:rPr>
        <w:noProof/>
      </w:rPr>
      <w:t>12</w:t>
    </w:r>
    <w:r w:rsidR="00C450BA">
      <w:rPr>
        <w:noProof/>
      </w:rPr>
      <w:fldChar w:fldCharType="end"/>
    </w:r>
    <w:r w:rsidRPr="009F6C8F">
      <w:tab/>
    </w:r>
    <w:r w:rsidRPr="001E4EC9">
      <w:rPr>
        <w:rStyle w:val="HideTWBExt"/>
      </w:rPr>
      <w:t>&lt;PathFdR&gt;</w:t>
    </w:r>
    <w:r w:rsidRPr="009F6C8F">
      <w:t>PR\1286148ET.docx</w:t>
    </w:r>
    <w:r w:rsidRPr="001E4EC9">
      <w:rPr>
        <w:rStyle w:val="HideTWBExt"/>
      </w:rPr>
      <w:t>&lt;/PathFdR&gt;</w:t>
    </w:r>
  </w:p>
  <w:p w:rsidR="00041AE6" w:rsidRPr="009F6C8F" w:rsidRDefault="009F6C8F" w:rsidP="009F6C8F">
    <w:pPr>
      <w:pStyle w:val="EPFooter2"/>
    </w:pPr>
    <w:r w:rsidRPr="009F6C8F">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C8F" w:rsidRPr="009F6C8F" w:rsidRDefault="009F6C8F" w:rsidP="009F6C8F">
    <w:pPr>
      <w:pStyle w:val="EPFooter"/>
    </w:pPr>
    <w:r w:rsidRPr="001E4EC9">
      <w:rPr>
        <w:rStyle w:val="HideTWBExt"/>
      </w:rPr>
      <w:t>&lt;PathFdR&gt;</w:t>
    </w:r>
    <w:r w:rsidRPr="009F6C8F">
      <w:t>PR\1286148ET.docx</w:t>
    </w:r>
    <w:r w:rsidRPr="001E4EC9">
      <w:rPr>
        <w:rStyle w:val="HideTWBExt"/>
      </w:rPr>
      <w:t>&lt;/PathFdR&gt;</w:t>
    </w:r>
    <w:r w:rsidRPr="009F6C8F">
      <w:tab/>
    </w:r>
    <w:r w:rsidRPr="009F6C8F">
      <w:fldChar w:fldCharType="begin"/>
    </w:r>
    <w:r w:rsidRPr="009F6C8F">
      <w:instrText xml:space="preserve"> PAGE  \* MERGEFORMAT </w:instrText>
    </w:r>
    <w:r w:rsidRPr="009F6C8F">
      <w:fldChar w:fldCharType="separate"/>
    </w:r>
    <w:r w:rsidR="00C450BA">
      <w:rPr>
        <w:noProof/>
      </w:rPr>
      <w:t>12</w:t>
    </w:r>
    <w:r w:rsidRPr="009F6C8F">
      <w:fldChar w:fldCharType="end"/>
    </w:r>
    <w:r w:rsidRPr="009F6C8F">
      <w:t>/</w:t>
    </w:r>
    <w:r w:rsidR="00C450BA">
      <w:fldChar w:fldCharType="begin"/>
    </w:r>
    <w:r w:rsidR="00C450BA">
      <w:instrText xml:space="preserve"> NUMPAGES  \* MERGEFORMAT </w:instrText>
    </w:r>
    <w:r w:rsidR="00C450BA">
      <w:fldChar w:fldCharType="separate"/>
    </w:r>
    <w:r w:rsidR="00C450BA">
      <w:rPr>
        <w:noProof/>
      </w:rPr>
      <w:t>12</w:t>
    </w:r>
    <w:r w:rsidR="00C450BA">
      <w:rPr>
        <w:noProof/>
      </w:rPr>
      <w:fldChar w:fldCharType="end"/>
    </w:r>
    <w:r w:rsidRPr="009F6C8F">
      <w:tab/>
      <w:t>PE</w:t>
    </w:r>
    <w:r w:rsidRPr="001E4EC9">
      <w:rPr>
        <w:rStyle w:val="HideTWBExt"/>
      </w:rPr>
      <w:t>&lt;NoPE&gt;</w:t>
    </w:r>
    <w:r w:rsidRPr="009F6C8F">
      <w:t>753.521</w:t>
    </w:r>
    <w:r w:rsidRPr="001E4EC9">
      <w:rPr>
        <w:rStyle w:val="HideTWBExt"/>
      </w:rPr>
      <w:t>&lt;/NoPE&gt;&lt;Version&gt;</w:t>
    </w:r>
    <w:r w:rsidRPr="009F6C8F">
      <w:t>v01-00</w:t>
    </w:r>
    <w:r w:rsidRPr="001E4EC9">
      <w:rPr>
        <w:rStyle w:val="HideTWBExt"/>
      </w:rPr>
      <w:t>&lt;/Version&gt;</w:t>
    </w:r>
  </w:p>
  <w:p w:rsidR="00041AE6" w:rsidRPr="009F6C8F" w:rsidRDefault="009F6C8F" w:rsidP="009F6C8F">
    <w:pPr>
      <w:pStyle w:val="EPFooter2"/>
    </w:pPr>
    <w:r w:rsidRPr="009F6C8F">
      <w:tab/>
    </w:r>
    <w:r w:rsidRPr="009F6C8F">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C8F" w:rsidRPr="009F6C8F" w:rsidRDefault="009F6C8F" w:rsidP="009F6C8F">
    <w:pPr>
      <w:pStyle w:val="EPFooter"/>
    </w:pPr>
    <w:r w:rsidRPr="001E4EC9">
      <w:rPr>
        <w:rStyle w:val="HideTWBExt"/>
      </w:rPr>
      <w:t>&lt;PathFdR&gt;</w:t>
    </w:r>
    <w:r w:rsidRPr="009F6C8F">
      <w:t>PR\1286148ET.docx</w:t>
    </w:r>
    <w:r w:rsidRPr="001E4EC9">
      <w:rPr>
        <w:rStyle w:val="HideTWBExt"/>
      </w:rPr>
      <w:t>&lt;/PathFdR&gt;</w:t>
    </w:r>
    <w:r w:rsidRPr="009F6C8F">
      <w:tab/>
    </w:r>
    <w:r w:rsidRPr="009F6C8F">
      <w:tab/>
      <w:t>PE</w:t>
    </w:r>
    <w:r w:rsidRPr="001E4EC9">
      <w:rPr>
        <w:rStyle w:val="HideTWBExt"/>
      </w:rPr>
      <w:t>&lt;NoPE&gt;</w:t>
    </w:r>
    <w:r w:rsidRPr="009F6C8F">
      <w:t>753.521</w:t>
    </w:r>
    <w:r w:rsidRPr="001E4EC9">
      <w:rPr>
        <w:rStyle w:val="HideTWBExt"/>
      </w:rPr>
      <w:t>&lt;/NoPE&gt;&lt;Version&gt;</w:t>
    </w:r>
    <w:r w:rsidRPr="009F6C8F">
      <w:t>v01-00</w:t>
    </w:r>
    <w:r w:rsidRPr="001E4EC9">
      <w:rPr>
        <w:rStyle w:val="HideTWBExt"/>
      </w:rPr>
      <w:t>&lt;/Version&gt;</w:t>
    </w:r>
  </w:p>
  <w:p w:rsidR="00041AE6" w:rsidRPr="009F6C8F" w:rsidRDefault="009F6C8F" w:rsidP="009F6C8F">
    <w:pPr>
      <w:pStyle w:val="EPFooter2"/>
    </w:pPr>
    <w:r w:rsidRPr="009F6C8F">
      <w:t>ET</w:t>
    </w:r>
    <w:r w:rsidRPr="009F6C8F">
      <w:tab/>
    </w:r>
    <w:r w:rsidRPr="009F6C8F">
      <w:rPr>
        <w:b w:val="0"/>
        <w:i/>
        <w:color w:val="C0C0C0"/>
        <w:sz w:val="22"/>
      </w:rPr>
      <w:t>Ühinenud mitmekesisuses</w:t>
    </w:r>
    <w:r w:rsidRPr="009F6C8F">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068" w:rsidRPr="009F6C8F" w:rsidRDefault="008A3A5F" w:rsidP="001A54A8">
    <w:pPr>
      <w:pStyle w:val="EPFooter"/>
    </w:pPr>
    <w:r w:rsidRPr="001E4EC9">
      <w:rPr>
        <w:rStyle w:val="HideTWBExt"/>
      </w:rPr>
      <w:t>&lt;PathFdR&gt;</w:t>
    </w:r>
    <w:r w:rsidR="007F18B5" w:rsidRPr="009F6C8F">
      <w:t>PR\1286148EN.docx</w:t>
    </w:r>
    <w:r w:rsidRPr="001E4EC9">
      <w:rPr>
        <w:rStyle w:val="HideTWBExt"/>
      </w:rPr>
      <w:t>&lt;/PathFdR&gt;</w:t>
    </w:r>
    <w:r w:rsidRPr="009F6C8F">
      <w:tab/>
    </w:r>
    <w:r w:rsidRPr="009F6C8F">
      <w:tab/>
      <w:t>PE</w:t>
    </w:r>
    <w:r w:rsidRPr="001E4EC9">
      <w:rPr>
        <w:rStyle w:val="HideTWBExt"/>
      </w:rPr>
      <w:t>&lt;NoPE&gt;</w:t>
    </w:r>
    <w:r w:rsidR="007F18B5" w:rsidRPr="009F6C8F">
      <w:t>753.521</w:t>
    </w:r>
    <w:r w:rsidRPr="001E4EC9">
      <w:rPr>
        <w:rStyle w:val="HideTWBExt"/>
      </w:rPr>
      <w:t>&lt;/NoPE&gt;&lt;Version&gt;</w:t>
    </w:r>
    <w:r w:rsidR="00E95A82" w:rsidRPr="009F6C8F">
      <w:t>v</w:t>
    </w:r>
    <w:r w:rsidR="007F18B5" w:rsidRPr="009F6C8F">
      <w:t>01-00</w:t>
    </w:r>
    <w:r w:rsidRPr="001E4EC9">
      <w:rPr>
        <w:rStyle w:val="HideTWBExt"/>
      </w:rPr>
      <w:t>&lt;/Version&gt;</w:t>
    </w:r>
  </w:p>
  <w:p w:rsidR="00390068" w:rsidRPr="009F6C8F" w:rsidRDefault="008A3A5F" w:rsidP="00390068">
    <w:pPr>
      <w:pStyle w:val="EPFooter2"/>
      <w:tabs>
        <w:tab w:val="clear" w:pos="4535"/>
        <w:tab w:val="center" w:pos="4536"/>
      </w:tabs>
    </w:pPr>
    <w:fldSimple w:instr=" DOCPROPERTY &quot;&lt;Extension&gt;&quot; ">
      <w:r w:rsidR="00C450BA">
        <w:t>ET</w:t>
      </w:r>
    </w:fldSimple>
    <w:r w:rsidRPr="009F6C8F">
      <w:tab/>
    </w:r>
    <w:r w:rsidR="007F18B5" w:rsidRPr="009F6C8F">
      <w:rPr>
        <w:b w:val="0"/>
        <w:i/>
        <w:color w:val="C0C0C0"/>
        <w:sz w:val="22"/>
        <w:szCs w:val="22"/>
      </w:rPr>
      <w:t>United in diversity</w:t>
    </w:r>
    <w:r w:rsidRPr="009F6C8F">
      <w:tab/>
    </w:r>
    <w:fldSimple w:instr=" DOCPROPERTY &quot;&lt;Extension&gt;&quot; ">
      <w:r w:rsidR="00C450BA">
        <w:t>ET</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A82" w:rsidRPr="009F6C8F" w:rsidRDefault="008A3A5F">
      <w:r w:rsidRPr="009F6C8F">
        <w:separator/>
      </w:r>
    </w:p>
  </w:footnote>
  <w:footnote w:type="continuationSeparator" w:id="0">
    <w:p w:rsidR="00E95A82" w:rsidRPr="009F6C8F" w:rsidRDefault="008A3A5F">
      <w:r w:rsidRPr="009F6C8F">
        <w:continuationSeparator/>
      </w:r>
    </w:p>
  </w:footnote>
  <w:footnote w:id="1">
    <w:p w:rsidR="00041AE6" w:rsidRPr="009F6C8F" w:rsidRDefault="008A3A5F" w:rsidP="00041AE6">
      <w:pPr>
        <w:pStyle w:val="FootnoteText"/>
        <w:ind w:left="567" w:hanging="567"/>
      </w:pPr>
      <w:r w:rsidRPr="009F6C8F">
        <w:rPr>
          <w:rStyle w:val="FootnoteReference"/>
        </w:rPr>
        <w:footnoteRef/>
      </w:r>
      <w:r w:rsidRPr="009F6C8F">
        <w:t xml:space="preserve"> ELT C, C/2023/594, 27.10.2023.</w:t>
      </w:r>
    </w:p>
  </w:footnote>
  <w:footnote w:id="2">
    <w:p w:rsidR="00041AE6" w:rsidRPr="009F6C8F" w:rsidRDefault="008A3A5F" w:rsidP="00041AE6">
      <w:pPr>
        <w:pStyle w:val="FootnoteText"/>
        <w:ind w:left="567" w:hanging="567"/>
      </w:pPr>
      <w:r w:rsidRPr="009F6C8F">
        <w:rPr>
          <w:rStyle w:val="FootnoteReference"/>
        </w:rPr>
        <w:footnoteRef/>
      </w:r>
      <w:r w:rsidRPr="009F6C8F">
        <w:t xml:space="preserve"> ELT C, C/2023/112, 12.10.2023.</w:t>
      </w:r>
    </w:p>
  </w:footnote>
  <w:footnote w:id="3">
    <w:p w:rsidR="00041AE6" w:rsidRPr="009F6C8F" w:rsidRDefault="008A3A5F" w:rsidP="00041AE6">
      <w:pPr>
        <w:pStyle w:val="FootnoteText"/>
        <w:ind w:left="567" w:hanging="567"/>
      </w:pPr>
      <w:r w:rsidRPr="009F6C8F">
        <w:rPr>
          <w:rStyle w:val="FootnoteReference"/>
        </w:rPr>
        <w:footnoteRef/>
      </w:r>
      <w:r w:rsidRPr="009F6C8F">
        <w:t xml:space="preserve"> ELT L 193, 30.7.2018, lk 1.</w:t>
      </w:r>
    </w:p>
  </w:footnote>
  <w:footnote w:id="4">
    <w:p w:rsidR="00041AE6" w:rsidRPr="009F6C8F" w:rsidRDefault="008A3A5F" w:rsidP="00041AE6">
      <w:pPr>
        <w:pStyle w:val="FootnoteText"/>
        <w:ind w:left="567" w:hanging="567"/>
      </w:pPr>
      <w:r w:rsidRPr="009F6C8F">
        <w:rPr>
          <w:rStyle w:val="FootnoteReference"/>
        </w:rPr>
        <w:footnoteRef/>
      </w:r>
      <w:r w:rsidRPr="009F6C8F">
        <w:t xml:space="preserve"> ELT L 331, 15.12.2010, lk 48.</w:t>
      </w:r>
    </w:p>
  </w:footnote>
  <w:footnote w:id="5">
    <w:p w:rsidR="00041AE6" w:rsidRPr="009F6C8F" w:rsidRDefault="008A3A5F" w:rsidP="00041AE6">
      <w:pPr>
        <w:pStyle w:val="FootnoteText"/>
        <w:ind w:left="567" w:hanging="567"/>
        <w:rPr>
          <w:sz w:val="24"/>
          <w:szCs w:val="24"/>
        </w:rPr>
      </w:pPr>
      <w:r w:rsidRPr="009F6C8F">
        <w:rPr>
          <w:rStyle w:val="FootnoteReference"/>
        </w:rPr>
        <w:footnoteRef/>
      </w:r>
      <w:r w:rsidRPr="009F6C8F">
        <w:t xml:space="preserve"> ELT L 122, 10.5.2019, lk 1.</w:t>
      </w:r>
    </w:p>
  </w:footnote>
  <w:footnote w:id="6">
    <w:p w:rsidR="00041AE6" w:rsidRPr="009F6C8F" w:rsidRDefault="008A3A5F" w:rsidP="00041AE6">
      <w:pPr>
        <w:pStyle w:val="FootnoteText"/>
        <w:ind w:left="567" w:hanging="567"/>
      </w:pPr>
      <w:r w:rsidRPr="009F6C8F">
        <w:rPr>
          <w:rStyle w:val="FootnoteReference"/>
        </w:rPr>
        <w:footnoteRef/>
      </w:r>
      <w:r w:rsidRPr="009F6C8F">
        <w:t xml:space="preserve"> ELT C, C/2023/594, 27.10.2023.</w:t>
      </w:r>
    </w:p>
  </w:footnote>
  <w:footnote w:id="7">
    <w:p w:rsidR="00041AE6" w:rsidRPr="009F6C8F" w:rsidRDefault="008A3A5F" w:rsidP="00041AE6">
      <w:pPr>
        <w:pStyle w:val="FootnoteText"/>
        <w:ind w:left="567" w:hanging="567"/>
      </w:pPr>
      <w:r w:rsidRPr="009F6C8F">
        <w:rPr>
          <w:rStyle w:val="FootnoteReference"/>
        </w:rPr>
        <w:footnoteRef/>
      </w:r>
      <w:r w:rsidRPr="009F6C8F">
        <w:t xml:space="preserve"> ELT C, C/2023/112, 12.10.2023.</w:t>
      </w:r>
    </w:p>
  </w:footnote>
  <w:footnote w:id="8">
    <w:p w:rsidR="00041AE6" w:rsidRPr="009F6C8F" w:rsidRDefault="008A3A5F" w:rsidP="00041AE6">
      <w:pPr>
        <w:pStyle w:val="FootnoteText"/>
        <w:ind w:left="567" w:hanging="567"/>
      </w:pPr>
      <w:r w:rsidRPr="009F6C8F">
        <w:rPr>
          <w:rStyle w:val="FootnoteReference"/>
        </w:rPr>
        <w:footnoteRef/>
      </w:r>
      <w:r w:rsidRPr="009F6C8F">
        <w:t xml:space="preserve"> ELT L 193, 30.7.2018, lk 1.</w:t>
      </w:r>
    </w:p>
  </w:footnote>
  <w:footnote w:id="9">
    <w:p w:rsidR="00041AE6" w:rsidRPr="009F6C8F" w:rsidRDefault="008A3A5F" w:rsidP="00041AE6">
      <w:pPr>
        <w:pStyle w:val="FootnoteText"/>
        <w:ind w:left="567" w:hanging="567"/>
      </w:pPr>
      <w:r w:rsidRPr="009F6C8F">
        <w:rPr>
          <w:rStyle w:val="FootnoteReference"/>
        </w:rPr>
        <w:footnoteRef/>
      </w:r>
      <w:r w:rsidRPr="009F6C8F">
        <w:t xml:space="preserve"> ELT L 331, 15.12.2010, lk 48.</w:t>
      </w:r>
    </w:p>
  </w:footnote>
  <w:footnote w:id="10">
    <w:p w:rsidR="00041AE6" w:rsidRPr="009F6C8F" w:rsidRDefault="008A3A5F" w:rsidP="00041AE6">
      <w:pPr>
        <w:pStyle w:val="FootnoteText"/>
        <w:ind w:left="567" w:hanging="567"/>
        <w:rPr>
          <w:sz w:val="24"/>
          <w:szCs w:val="24"/>
        </w:rPr>
      </w:pPr>
      <w:r w:rsidRPr="009F6C8F">
        <w:rPr>
          <w:rStyle w:val="FootnoteReference"/>
        </w:rPr>
        <w:footnoteRef/>
      </w:r>
      <w:r w:rsidRPr="009F6C8F">
        <w:t xml:space="preserve"> ELT L 122, 10.5.2019, lk 1.</w:t>
      </w:r>
    </w:p>
  </w:footnote>
  <w:footnote w:id="11">
    <w:p w:rsidR="006D4BA8" w:rsidRPr="009F6C8F" w:rsidRDefault="008A3A5F" w:rsidP="006D4BA8">
      <w:pPr>
        <w:pStyle w:val="FootnoteText"/>
      </w:pPr>
      <w:r w:rsidRPr="009F6C8F">
        <w:rPr>
          <w:rStyle w:val="FootnoteReference"/>
        </w:rPr>
        <w:footnoteRef/>
      </w:r>
      <w:r w:rsidRPr="009F6C8F">
        <w:t xml:space="preserve"> ELT C 38, 31.1.2023, lk 78.</w:t>
      </w:r>
    </w:p>
  </w:footnote>
  <w:footnote w:id="12">
    <w:p w:rsidR="006D4BA8" w:rsidRPr="009F6C8F" w:rsidRDefault="008A3A5F" w:rsidP="006D4BA8">
      <w:pPr>
        <w:pStyle w:val="FootnoteText"/>
      </w:pPr>
      <w:r w:rsidRPr="009F6C8F">
        <w:rPr>
          <w:rStyle w:val="FootnoteReference"/>
        </w:rPr>
        <w:footnoteRef/>
      </w:r>
      <w:r w:rsidRPr="009F6C8F">
        <w:t xml:space="preserve"> Vastuvõetud tekstid, P9_TA(2024)0000.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0BA" w:rsidRDefault="00C450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0BA" w:rsidRDefault="00C450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0BA" w:rsidRDefault="00C450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8B5" w:rsidRDefault="007F18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8B5" w:rsidRDefault="007F18B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8B5" w:rsidRDefault="007F18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E6A03FFA">
      <w:start w:val="1"/>
      <w:numFmt w:val="upperLetter"/>
      <w:lvlText w:val="%1."/>
      <w:lvlJc w:val="left"/>
      <w:pPr>
        <w:tabs>
          <w:tab w:val="num" w:pos="360"/>
        </w:tabs>
        <w:ind w:left="360" w:hanging="360"/>
      </w:pPr>
      <w:rPr>
        <w:rFonts w:hint="default"/>
      </w:rPr>
    </w:lvl>
    <w:lvl w:ilvl="1" w:tplc="EC309CE6" w:tentative="1">
      <w:start w:val="1"/>
      <w:numFmt w:val="lowerLetter"/>
      <w:lvlText w:val="%2."/>
      <w:lvlJc w:val="left"/>
      <w:pPr>
        <w:tabs>
          <w:tab w:val="num" w:pos="1080"/>
        </w:tabs>
        <w:ind w:left="1080" w:hanging="360"/>
      </w:pPr>
    </w:lvl>
    <w:lvl w:ilvl="2" w:tplc="C35EA96E" w:tentative="1">
      <w:start w:val="1"/>
      <w:numFmt w:val="lowerRoman"/>
      <w:lvlText w:val="%3."/>
      <w:lvlJc w:val="right"/>
      <w:pPr>
        <w:tabs>
          <w:tab w:val="num" w:pos="1800"/>
        </w:tabs>
        <w:ind w:left="1800" w:hanging="180"/>
      </w:pPr>
    </w:lvl>
    <w:lvl w:ilvl="3" w:tplc="6F6ACDDC" w:tentative="1">
      <w:start w:val="1"/>
      <w:numFmt w:val="decimal"/>
      <w:lvlText w:val="%4."/>
      <w:lvlJc w:val="left"/>
      <w:pPr>
        <w:tabs>
          <w:tab w:val="num" w:pos="2520"/>
        </w:tabs>
        <w:ind w:left="2520" w:hanging="360"/>
      </w:pPr>
    </w:lvl>
    <w:lvl w:ilvl="4" w:tplc="E9E2220C" w:tentative="1">
      <w:start w:val="1"/>
      <w:numFmt w:val="lowerLetter"/>
      <w:lvlText w:val="%5."/>
      <w:lvlJc w:val="left"/>
      <w:pPr>
        <w:tabs>
          <w:tab w:val="num" w:pos="3240"/>
        </w:tabs>
        <w:ind w:left="3240" w:hanging="360"/>
      </w:pPr>
    </w:lvl>
    <w:lvl w:ilvl="5" w:tplc="911E9772" w:tentative="1">
      <w:start w:val="1"/>
      <w:numFmt w:val="lowerRoman"/>
      <w:lvlText w:val="%6."/>
      <w:lvlJc w:val="right"/>
      <w:pPr>
        <w:tabs>
          <w:tab w:val="num" w:pos="3960"/>
        </w:tabs>
        <w:ind w:left="3960" w:hanging="180"/>
      </w:pPr>
    </w:lvl>
    <w:lvl w:ilvl="6" w:tplc="82BCCCAC" w:tentative="1">
      <w:start w:val="1"/>
      <w:numFmt w:val="decimal"/>
      <w:lvlText w:val="%7."/>
      <w:lvlJc w:val="left"/>
      <w:pPr>
        <w:tabs>
          <w:tab w:val="num" w:pos="4680"/>
        </w:tabs>
        <w:ind w:left="4680" w:hanging="360"/>
      </w:pPr>
    </w:lvl>
    <w:lvl w:ilvl="7" w:tplc="957C4C48" w:tentative="1">
      <w:start w:val="1"/>
      <w:numFmt w:val="lowerLetter"/>
      <w:lvlText w:val="%8."/>
      <w:lvlJc w:val="left"/>
      <w:pPr>
        <w:tabs>
          <w:tab w:val="num" w:pos="5400"/>
        </w:tabs>
        <w:ind w:left="5400" w:hanging="360"/>
      </w:pPr>
    </w:lvl>
    <w:lvl w:ilvl="8" w:tplc="BFC809EC"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629EA196">
      <w:start w:val="1"/>
      <w:numFmt w:val="decimal"/>
      <w:lvlText w:val="%1."/>
      <w:lvlJc w:val="left"/>
      <w:pPr>
        <w:tabs>
          <w:tab w:val="num" w:pos="720"/>
        </w:tabs>
        <w:ind w:left="720" w:hanging="360"/>
      </w:pPr>
    </w:lvl>
    <w:lvl w:ilvl="1" w:tplc="689EFB1A" w:tentative="1">
      <w:start w:val="1"/>
      <w:numFmt w:val="lowerLetter"/>
      <w:lvlText w:val="%2."/>
      <w:lvlJc w:val="left"/>
      <w:pPr>
        <w:tabs>
          <w:tab w:val="num" w:pos="1440"/>
        </w:tabs>
        <w:ind w:left="1440" w:hanging="360"/>
      </w:pPr>
    </w:lvl>
    <w:lvl w:ilvl="2" w:tplc="A4E0BE66" w:tentative="1">
      <w:start w:val="1"/>
      <w:numFmt w:val="lowerRoman"/>
      <w:lvlText w:val="%3."/>
      <w:lvlJc w:val="right"/>
      <w:pPr>
        <w:tabs>
          <w:tab w:val="num" w:pos="2160"/>
        </w:tabs>
        <w:ind w:left="2160" w:hanging="180"/>
      </w:pPr>
    </w:lvl>
    <w:lvl w:ilvl="3" w:tplc="F2DA1F1C" w:tentative="1">
      <w:start w:val="1"/>
      <w:numFmt w:val="decimal"/>
      <w:lvlText w:val="%4."/>
      <w:lvlJc w:val="left"/>
      <w:pPr>
        <w:tabs>
          <w:tab w:val="num" w:pos="2880"/>
        </w:tabs>
        <w:ind w:left="2880" w:hanging="360"/>
      </w:pPr>
    </w:lvl>
    <w:lvl w:ilvl="4" w:tplc="B6F2EE24" w:tentative="1">
      <w:start w:val="1"/>
      <w:numFmt w:val="lowerLetter"/>
      <w:lvlText w:val="%5."/>
      <w:lvlJc w:val="left"/>
      <w:pPr>
        <w:tabs>
          <w:tab w:val="num" w:pos="3600"/>
        </w:tabs>
        <w:ind w:left="3600" w:hanging="360"/>
      </w:pPr>
    </w:lvl>
    <w:lvl w:ilvl="5" w:tplc="9A5EB392" w:tentative="1">
      <w:start w:val="1"/>
      <w:numFmt w:val="lowerRoman"/>
      <w:lvlText w:val="%6."/>
      <w:lvlJc w:val="right"/>
      <w:pPr>
        <w:tabs>
          <w:tab w:val="num" w:pos="4320"/>
        </w:tabs>
        <w:ind w:left="4320" w:hanging="180"/>
      </w:pPr>
    </w:lvl>
    <w:lvl w:ilvl="6" w:tplc="6A907C20" w:tentative="1">
      <w:start w:val="1"/>
      <w:numFmt w:val="decimal"/>
      <w:lvlText w:val="%7."/>
      <w:lvlJc w:val="left"/>
      <w:pPr>
        <w:tabs>
          <w:tab w:val="num" w:pos="5040"/>
        </w:tabs>
        <w:ind w:left="5040" w:hanging="360"/>
      </w:pPr>
    </w:lvl>
    <w:lvl w:ilvl="7" w:tplc="7F22CA4E" w:tentative="1">
      <w:start w:val="1"/>
      <w:numFmt w:val="lowerLetter"/>
      <w:lvlText w:val="%8."/>
      <w:lvlJc w:val="left"/>
      <w:pPr>
        <w:tabs>
          <w:tab w:val="num" w:pos="5760"/>
        </w:tabs>
        <w:ind w:left="5760" w:hanging="360"/>
      </w:pPr>
    </w:lvl>
    <w:lvl w:ilvl="8" w:tplc="B6FC5B4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ECISIONMNU" w:val=" 3"/>
    <w:docVar w:name="FN1DT" w:val="..."/>
    <w:docVar w:name="FN2DT" w:val="..."/>
    <w:docVar w:name="LastEditedSection" w:val=" 1"/>
    <w:docVar w:name="LETTERSMNU" w:val=" 3"/>
    <w:docVar w:name="OBSERVATIONSMNU" w:val=" 1"/>
    <w:docVar w:name="OPIN1KEY" w:val="EMPL"/>
    <w:docVar w:name="OPINIONSMNU" w:val=" 1"/>
    <w:docVar w:name="POSITIONSMNU" w:val=" 3"/>
    <w:docVar w:name="STOREDT" w:val="..."/>
    <w:docVar w:name="strDocTypeID" w:val="PR_DEC_Agencies"/>
    <w:docVar w:name="strSubDir" w:val="1286"/>
    <w:docVar w:name="TITLEMNU" w:val=" 14"/>
    <w:docVar w:name="TXTBUDYEAR" w:val="2022"/>
    <w:docVar w:name="TXTFN1" w:val="…"/>
    <w:docVar w:name="TXTFN2" w:val="…"/>
    <w:docVar w:name="TXTLANGUE" w:val="ET"/>
    <w:docVar w:name="TXTLANGUEMIN" w:val="et"/>
    <w:docVar w:name="TXTNRC" w:val="0000/2024"/>
    <w:docVar w:name="TXTNRCOUNC" w:val="00000/2024"/>
    <w:docVar w:name="TXTNRDEC" w:val="2023/2153"/>
    <w:docVar w:name="TXTNRPE" w:val="753.521"/>
    <w:docVar w:name="TXTNRTA" w:val="(2024)0000"/>
    <w:docVar w:name="TXTPEorAP" w:val="PE"/>
    <w:docVar w:name="TXTPG1" w:val="…"/>
    <w:docVar w:name="TXTPG2" w:val="…"/>
    <w:docVar w:name="TXTROUTE" w:val="PR\1286148ET.docx"/>
    <w:docVar w:name="TXTVERSION" w:val="01-00"/>
  </w:docVars>
  <w:rsids>
    <w:rsidRoot w:val="00E95A82"/>
    <w:rsid w:val="00002C51"/>
    <w:rsid w:val="00041AE6"/>
    <w:rsid w:val="00064DFF"/>
    <w:rsid w:val="00090E0B"/>
    <w:rsid w:val="00093163"/>
    <w:rsid w:val="000A05D5"/>
    <w:rsid w:val="000A48E0"/>
    <w:rsid w:val="000B47E5"/>
    <w:rsid w:val="00104CB9"/>
    <w:rsid w:val="001150DB"/>
    <w:rsid w:val="00116CB4"/>
    <w:rsid w:val="00150EC1"/>
    <w:rsid w:val="0017746B"/>
    <w:rsid w:val="001A54A8"/>
    <w:rsid w:val="001B4494"/>
    <w:rsid w:val="001E1032"/>
    <w:rsid w:val="001E4EC9"/>
    <w:rsid w:val="00202D84"/>
    <w:rsid w:val="002377CC"/>
    <w:rsid w:val="002421F7"/>
    <w:rsid w:val="002443C0"/>
    <w:rsid w:val="002502C8"/>
    <w:rsid w:val="00253648"/>
    <w:rsid w:val="00256BE3"/>
    <w:rsid w:val="00276092"/>
    <w:rsid w:val="002D1E60"/>
    <w:rsid w:val="002D6EA9"/>
    <w:rsid w:val="0031254A"/>
    <w:rsid w:val="00320A9A"/>
    <w:rsid w:val="003315AF"/>
    <w:rsid w:val="00336524"/>
    <w:rsid w:val="003369E3"/>
    <w:rsid w:val="00340842"/>
    <w:rsid w:val="00381864"/>
    <w:rsid w:val="00390068"/>
    <w:rsid w:val="003D0703"/>
    <w:rsid w:val="003D353C"/>
    <w:rsid w:val="003E25A9"/>
    <w:rsid w:val="003E6AFB"/>
    <w:rsid w:val="003E735B"/>
    <w:rsid w:val="003E7C73"/>
    <w:rsid w:val="003F0E64"/>
    <w:rsid w:val="003F229D"/>
    <w:rsid w:val="00413713"/>
    <w:rsid w:val="004532FF"/>
    <w:rsid w:val="004651E1"/>
    <w:rsid w:val="004749EC"/>
    <w:rsid w:val="004A34BF"/>
    <w:rsid w:val="004A480C"/>
    <w:rsid w:val="004C6C3F"/>
    <w:rsid w:val="004C70BD"/>
    <w:rsid w:val="004D13BA"/>
    <w:rsid w:val="0050312B"/>
    <w:rsid w:val="00507D7F"/>
    <w:rsid w:val="005477C9"/>
    <w:rsid w:val="00550863"/>
    <w:rsid w:val="00550E6B"/>
    <w:rsid w:val="00564DB0"/>
    <w:rsid w:val="005A3D7F"/>
    <w:rsid w:val="005A5191"/>
    <w:rsid w:val="005A6CAE"/>
    <w:rsid w:val="005B2950"/>
    <w:rsid w:val="005C689E"/>
    <w:rsid w:val="005D3E9F"/>
    <w:rsid w:val="005E49E1"/>
    <w:rsid w:val="005E6A67"/>
    <w:rsid w:val="005E7E89"/>
    <w:rsid w:val="005F367B"/>
    <w:rsid w:val="005F6B87"/>
    <w:rsid w:val="00611C37"/>
    <w:rsid w:val="0063324A"/>
    <w:rsid w:val="00643EBE"/>
    <w:rsid w:val="0066045F"/>
    <w:rsid w:val="00671F88"/>
    <w:rsid w:val="006835EB"/>
    <w:rsid w:val="00686BB9"/>
    <w:rsid w:val="00693FF3"/>
    <w:rsid w:val="0069786A"/>
    <w:rsid w:val="006B0ED0"/>
    <w:rsid w:val="006D37D7"/>
    <w:rsid w:val="006D4BA8"/>
    <w:rsid w:val="006D5743"/>
    <w:rsid w:val="006E740E"/>
    <w:rsid w:val="00706383"/>
    <w:rsid w:val="00732E95"/>
    <w:rsid w:val="0074734C"/>
    <w:rsid w:val="00784758"/>
    <w:rsid w:val="007A4AC9"/>
    <w:rsid w:val="007B4901"/>
    <w:rsid w:val="007C3B7E"/>
    <w:rsid w:val="007C7DE0"/>
    <w:rsid w:val="007D1E61"/>
    <w:rsid w:val="007E2834"/>
    <w:rsid w:val="007F18B5"/>
    <w:rsid w:val="007F713D"/>
    <w:rsid w:val="0081446A"/>
    <w:rsid w:val="00837B2B"/>
    <w:rsid w:val="00841D8C"/>
    <w:rsid w:val="0085038E"/>
    <w:rsid w:val="00895F7F"/>
    <w:rsid w:val="008A23A3"/>
    <w:rsid w:val="008A3A5F"/>
    <w:rsid w:val="008D2063"/>
    <w:rsid w:val="00916826"/>
    <w:rsid w:val="009347E5"/>
    <w:rsid w:val="009378F5"/>
    <w:rsid w:val="00947D32"/>
    <w:rsid w:val="009807D1"/>
    <w:rsid w:val="009A1AE4"/>
    <w:rsid w:val="009B566F"/>
    <w:rsid w:val="009B6E2F"/>
    <w:rsid w:val="009C06C9"/>
    <w:rsid w:val="009C4C82"/>
    <w:rsid w:val="009F1C87"/>
    <w:rsid w:val="009F2DD4"/>
    <w:rsid w:val="009F6C8F"/>
    <w:rsid w:val="00A273FA"/>
    <w:rsid w:val="00A35902"/>
    <w:rsid w:val="00A84F3A"/>
    <w:rsid w:val="00A84FF1"/>
    <w:rsid w:val="00A92249"/>
    <w:rsid w:val="00A95064"/>
    <w:rsid w:val="00AB4789"/>
    <w:rsid w:val="00AD2ECC"/>
    <w:rsid w:val="00AD47D4"/>
    <w:rsid w:val="00B11618"/>
    <w:rsid w:val="00B553CB"/>
    <w:rsid w:val="00B6540D"/>
    <w:rsid w:val="00B75AA6"/>
    <w:rsid w:val="00B844BC"/>
    <w:rsid w:val="00BA46FB"/>
    <w:rsid w:val="00BB09B0"/>
    <w:rsid w:val="00BB3008"/>
    <w:rsid w:val="00BD13C4"/>
    <w:rsid w:val="00BE0DC4"/>
    <w:rsid w:val="00BE6336"/>
    <w:rsid w:val="00BF0771"/>
    <w:rsid w:val="00C03C2E"/>
    <w:rsid w:val="00C0769E"/>
    <w:rsid w:val="00C1531C"/>
    <w:rsid w:val="00C36B81"/>
    <w:rsid w:val="00C450BA"/>
    <w:rsid w:val="00C46F6A"/>
    <w:rsid w:val="00C56953"/>
    <w:rsid w:val="00C607B5"/>
    <w:rsid w:val="00C63401"/>
    <w:rsid w:val="00C75A8F"/>
    <w:rsid w:val="00C85D0F"/>
    <w:rsid w:val="00C951A4"/>
    <w:rsid w:val="00CB6B29"/>
    <w:rsid w:val="00CD1E8A"/>
    <w:rsid w:val="00CF07EC"/>
    <w:rsid w:val="00D05CBA"/>
    <w:rsid w:val="00D13DD1"/>
    <w:rsid w:val="00D46466"/>
    <w:rsid w:val="00D52EA4"/>
    <w:rsid w:val="00D74CC3"/>
    <w:rsid w:val="00D86C90"/>
    <w:rsid w:val="00DA5269"/>
    <w:rsid w:val="00DA6863"/>
    <w:rsid w:val="00DF7BA5"/>
    <w:rsid w:val="00E31C35"/>
    <w:rsid w:val="00E33228"/>
    <w:rsid w:val="00E44A07"/>
    <w:rsid w:val="00E50576"/>
    <w:rsid w:val="00E7443D"/>
    <w:rsid w:val="00E80CE4"/>
    <w:rsid w:val="00E8604D"/>
    <w:rsid w:val="00E95A82"/>
    <w:rsid w:val="00EB31C4"/>
    <w:rsid w:val="00ED335B"/>
    <w:rsid w:val="00F017D4"/>
    <w:rsid w:val="00F02E0E"/>
    <w:rsid w:val="00F0381D"/>
    <w:rsid w:val="00F21C7F"/>
    <w:rsid w:val="00F71101"/>
    <w:rsid w:val="00F9531F"/>
    <w:rsid w:val="00FD18F9"/>
    <w:rsid w:val="00FE62F7"/>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6A6C0DF-6FCB-414F-8623-B1B3B3977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7F18B5"/>
    <w:rPr>
      <w:sz w:val="20"/>
    </w:rPr>
  </w:style>
  <w:style w:type="character" w:customStyle="1" w:styleId="FootnoteTextChar">
    <w:name w:val="Footnote Text Char"/>
    <w:basedOn w:val="DefaultParagraphFont"/>
    <w:link w:val="FootnoteText"/>
    <w:rsid w:val="007F18B5"/>
  </w:style>
  <w:style w:type="character" w:styleId="FootnoteReference">
    <w:name w:val="footnote reference"/>
    <w:basedOn w:val="DefaultParagraphFont"/>
    <w:rsid w:val="007F18B5"/>
    <w:rPr>
      <w:vertAlign w:val="superscript"/>
    </w:rPr>
  </w:style>
  <w:style w:type="paragraph" w:styleId="Footer">
    <w:name w:val="footer"/>
    <w:basedOn w:val="Normal"/>
    <w:link w:val="FooterChar"/>
    <w:semiHidden/>
    <w:rsid w:val="00041AE6"/>
    <w:pPr>
      <w:tabs>
        <w:tab w:val="center" w:pos="4513"/>
        <w:tab w:val="right" w:pos="9026"/>
      </w:tabs>
    </w:pPr>
  </w:style>
  <w:style w:type="character" w:customStyle="1" w:styleId="FooterChar">
    <w:name w:val="Footer Char"/>
    <w:basedOn w:val="DefaultParagraphFont"/>
    <w:link w:val="Footer"/>
    <w:semiHidden/>
    <w:rsid w:val="00041AE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2664</Words>
  <Characters>19664</Characters>
  <Application>Microsoft Office Word</Application>
  <DocSecurity>0</DocSecurity>
  <Lines>327</Lines>
  <Paragraphs>111</Paragraphs>
  <ScaleCrop>false</ScaleCrop>
  <HeadingPairs>
    <vt:vector size="2" baseType="variant">
      <vt:variant>
        <vt:lpstr>Title</vt:lpstr>
      </vt:variant>
      <vt:variant>
        <vt:i4>1</vt:i4>
      </vt:variant>
    </vt:vector>
  </HeadingPairs>
  <TitlesOfParts>
    <vt:vector size="1" baseType="lpstr">
      <vt:lpstr>PR_Dec_Agencies</vt:lpstr>
    </vt:vector>
  </TitlesOfParts>
  <Company/>
  <LinksUpToDate>false</LinksUpToDate>
  <CharactersWithSpaces>22217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dc:title>
  <dc:creator>GISBRECHT Evelyna</dc:creator>
  <cp:lastModifiedBy>LEVERTAND Reet</cp:lastModifiedBy>
  <cp:revision>2</cp:revision>
  <cp:lastPrinted>2004-12-08T15:27:00Z</cp:lastPrinted>
  <dcterms:created xsi:type="dcterms:W3CDTF">2024-01-29T08:00:00Z</dcterms:created>
  <dcterms:modified xsi:type="dcterms:W3CDTF">2024-01-29T08:00:00Z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1286148</vt:lpwstr>
  </property>
  <property fmtid="{D5CDD505-2E9C-101B-9397-08002B2CF9AE}" pid="4" name="&lt;Model&gt;">
    <vt:lpwstr>PR_DEC_Agencies</vt:lpwstr>
  </property>
  <property fmtid="{D5CDD505-2E9C-101B-9397-08002B2CF9AE}" pid="5" name="&lt;ModelCod&gt;">
    <vt:lpwstr>\\eiciBRUpr1\pdocep$\DocEP\DOCS\General\PR\PR_BUD\DEC\PR_DEC_Agencies.dotx(13/10/2022 07:29:28)</vt:lpwstr>
  </property>
  <property fmtid="{D5CDD505-2E9C-101B-9397-08002B2CF9AE}" pid="6" name="&lt;ModelTra&gt;">
    <vt:lpwstr>\\eiciBRUpr1\pdocep$\DocEP\TRANSFIL\EN\PR_DEC_Agencies.EN(25/09/2023 08:37:04)</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PR\1286148ET.docx</vt:lpwstr>
  </property>
  <property fmtid="{D5CDD505-2E9C-101B-9397-08002B2CF9AE}" pid="10" name="LastEdited with">
    <vt:lpwstr>9.17.1 Build [20240101]</vt:lpwstr>
  </property>
  <property fmtid="{D5CDD505-2E9C-101B-9397-08002B2CF9AE}" pid="11" name="PE number">
    <vt:lpwstr>753.521</vt:lpwstr>
  </property>
  <property fmtid="{D5CDD505-2E9C-101B-9397-08002B2CF9AE}" pid="12" name="SDLStudio">
    <vt:lpwstr/>
  </property>
  <property fmtid="{D5CDD505-2E9C-101B-9397-08002B2CF9AE}" pid="13" name="SendToEpades">
    <vt:lpwstr>OK - 2024/01/09 11:45</vt:lpwstr>
  </property>
  <property fmtid="{D5CDD505-2E9C-101B-9397-08002B2CF9AE}" pid="14" name="Bookout">
    <vt:lpwstr>OK - 2024/01/29 08:58</vt:lpwstr>
  </property>
</Properties>
</file>