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503A4" w:rsidRPr="00E83F9F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4749EC" w:rsidRPr="00E83F9F" w:rsidRDefault="00EB6A9C" w:rsidP="00C85D0F">
            <w:pPr>
              <w:pStyle w:val="EPName"/>
            </w:pPr>
            <w:bookmarkStart w:id="0" w:name="_GoBack"/>
            <w:bookmarkEnd w:id="0"/>
            <w:r w:rsidRPr="00E83F9F">
              <w:t>Parlament Ewropew</w:t>
            </w:r>
          </w:p>
          <w:p w:rsidR="004749EC" w:rsidRPr="00E83F9F" w:rsidRDefault="00EB6A9C" w:rsidP="007F18B5">
            <w:pPr>
              <w:pStyle w:val="EPTerm"/>
            </w:pPr>
            <w:r w:rsidRPr="00E83F9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4749EC" w:rsidRPr="00E83F9F" w:rsidRDefault="00EB6A9C" w:rsidP="00C85D0F">
            <w:pPr>
              <w:pStyle w:val="EPLogo"/>
            </w:pPr>
            <w:r w:rsidRPr="00E83F9F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0068" w:rsidRPr="00E83F9F" w:rsidRDefault="00390068" w:rsidP="00390068">
      <w:pPr>
        <w:pStyle w:val="LineTop"/>
      </w:pPr>
    </w:p>
    <w:p w:rsidR="00390068" w:rsidRPr="00E83F9F" w:rsidRDefault="00EB6A9C" w:rsidP="00390068">
      <w:pPr>
        <w:pStyle w:val="EPBody"/>
      </w:pPr>
      <w:r w:rsidRPr="00E83F9F">
        <w:rPr>
          <w:rStyle w:val="HideTWBExt"/>
        </w:rPr>
        <w:t>&lt;</w:t>
      </w:r>
      <w:r w:rsidRPr="00E83F9F">
        <w:rPr>
          <w:rStyle w:val="HideTWBExt"/>
          <w:i w:val="0"/>
        </w:rPr>
        <w:t>Commission</w:t>
      </w:r>
      <w:r w:rsidRPr="00E83F9F">
        <w:rPr>
          <w:rStyle w:val="HideTWBExt"/>
        </w:rPr>
        <w:t>&gt;</w:t>
      </w:r>
      <w:r w:rsidRPr="00E83F9F">
        <w:rPr>
          <w:rStyle w:val="HideTWBInt"/>
          <w:i w:val="0"/>
          <w:color w:val="auto"/>
        </w:rPr>
        <w:t>{CONT}</w:t>
      </w:r>
      <w:r w:rsidRPr="00E83F9F">
        <w:t>Kumitat għall-Kontroll tal-Baġit</w:t>
      </w:r>
      <w:r w:rsidRPr="00E83F9F">
        <w:rPr>
          <w:rStyle w:val="HideTWBExt"/>
        </w:rPr>
        <w:t>&lt;/</w:t>
      </w:r>
      <w:r w:rsidRPr="00E83F9F">
        <w:rPr>
          <w:rStyle w:val="HideTWBExt"/>
          <w:i w:val="0"/>
        </w:rPr>
        <w:t>Commission</w:t>
      </w:r>
      <w:r w:rsidRPr="00E83F9F">
        <w:rPr>
          <w:rStyle w:val="HideTWBExt"/>
        </w:rPr>
        <w:t>&gt;</w:t>
      </w:r>
    </w:p>
    <w:p w:rsidR="00390068" w:rsidRPr="00E83F9F" w:rsidRDefault="00390068" w:rsidP="00390068">
      <w:pPr>
        <w:pStyle w:val="LineBottom"/>
      </w:pPr>
    </w:p>
    <w:p w:rsidR="00C1531C" w:rsidRPr="00E83F9F" w:rsidRDefault="00EB6A9C">
      <w:pPr>
        <w:pStyle w:val="CoverReference"/>
      </w:pPr>
      <w:r w:rsidRPr="00E83F9F">
        <w:rPr>
          <w:rStyle w:val="HideTWBExt"/>
          <w:b w:val="0"/>
        </w:rPr>
        <w:t>&lt;RefProc&gt;</w:t>
      </w:r>
      <w:r w:rsidRPr="00E83F9F">
        <w:t>2023/2153</w:t>
      </w:r>
      <w:r w:rsidRPr="00E83F9F">
        <w:rPr>
          <w:rStyle w:val="HideTWBExt"/>
          <w:b w:val="0"/>
        </w:rPr>
        <w:t>&lt;/RefProc&gt;&lt;RefTypeProc&gt;</w:t>
      </w:r>
      <w:r w:rsidRPr="00E83F9F">
        <w:t>(DEC)</w:t>
      </w:r>
      <w:r w:rsidRPr="00E83F9F">
        <w:rPr>
          <w:rStyle w:val="HideTWBExt"/>
          <w:b w:val="0"/>
        </w:rPr>
        <w:t>&lt;/RefTypeProc&gt;</w:t>
      </w:r>
    </w:p>
    <w:p w:rsidR="00C1531C" w:rsidRPr="00E83F9F" w:rsidRDefault="00EB6A9C">
      <w:pPr>
        <w:pStyle w:val="CoverDate"/>
      </w:pPr>
      <w:r w:rsidRPr="00E83F9F">
        <w:rPr>
          <w:rStyle w:val="HideTWBExt"/>
        </w:rPr>
        <w:t>&lt;Date&gt;</w:t>
      </w:r>
      <w:r w:rsidRPr="00E83F9F">
        <w:rPr>
          <w:rStyle w:val="HideTWBInt"/>
          <w:color w:val="auto"/>
        </w:rPr>
        <w:t>{09/01/2024}</w:t>
      </w:r>
      <w:r w:rsidRPr="00E83F9F">
        <w:t>9.1.2024</w:t>
      </w:r>
      <w:r w:rsidRPr="00E83F9F">
        <w:rPr>
          <w:rStyle w:val="HideTWBExt"/>
        </w:rPr>
        <w:t>&lt;/Date&gt;</w:t>
      </w:r>
    </w:p>
    <w:p w:rsidR="00C1531C" w:rsidRPr="00E83F9F" w:rsidRDefault="00EB6A9C">
      <w:pPr>
        <w:pStyle w:val="CoverDocType24a"/>
      </w:pPr>
      <w:r w:rsidRPr="00E83F9F">
        <w:rPr>
          <w:rStyle w:val="HideTWBExt"/>
          <w:b w:val="0"/>
        </w:rPr>
        <w:t>&lt;TitreType&gt;</w:t>
      </w:r>
      <w:r w:rsidRPr="00E83F9F">
        <w:t>ABBOZZ TA’ RAPPORT</w:t>
      </w:r>
      <w:r w:rsidRPr="00E83F9F">
        <w:rPr>
          <w:rStyle w:val="HideTWBExt"/>
          <w:b w:val="0"/>
        </w:rPr>
        <w:t>&lt;/TitreType&gt;</w:t>
      </w:r>
    </w:p>
    <w:p w:rsidR="00C1531C" w:rsidRPr="00E83F9F" w:rsidRDefault="00EB6A9C">
      <w:pPr>
        <w:pStyle w:val="CoverNormal"/>
      </w:pPr>
      <w:r w:rsidRPr="00E83F9F">
        <w:rPr>
          <w:rStyle w:val="HideTWBExt"/>
        </w:rPr>
        <w:t>&lt;Titre&gt;</w:t>
      </w:r>
      <w:r w:rsidRPr="00E83F9F">
        <w:t xml:space="preserve">dwar </w:t>
      </w:r>
      <w:r w:rsidRPr="00E83F9F">
        <w:t>il-kwittanza għall-implimentazzjoni tal-baġit tal-Awtorità Ewropea tal-Assigurazzjoni u l-Pensjonijiet tax-Xogħol għas-sena finanzjarja 2022</w:t>
      </w:r>
      <w:r w:rsidRPr="00E83F9F">
        <w:rPr>
          <w:rStyle w:val="HideTWBExt"/>
        </w:rPr>
        <w:t>&lt;/Titre&gt;</w:t>
      </w:r>
    </w:p>
    <w:p w:rsidR="00C1531C" w:rsidRPr="00E83F9F" w:rsidRDefault="00EB6A9C">
      <w:pPr>
        <w:pStyle w:val="CoverNormal24a"/>
      </w:pPr>
      <w:r w:rsidRPr="00E83F9F">
        <w:rPr>
          <w:rStyle w:val="HideTWBExt"/>
        </w:rPr>
        <w:t>&lt;DocRef&gt;</w:t>
      </w:r>
      <w:r w:rsidRPr="00E83F9F">
        <w:t>(2023/2153(DEC))</w:t>
      </w:r>
      <w:r w:rsidRPr="00E83F9F">
        <w:rPr>
          <w:rStyle w:val="HideTWBExt"/>
        </w:rPr>
        <w:t>&lt;/DocRef&gt;</w:t>
      </w:r>
    </w:p>
    <w:p w:rsidR="00C1531C" w:rsidRPr="00E83F9F" w:rsidRDefault="00EB6A9C">
      <w:pPr>
        <w:pStyle w:val="CoverNormal24a"/>
      </w:pPr>
      <w:r w:rsidRPr="00E83F9F">
        <w:rPr>
          <w:rStyle w:val="HideTWBExt"/>
        </w:rPr>
        <w:t>&lt;Commission&gt;</w:t>
      </w:r>
      <w:r w:rsidRPr="00E83F9F">
        <w:rPr>
          <w:rStyle w:val="HideTWBInt"/>
          <w:color w:val="auto"/>
        </w:rPr>
        <w:t>{CONT}</w:t>
      </w:r>
      <w:r w:rsidRPr="00E83F9F">
        <w:t>Kumitat għall-Kontroll tal-Baġit</w:t>
      </w:r>
      <w:r w:rsidRPr="00E83F9F">
        <w:rPr>
          <w:rStyle w:val="HideTWBExt"/>
        </w:rPr>
        <w:t>&lt;/Commission&gt;</w:t>
      </w:r>
    </w:p>
    <w:p w:rsidR="00C1531C" w:rsidRPr="00E83F9F" w:rsidRDefault="00EB6A9C">
      <w:pPr>
        <w:pStyle w:val="CoverNormal24a"/>
      </w:pPr>
      <w:r w:rsidRPr="00E83F9F">
        <w:t>Rapporteu</w:t>
      </w:r>
      <w:r w:rsidRPr="00E83F9F">
        <w:t xml:space="preserve">r: </w:t>
      </w:r>
      <w:r w:rsidRPr="00E83F9F">
        <w:rPr>
          <w:rStyle w:val="HideTWBExt"/>
        </w:rPr>
        <w:t>&lt;Depute&gt;</w:t>
      </w:r>
      <w:r w:rsidRPr="00E83F9F">
        <w:t>Petri Sarvamaa</w:t>
      </w:r>
      <w:r w:rsidRPr="00E83F9F">
        <w:rPr>
          <w:rStyle w:val="HideTWBExt"/>
        </w:rPr>
        <w:t>&lt;/Depute&gt;</w:t>
      </w:r>
    </w:p>
    <w:p w:rsidR="00320A9A" w:rsidRPr="00E83F9F" w:rsidRDefault="00320A9A" w:rsidP="00320A9A">
      <w:pPr>
        <w:pStyle w:val="CoverNormal"/>
      </w:pPr>
    </w:p>
    <w:p w:rsidR="00C1531C" w:rsidRPr="00E83F9F" w:rsidRDefault="00EB6A9C" w:rsidP="00D46466">
      <w:pPr>
        <w:widowControl/>
        <w:tabs>
          <w:tab w:val="center" w:pos="4677"/>
        </w:tabs>
      </w:pPr>
      <w:r w:rsidRPr="00E83F9F">
        <w:br w:type="page"/>
      </w:r>
      <w:r w:rsidRPr="00E83F9F">
        <w:lastRenderedPageBreak/>
        <w:t>PR_DEC_Agencies</w:t>
      </w:r>
    </w:p>
    <w:p w:rsidR="00C1531C" w:rsidRPr="00E83F9F" w:rsidRDefault="00EB6A9C">
      <w:pPr>
        <w:pStyle w:val="TOCHeading"/>
      </w:pPr>
      <w:r w:rsidRPr="00E83F9F">
        <w:t>WERREJ</w:t>
      </w:r>
    </w:p>
    <w:p w:rsidR="00837B2B" w:rsidRPr="00E83F9F" w:rsidRDefault="00EB6A9C" w:rsidP="00837B2B">
      <w:pPr>
        <w:pStyle w:val="TOCPage"/>
      </w:pPr>
      <w:r w:rsidRPr="00E83F9F">
        <w:t>Paġna</w:t>
      </w:r>
    </w:p>
    <w:p w:rsidR="00EB6A9C" w:rsidRDefault="00EB6A9C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sz w:val="22"/>
          <w:szCs w:val="22"/>
          <w:lang w:val="en-GB"/>
        </w:rPr>
      </w:pPr>
      <w:r w:rsidRPr="00E83F9F">
        <w:rPr>
          <w:b/>
        </w:rPr>
        <w:fldChar w:fldCharType="begin"/>
      </w:r>
      <w:r w:rsidRPr="00E83F9F">
        <w:rPr>
          <w:b/>
        </w:rPr>
        <w:instrText xml:space="preserve"> TOC \t "PageHeading;1" </w:instrText>
      </w:r>
      <w:r w:rsidRPr="00E83F9F">
        <w:rPr>
          <w:b/>
        </w:rPr>
        <w:fldChar w:fldCharType="separate"/>
      </w:r>
      <w:r>
        <w:t>1. PROPOSTA GĦAL DEĊIŻJONI TAL-PARLAMENT EWROPEW</w:t>
      </w:r>
      <w:r>
        <w:tab/>
      </w:r>
      <w:r>
        <w:fldChar w:fldCharType="begin"/>
      </w:r>
      <w:r>
        <w:instrText xml:space="preserve"> PAGEREF _Toc157069668 \h </w:instrText>
      </w:r>
      <w:r>
        <w:fldChar w:fldCharType="separate"/>
      </w:r>
      <w:r>
        <w:t>3</w:t>
      </w:r>
      <w:r>
        <w:fldChar w:fldCharType="end"/>
      </w:r>
    </w:p>
    <w:p w:rsidR="00EB6A9C" w:rsidRDefault="00EB6A9C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sz w:val="22"/>
          <w:szCs w:val="22"/>
          <w:lang w:val="en-GB"/>
        </w:rPr>
      </w:pPr>
      <w:r>
        <w:t>2. PROPOSTA GĦAL DEĊIŻJONI TAL-PARLAMENT EWROPEW</w:t>
      </w:r>
      <w:r>
        <w:tab/>
      </w:r>
      <w:r>
        <w:fldChar w:fldCharType="begin"/>
      </w:r>
      <w:r>
        <w:instrText xml:space="preserve"> PAGEREF _Toc157069669 \h </w:instrText>
      </w:r>
      <w:r>
        <w:fldChar w:fldCharType="separate"/>
      </w:r>
      <w:r>
        <w:t>5</w:t>
      </w:r>
      <w:r>
        <w:fldChar w:fldCharType="end"/>
      </w:r>
    </w:p>
    <w:p w:rsidR="00EB6A9C" w:rsidRDefault="00EB6A9C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sz w:val="22"/>
          <w:szCs w:val="22"/>
          <w:lang w:val="en-GB"/>
        </w:rPr>
      </w:pPr>
      <w:r>
        <w:t>3. MOZZJONI GĦAL RIŻOLUZZJONI TAL-PARLAMENT EWROPEW</w:t>
      </w:r>
      <w:r>
        <w:tab/>
      </w:r>
      <w:r>
        <w:fldChar w:fldCharType="begin"/>
      </w:r>
      <w:r>
        <w:instrText xml:space="preserve"> PAGEREF _Toc157069670 \h </w:instrText>
      </w:r>
      <w:r>
        <w:fldChar w:fldCharType="separate"/>
      </w:r>
      <w:r>
        <w:t>7</w:t>
      </w:r>
      <w:r>
        <w:fldChar w:fldCharType="end"/>
      </w:r>
    </w:p>
    <w:p w:rsidR="00C1531C" w:rsidRPr="00E83F9F" w:rsidRDefault="00EB6A9C" w:rsidP="003F229D">
      <w:r w:rsidRPr="00E83F9F">
        <w:rPr>
          <w:b/>
        </w:rPr>
        <w:fldChar w:fldCharType="end"/>
      </w:r>
    </w:p>
    <w:p w:rsidR="00C1531C" w:rsidRPr="00E83F9F" w:rsidRDefault="00EB6A9C" w:rsidP="004D13BA">
      <w:pPr>
        <w:pStyle w:val="PageHeading"/>
      </w:pPr>
      <w:r w:rsidRPr="00E83F9F">
        <w:br w:type="page"/>
      </w:r>
      <w:bookmarkStart w:id="1" w:name="_Toc26759888"/>
      <w:bookmarkStart w:id="2" w:name="_Toc86200285"/>
      <w:bookmarkStart w:id="3" w:name="_Toc157069668"/>
      <w:r w:rsidRPr="00E83F9F">
        <w:lastRenderedPageBreak/>
        <w:t>1. PROPOSTA GĦAL DEĊIŻJONI TAL-PARLAMENT EWROPEW</w:t>
      </w:r>
      <w:bookmarkEnd w:id="3"/>
    </w:p>
    <w:p w:rsidR="00C1531C" w:rsidRPr="00E83F9F" w:rsidRDefault="00EB6A9C">
      <w:pPr>
        <w:pStyle w:val="NormalBold"/>
      </w:pPr>
      <w:r w:rsidRPr="00E83F9F">
        <w:t>dwar il-kwittanza għall-implimentazzjoni tal-baġit tal-Awtorità Ewropea tal-Assigurazzjoni u l-Pensjonijiet t</w:t>
      </w:r>
      <w:r w:rsidRPr="00E83F9F">
        <w:t>ax-Xogħol għas-sena finanzjarja 2022</w:t>
      </w:r>
    </w:p>
    <w:p w:rsidR="00C1531C" w:rsidRPr="00E83F9F" w:rsidRDefault="00EB6A9C" w:rsidP="002421F7">
      <w:pPr>
        <w:pStyle w:val="NormalBold"/>
      </w:pPr>
      <w:r w:rsidRPr="00E83F9F">
        <w:t>(2023/2153(DEC))</w:t>
      </w:r>
    </w:p>
    <w:bookmarkEnd w:id="1"/>
    <w:bookmarkEnd w:id="2"/>
    <w:p w:rsidR="00041AE6" w:rsidRPr="00E83F9F" w:rsidRDefault="00EB6A9C" w:rsidP="00041AE6">
      <w:pPr>
        <w:pStyle w:val="EPComma"/>
      </w:pPr>
      <w:r w:rsidRPr="00E83F9F">
        <w:rPr>
          <w:i/>
        </w:rPr>
        <w:t>Il-Parlament Ewropew</w:t>
      </w:r>
      <w:r w:rsidRPr="00E83F9F">
        <w:t>,</w:t>
      </w:r>
    </w:p>
    <w:p w:rsidR="00041AE6" w:rsidRPr="00E83F9F" w:rsidRDefault="00EB6A9C" w:rsidP="00041AE6">
      <w:pPr>
        <w:pStyle w:val="NormalHanging12a"/>
      </w:pPr>
      <w:r w:rsidRPr="00E83F9F">
        <w:t>–</w:t>
      </w:r>
      <w:r w:rsidRPr="00E83F9F">
        <w:tab/>
        <w:t>wara li kkunsidra l-kontijiet annwali finali tal-Awtorità Ewropea tal-Assigurazzjoni u l-Pensjonijiet tax-Xogħol għas-sena finanzjarja 2022,</w:t>
      </w:r>
    </w:p>
    <w:p w:rsidR="00041AE6" w:rsidRPr="00E83F9F" w:rsidRDefault="00EB6A9C" w:rsidP="00041AE6">
      <w:pPr>
        <w:pStyle w:val="NormalHanging12a"/>
      </w:pPr>
      <w:r w:rsidRPr="00E83F9F">
        <w:t>–</w:t>
      </w:r>
      <w:r w:rsidRPr="00E83F9F">
        <w:tab/>
        <w:t>wara li kkunsidra r-rapport annwali</w:t>
      </w:r>
      <w:r w:rsidRPr="00E83F9F">
        <w:t xml:space="preserve"> tal-Qorti tal-Awdituri dwar l-aġenziji tal-UE għas-sena finanzjarja 2022, flimkien mar-risposti tal-aġenziji</w:t>
      </w:r>
      <w:r w:rsidRPr="00E83F9F">
        <w:rPr>
          <w:rStyle w:val="FootnoteReference"/>
        </w:rPr>
        <w:footnoteReference w:id="1"/>
      </w:r>
      <w:r w:rsidRPr="00E83F9F">
        <w:t>,</w:t>
      </w:r>
    </w:p>
    <w:p w:rsidR="00041AE6" w:rsidRPr="00E83F9F" w:rsidRDefault="00EB6A9C" w:rsidP="00041AE6">
      <w:pPr>
        <w:pStyle w:val="NormalHanging12a"/>
      </w:pPr>
      <w:r w:rsidRPr="00E83F9F">
        <w:t>–</w:t>
      </w:r>
      <w:r w:rsidRPr="00E83F9F">
        <w:tab/>
        <w:t>wara li kkunsidra d-dikjarazzjoni ta’ assigurazzjoni</w:t>
      </w:r>
      <w:r w:rsidRPr="00E83F9F">
        <w:rPr>
          <w:rStyle w:val="FootnoteReference"/>
        </w:rPr>
        <w:footnoteReference w:id="2"/>
      </w:r>
      <w:r w:rsidRPr="00E83F9F">
        <w:t xml:space="preserve"> dwar l-affidabbiltà tal-kontijiet u l-legalità u r-regolarità tat-tranżazzjonijiet ta’ b</w:t>
      </w:r>
      <w:r w:rsidRPr="00E83F9F">
        <w:t>ażi, ipprovduta mill-Qorti tal-Awdituri għas-sena finanzjarja 2022 skont l-Artikolu 287 tat-Trattat dwar il-Funzjonament tal-Unjoni Ewropea,</w:t>
      </w:r>
    </w:p>
    <w:p w:rsidR="00041AE6" w:rsidRPr="00E83F9F" w:rsidRDefault="00EB6A9C" w:rsidP="00041AE6">
      <w:pPr>
        <w:pStyle w:val="NormalHanging12a"/>
      </w:pPr>
      <w:r w:rsidRPr="00E83F9F">
        <w:t>–</w:t>
      </w:r>
      <w:r w:rsidRPr="00E83F9F">
        <w:tab/>
        <w:t>wara li kkunsidra r-rakkomandazzjoni tal-Kunsill ta’ ... ta’ Frar 2024 dwar il-kwittanza li għandha tingħata lill</w:t>
      </w:r>
      <w:r w:rsidRPr="00E83F9F">
        <w:t>-Awtorità fir-rigward tal-implimentazzjoni tal-baġit għas-sena finanzjarja 2022 (00000/2024 – C9</w:t>
      </w:r>
      <w:r w:rsidRPr="00E83F9F">
        <w:noBreakHyphen/>
        <w:t>0000/2024),</w:t>
      </w:r>
    </w:p>
    <w:p w:rsidR="00041AE6" w:rsidRPr="00E83F9F" w:rsidRDefault="00EB6A9C" w:rsidP="00041AE6">
      <w:pPr>
        <w:pStyle w:val="NormalHanging12a"/>
      </w:pPr>
      <w:r w:rsidRPr="00E83F9F">
        <w:t>–</w:t>
      </w:r>
      <w:r w:rsidRPr="00E83F9F">
        <w:tab/>
        <w:t>wara li kkunsidra l-Artikolu 319 tat-Trattat dwar il-Funzjonament tal-Unjoni Ewropea,</w:t>
      </w:r>
    </w:p>
    <w:p w:rsidR="00041AE6" w:rsidRPr="00E83F9F" w:rsidRDefault="00EB6A9C" w:rsidP="00041AE6">
      <w:pPr>
        <w:pStyle w:val="NormalHanging12a"/>
      </w:pPr>
      <w:r w:rsidRPr="00E83F9F">
        <w:t>–</w:t>
      </w:r>
      <w:r w:rsidRPr="00E83F9F">
        <w:tab/>
        <w:t>wara li kkunsidra r-Regolament (UE, Euratom) 2018/1046 ta</w:t>
      </w:r>
      <w:r w:rsidRPr="00E83F9F">
        <w:t>l-Parlament Ewropew u tal-Kunsill tat-18 ta’ Lulju 2018 dwar ir-regoli finanzjarji applikabbli għall-baġit ġenerali tal-Unjoni, li jemenda r-Regolamenti (UE) Nru 1296/2013, (UE) Nru 1301/2013, (UE) Nru 1303/2013, (UE) Nru 1304/2013, (UE) Nru 1309/2013, (UE</w:t>
      </w:r>
      <w:r w:rsidRPr="00E83F9F">
        <w:t>) Nru 1316/2013, (UE) Nru 223/2014, (UE) Nru 283/2014, u d-Deċiżjoni Nru 541/2014/UE u li jħassar ir-Regolament (UE, Euratom) Nru 966/2012</w:t>
      </w:r>
      <w:r w:rsidRPr="00E83F9F">
        <w:rPr>
          <w:rStyle w:val="FootnoteReference"/>
        </w:rPr>
        <w:footnoteReference w:id="3"/>
      </w:r>
      <w:r w:rsidRPr="00E83F9F">
        <w:t>, u b’mod partikolari l-Artikolu 70 tiegħu,</w:t>
      </w:r>
    </w:p>
    <w:p w:rsidR="00041AE6" w:rsidRPr="00E83F9F" w:rsidRDefault="00EB6A9C" w:rsidP="00041AE6">
      <w:pPr>
        <w:pStyle w:val="NormalHanging12a"/>
      </w:pPr>
      <w:r w:rsidRPr="00E83F9F">
        <w:t>–</w:t>
      </w:r>
      <w:r w:rsidRPr="00E83F9F">
        <w:tab/>
        <w:t>wara li kkunsidra r-Regolament (UE) Nru 1094/2010 tal-Parlament Ewropew</w:t>
      </w:r>
      <w:r w:rsidRPr="00E83F9F">
        <w:t xml:space="preserve"> u tal-Kunsill tal-24 ta’ Novembru 2010 li jistabbilixxi Awtorità Superviżorja Ewropea (l-Awtorità Ewropea tal-Assigurazzjoni u l-Pensjonijiet tax-Xogħol), u li jemenda d-Deċiżjoni Nru 716/2009/KE u li jħassar id-Deċiżjoni tal-Kummissjoni 2009/79/KE</w:t>
      </w:r>
      <w:r w:rsidRPr="00E83F9F">
        <w:rPr>
          <w:rStyle w:val="FootnoteReference"/>
        </w:rPr>
        <w:footnoteReference w:id="4"/>
      </w:r>
      <w:r w:rsidRPr="00E83F9F">
        <w:t>, u b’</w:t>
      </w:r>
      <w:r w:rsidRPr="00E83F9F">
        <w:t>mod partikolari l-Artikolu 64 tiegħu,</w:t>
      </w:r>
    </w:p>
    <w:p w:rsidR="00041AE6" w:rsidRPr="00E83F9F" w:rsidRDefault="00EB6A9C" w:rsidP="00041AE6">
      <w:pPr>
        <w:pStyle w:val="NormalHanging12a"/>
      </w:pPr>
      <w:r w:rsidRPr="00E83F9F">
        <w:t>–</w:t>
      </w:r>
      <w:r w:rsidRPr="00E83F9F">
        <w:tab/>
        <w:t>wara li kkunsidra r-Regolament Delegat tal-Kummissjoni (UE) 2019/715 tat-18 ta’ Diċembru 2018 dwar ir-regolament finanzjarju qafas għall-korpi mwaqqfin skont it-TFUE u t-Trattat Euratom u msemmija fl-Artikolu 70 tar-</w:t>
      </w:r>
      <w:r w:rsidRPr="00E83F9F">
        <w:t>Regolament (UE, Euratom) 2018/1046 tal-Parlament Ewropew u tal-Kunsill</w:t>
      </w:r>
      <w:r w:rsidRPr="00E83F9F">
        <w:rPr>
          <w:rStyle w:val="FootnoteReference"/>
        </w:rPr>
        <w:footnoteReference w:id="5"/>
      </w:r>
      <w:r w:rsidRPr="00E83F9F">
        <w:t xml:space="preserve">, u b’mod partikolari l-Artikolu 105 </w:t>
      </w:r>
      <w:r w:rsidRPr="00E83F9F">
        <w:lastRenderedPageBreak/>
        <w:t>tiegħu,</w:t>
      </w:r>
    </w:p>
    <w:p w:rsidR="00041AE6" w:rsidRPr="00E83F9F" w:rsidRDefault="00EB6A9C" w:rsidP="00041AE6">
      <w:pPr>
        <w:pStyle w:val="NormalHanging12a"/>
      </w:pPr>
      <w:r w:rsidRPr="00E83F9F">
        <w:t>–</w:t>
      </w:r>
      <w:r w:rsidRPr="00E83F9F">
        <w:tab/>
        <w:t>wara li kkunsidra l-Artikolu 100 u l-Anness V tar-Regoli ta’ Proċedura tiegħu,</w:t>
      </w:r>
    </w:p>
    <w:p w:rsidR="00041AE6" w:rsidRPr="00E83F9F" w:rsidRDefault="00EB6A9C" w:rsidP="00041AE6">
      <w:pPr>
        <w:pStyle w:val="NormalHanging12a"/>
      </w:pPr>
      <w:r w:rsidRPr="00E83F9F">
        <w:t>–</w:t>
      </w:r>
      <w:r w:rsidRPr="00E83F9F">
        <w:tab/>
        <w:t>wara li kkunsidra r-rapport tal-Kumitat għall-Kontroll ta</w:t>
      </w:r>
      <w:r w:rsidRPr="00E83F9F">
        <w:t>l-Baġit (A9</w:t>
      </w:r>
      <w:r w:rsidRPr="00E83F9F">
        <w:noBreakHyphen/>
        <w:t>0000/2024),</w:t>
      </w:r>
    </w:p>
    <w:p w:rsidR="00041AE6" w:rsidRPr="00E83F9F" w:rsidRDefault="00EB6A9C" w:rsidP="00041AE6">
      <w:pPr>
        <w:pStyle w:val="NormalHanging12a"/>
      </w:pPr>
      <w:r w:rsidRPr="00E83F9F">
        <w:t>1.</w:t>
      </w:r>
      <w:r w:rsidRPr="00E83F9F">
        <w:tab/>
        <w:t>Jagħti l-kwittanza lid-Direttur Eżekuttiv tal-Awtorità Ewropea tal-Assigurazzjoni u l-Pensjonijiet tax-Xogħol għall-implimentazzjoni tal-baġit tal-Awtorità għas-sena finanzjarja 2022 / Jiddifferixxi d-deċiżjoni tiegħu dwar l-għot</w:t>
      </w:r>
      <w:r w:rsidRPr="00E83F9F">
        <w:t>i ta’ kwittanza lid-Direttur Eżekuttiv tal-Awtorità Ewropea tal-Assigurazzjoni u l-Pensjonijiet tax-Xogħol għall-implimentazzjoni tal-baġit tal-Awtorità għas-sena finanzjarja 2022;</w:t>
      </w:r>
    </w:p>
    <w:p w:rsidR="00041AE6" w:rsidRPr="00E83F9F" w:rsidRDefault="00EB6A9C" w:rsidP="00041AE6">
      <w:pPr>
        <w:pStyle w:val="NormalHanging12a"/>
      </w:pPr>
      <w:r w:rsidRPr="00E83F9F">
        <w:t>2.</w:t>
      </w:r>
      <w:r w:rsidRPr="00E83F9F">
        <w:tab/>
        <w:t>Jippreżenta l-kummenti tiegħu fir-riżoluzzjoni t’hawn taħt;</w:t>
      </w:r>
    </w:p>
    <w:p w:rsidR="00041AE6" w:rsidRPr="00E83F9F" w:rsidRDefault="00EB6A9C" w:rsidP="00041AE6">
      <w:pPr>
        <w:pStyle w:val="NormalHanging12a"/>
      </w:pPr>
      <w:r w:rsidRPr="00E83F9F">
        <w:t>3.</w:t>
      </w:r>
      <w:r w:rsidRPr="00E83F9F">
        <w:tab/>
        <w:t xml:space="preserve">Jagħti </w:t>
      </w:r>
      <w:r w:rsidRPr="00E83F9F">
        <w:t>istruzzjonijiet lill-President tiegħu biex tgħaddi din id-deċiżjoni, kif ukoll ir-riżoluzzjoni li hija parti integrali minnha, lid-Direttur Eżekuttiv tal-Awtorità Ewropea tal-Assigurazzjoni u l-Pensjonijiet tax-Xogħol, lill-Kunsill, lill-Kummissjoni u lill</w:t>
      </w:r>
      <w:r w:rsidRPr="00E83F9F">
        <w:t>-Qorti tal-Awdituri, u biex tiżgura li jiġu ppubblikati f’</w:t>
      </w:r>
      <w:r w:rsidRPr="00E83F9F">
        <w:rPr>
          <w:i/>
        </w:rPr>
        <w:t>Il-Ġurnal Uffiċjali tal-Unjoni Ewropea</w:t>
      </w:r>
      <w:r w:rsidRPr="00E83F9F">
        <w:t xml:space="preserve"> (serje L).</w:t>
      </w:r>
    </w:p>
    <w:p w:rsidR="00041AE6" w:rsidRPr="00E83F9F" w:rsidRDefault="00041AE6" w:rsidP="00041AE6"/>
    <w:p w:rsidR="00041AE6" w:rsidRPr="00E83F9F" w:rsidRDefault="00041AE6" w:rsidP="00041AE6">
      <w:pPr>
        <w:widowControl/>
        <w:rPr>
          <w:rFonts w:ascii="Arial" w:hAnsi="Arial" w:cs="Arial"/>
          <w:b/>
        </w:rPr>
        <w:sectPr w:rsidR="00041AE6" w:rsidRPr="00E83F9F" w:rsidSect="00E83F9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titlePg/>
        </w:sectPr>
      </w:pPr>
    </w:p>
    <w:p w:rsidR="00041AE6" w:rsidRPr="00E83F9F" w:rsidRDefault="00EB6A9C" w:rsidP="00041AE6">
      <w:pPr>
        <w:pStyle w:val="PageHeading"/>
      </w:pPr>
      <w:bookmarkStart w:id="4" w:name="_Toc146789945"/>
      <w:bookmarkStart w:id="5" w:name="_Toc157069669"/>
      <w:r w:rsidRPr="00E83F9F">
        <w:lastRenderedPageBreak/>
        <w:t>2. PROPOSTA GĦAL DEĊIŻJONI TAL-PARLAMENT EWROPEW</w:t>
      </w:r>
      <w:bookmarkEnd w:id="4"/>
      <w:bookmarkEnd w:id="5"/>
    </w:p>
    <w:p w:rsidR="00041AE6" w:rsidRPr="00E83F9F" w:rsidRDefault="00EB6A9C" w:rsidP="00041AE6">
      <w:pPr>
        <w:pStyle w:val="NormalBold"/>
      </w:pPr>
      <w:r w:rsidRPr="00E83F9F">
        <w:t>dwar l-għeluq tal-kontijiet tal-Awtorità Ewropea tal-Assigurazzjoni u l-Pensjonijiet tax-Xogħol għas-s</w:t>
      </w:r>
      <w:r w:rsidRPr="00E83F9F">
        <w:t>ena finanzjarja 2022</w:t>
      </w:r>
    </w:p>
    <w:p w:rsidR="00041AE6" w:rsidRPr="00E83F9F" w:rsidRDefault="00EB6A9C" w:rsidP="00041AE6">
      <w:pPr>
        <w:pStyle w:val="NormalBold"/>
      </w:pPr>
      <w:r w:rsidRPr="00E83F9F">
        <w:t>(2023/2153(DEC))</w:t>
      </w:r>
    </w:p>
    <w:p w:rsidR="00041AE6" w:rsidRPr="00E83F9F" w:rsidRDefault="00EB6A9C" w:rsidP="00041AE6">
      <w:pPr>
        <w:pStyle w:val="EPComma"/>
      </w:pPr>
      <w:r w:rsidRPr="00E83F9F">
        <w:rPr>
          <w:i/>
        </w:rPr>
        <w:t>Il-Parlament Ewropew</w:t>
      </w:r>
      <w:r w:rsidRPr="00E83F9F">
        <w:t>,</w:t>
      </w:r>
    </w:p>
    <w:p w:rsidR="00041AE6" w:rsidRPr="00E83F9F" w:rsidRDefault="00EB6A9C" w:rsidP="00041AE6">
      <w:pPr>
        <w:pStyle w:val="NormalHanging12a"/>
      </w:pPr>
      <w:r w:rsidRPr="00E83F9F">
        <w:t>–</w:t>
      </w:r>
      <w:r w:rsidRPr="00E83F9F">
        <w:tab/>
        <w:t>wara li kkunsidra l-kontijiet annwali finali tal-Awtorità Ewropea tal-Assigurazzjoni u l-Pensjonijiet tax-Xogħol għas-sena finanzjarja 2022,</w:t>
      </w:r>
    </w:p>
    <w:p w:rsidR="00041AE6" w:rsidRPr="00E83F9F" w:rsidRDefault="00EB6A9C" w:rsidP="00041AE6">
      <w:pPr>
        <w:pStyle w:val="NormalHanging12a"/>
      </w:pPr>
      <w:r w:rsidRPr="00E83F9F">
        <w:t>–</w:t>
      </w:r>
      <w:r w:rsidRPr="00E83F9F">
        <w:tab/>
        <w:t xml:space="preserve">wara li kkunsidra r-rapport annwali tal-Qorti </w:t>
      </w:r>
      <w:r w:rsidRPr="00E83F9F">
        <w:t>tal-Awdituri dwar l-aġenziji tal-UE għas-sena finanzjarja 2022, flimkien mar-risposti tal-aġenziji</w:t>
      </w:r>
      <w:r w:rsidRPr="00E83F9F">
        <w:rPr>
          <w:rStyle w:val="FootnoteReference"/>
        </w:rPr>
        <w:footnoteReference w:id="6"/>
      </w:r>
      <w:r w:rsidRPr="00E83F9F">
        <w:t>,</w:t>
      </w:r>
    </w:p>
    <w:p w:rsidR="00041AE6" w:rsidRPr="00E83F9F" w:rsidRDefault="00EB6A9C" w:rsidP="00041AE6">
      <w:pPr>
        <w:pStyle w:val="NormalHanging12a"/>
      </w:pPr>
      <w:r w:rsidRPr="00E83F9F">
        <w:t>–</w:t>
      </w:r>
      <w:r w:rsidRPr="00E83F9F">
        <w:tab/>
        <w:t>wara li kkunsidra d-dikjarazzjoni ta’ assigurazzjoni</w:t>
      </w:r>
      <w:r w:rsidRPr="00E83F9F">
        <w:rPr>
          <w:rStyle w:val="FootnoteReference"/>
        </w:rPr>
        <w:footnoteReference w:id="7"/>
      </w:r>
      <w:r w:rsidRPr="00E83F9F">
        <w:t xml:space="preserve"> dwar l-affidabbiltà tal-kontijiet u l-legalità u r-regolarità tat-tranżazzjonijiet ta’ bażi, ipprov</w:t>
      </w:r>
      <w:r w:rsidRPr="00E83F9F">
        <w:t>duta mill-Qorti tal-Awdituri għas-sena finanzjarja 2022 skont l-Artikolu 287 tat-Trattat dwar il-Funzjonament tal-Unjoni Ewropea,</w:t>
      </w:r>
    </w:p>
    <w:p w:rsidR="00041AE6" w:rsidRPr="00E83F9F" w:rsidRDefault="00EB6A9C" w:rsidP="00041AE6">
      <w:pPr>
        <w:pStyle w:val="NormalHanging12a"/>
      </w:pPr>
      <w:r w:rsidRPr="00E83F9F">
        <w:t>–</w:t>
      </w:r>
      <w:r w:rsidRPr="00E83F9F">
        <w:tab/>
        <w:t>wara li kkunsidra r-rakkomandazzjoni tal-Kunsill ta’ ... ta’ Frar 2024 dwar il-kwittanza li għandha tingħata lill-Awtorità f</w:t>
      </w:r>
      <w:r w:rsidRPr="00E83F9F">
        <w:t>ir-rigward tal-implimentazzjoni tal-baġit għas-sena finanzjarja 2022 (00000/2024 – C9</w:t>
      </w:r>
      <w:r w:rsidRPr="00E83F9F">
        <w:noBreakHyphen/>
        <w:t>0000/2024),</w:t>
      </w:r>
    </w:p>
    <w:p w:rsidR="00041AE6" w:rsidRPr="00E83F9F" w:rsidRDefault="00EB6A9C" w:rsidP="00041AE6">
      <w:pPr>
        <w:pStyle w:val="NormalHanging12a"/>
      </w:pPr>
      <w:r w:rsidRPr="00E83F9F">
        <w:t>–</w:t>
      </w:r>
      <w:r w:rsidRPr="00E83F9F">
        <w:tab/>
        <w:t>wara li kkunsidra l-Artikolu 319 tat-Trattat dwar il-Funzjonament tal-Unjoni Ewropea,</w:t>
      </w:r>
    </w:p>
    <w:p w:rsidR="00041AE6" w:rsidRPr="00E83F9F" w:rsidRDefault="00EB6A9C" w:rsidP="00041AE6">
      <w:pPr>
        <w:pStyle w:val="NormalHanging12a"/>
      </w:pPr>
      <w:r w:rsidRPr="00E83F9F">
        <w:t>–</w:t>
      </w:r>
      <w:r w:rsidRPr="00E83F9F">
        <w:tab/>
        <w:t>wara li kkunsidra r-Regolament (UE, Euratom) 2018/1046 tal-Parlament</w:t>
      </w:r>
      <w:r w:rsidRPr="00E83F9F">
        <w:t xml:space="preserve"> Ewropew u tal-Kunsill tat-18 ta’ Lulju 2018 dwar ir-regoli finanzjarji applikabbli għall-baġit ġenerali tal-Unjoni, li jemenda r-Regolamenti (UE) Nru 1296/2013, (UE) Nru 1301/2013, (UE) Nru 1303/2013, (UE) Nru 1304/2013, (UE) Nru 1309/2013, (UE) Nru 1316/</w:t>
      </w:r>
      <w:r w:rsidRPr="00E83F9F">
        <w:t>2013, (UE) Nru 223/2014, (UE) Nru 283/2014, u d-Deċiżjoni Nru 541/2014/UE u li jħassar ir-Regolament (UE, Euratom) Nru 966/2012</w:t>
      </w:r>
      <w:r w:rsidRPr="00E83F9F">
        <w:rPr>
          <w:rStyle w:val="FootnoteReference"/>
        </w:rPr>
        <w:footnoteReference w:id="8"/>
      </w:r>
      <w:r w:rsidRPr="00E83F9F">
        <w:t>, u b’mod partikolari l-Artikolu 70 tiegħu,</w:t>
      </w:r>
    </w:p>
    <w:p w:rsidR="00041AE6" w:rsidRPr="00E83F9F" w:rsidRDefault="00EB6A9C" w:rsidP="00041AE6">
      <w:pPr>
        <w:pStyle w:val="NormalHanging12a"/>
      </w:pPr>
      <w:r w:rsidRPr="00E83F9F">
        <w:t>–</w:t>
      </w:r>
      <w:r w:rsidRPr="00E83F9F">
        <w:tab/>
        <w:t>wara li kkunsidra r-Regolament (UE) Nru 1094/2010 tal-Parlament Ewropew u tal-Kuns</w:t>
      </w:r>
      <w:r w:rsidRPr="00E83F9F">
        <w:t>ill tal-24 ta’ Novembru 2010 li jistabbilixxi Awtorità Superviżorja Ewropea (l-Awtorità Ewropea tal-Assigurazzjoni u l-Pensjonijiet tax-Xogħol), u li jemenda d-Deċiżjoni Nru 716/2009/KE u li jħassar id-Deċiżjoni tal-Kummissjoni 2009/79/KE</w:t>
      </w:r>
      <w:r w:rsidRPr="00E83F9F">
        <w:rPr>
          <w:rStyle w:val="FootnoteReference"/>
        </w:rPr>
        <w:footnoteReference w:id="9"/>
      </w:r>
      <w:r w:rsidRPr="00E83F9F">
        <w:t>, u b’mod partiko</w:t>
      </w:r>
      <w:r w:rsidRPr="00E83F9F">
        <w:t>lari l-Artikolu 64 tiegħu,</w:t>
      </w:r>
    </w:p>
    <w:p w:rsidR="00041AE6" w:rsidRPr="00E83F9F" w:rsidRDefault="00EB6A9C" w:rsidP="00041AE6">
      <w:pPr>
        <w:pStyle w:val="NormalHanging12a"/>
      </w:pPr>
      <w:r w:rsidRPr="00E83F9F">
        <w:t>–</w:t>
      </w:r>
      <w:r w:rsidRPr="00E83F9F">
        <w:tab/>
        <w:t xml:space="preserve">wara li kkunsidra r-Regolament Delegat tal-Kummissjoni (UE) 2019/715 tat-18 ta’ Diċembru 2018 dwar ir-regolament finanzjarju qafas għall-korpi mwaqqfin skont it-TFUE u t-Trattat Euratom u msemmija fl-Artikolu 70 tar-Regolament </w:t>
      </w:r>
      <w:r w:rsidRPr="00E83F9F">
        <w:t>(UE, Euratom) 2018/1046 tal-Parlament Ewropew u tal-Kunsill</w:t>
      </w:r>
      <w:r w:rsidRPr="00E83F9F">
        <w:rPr>
          <w:rStyle w:val="FootnoteReference"/>
        </w:rPr>
        <w:footnoteReference w:id="10"/>
      </w:r>
      <w:r w:rsidRPr="00E83F9F">
        <w:t xml:space="preserve">, u b’mod partikolari l-Artikolu 105 </w:t>
      </w:r>
      <w:r w:rsidRPr="00E83F9F">
        <w:lastRenderedPageBreak/>
        <w:t>tiegħu,</w:t>
      </w:r>
    </w:p>
    <w:p w:rsidR="00041AE6" w:rsidRPr="00E83F9F" w:rsidRDefault="00EB6A9C" w:rsidP="00041AE6">
      <w:pPr>
        <w:pStyle w:val="NormalHanging12a"/>
      </w:pPr>
      <w:r w:rsidRPr="00E83F9F">
        <w:t>–</w:t>
      </w:r>
      <w:r w:rsidRPr="00E83F9F">
        <w:tab/>
        <w:t>wara li kkunsidra l-Artikolu 100 u l-Anness V tar-Regoli ta’ Proċedura tiegħu,</w:t>
      </w:r>
    </w:p>
    <w:p w:rsidR="00041AE6" w:rsidRPr="00E83F9F" w:rsidRDefault="00EB6A9C" w:rsidP="00041AE6">
      <w:pPr>
        <w:pStyle w:val="NormalHanging12a"/>
      </w:pPr>
      <w:r w:rsidRPr="00E83F9F">
        <w:t>–</w:t>
      </w:r>
      <w:r w:rsidRPr="00E83F9F">
        <w:tab/>
        <w:t>wara li kkunsidra r-rapport tal-Kumitat għall-Kontroll tal-Baġit (A9</w:t>
      </w:r>
      <w:r w:rsidRPr="00E83F9F">
        <w:noBreakHyphen/>
        <w:t>0000/2024),</w:t>
      </w:r>
    </w:p>
    <w:p w:rsidR="00041AE6" w:rsidRPr="00E83F9F" w:rsidRDefault="00EB6A9C" w:rsidP="00041AE6">
      <w:pPr>
        <w:pStyle w:val="NormalHanging12a"/>
      </w:pPr>
      <w:r w:rsidRPr="00E83F9F">
        <w:t>1.</w:t>
      </w:r>
      <w:r w:rsidRPr="00E83F9F">
        <w:tab/>
        <w:t>Japprova l-għeluq tal-kontijiet tal-Awtorità Ewropea tal-Assigurazzjoni u l-Pensjonijiet tax-Xogħol għas-sena finanzjarja 2022 / Jipposponi l-għeluq tal-kontijiet tal-Awtorità Ewropea tal-Assigurazzjoni u l-Pensjonijiet tax-Xogħol għas-sena</w:t>
      </w:r>
      <w:r w:rsidRPr="00E83F9F">
        <w:t xml:space="preserve"> finanzjarja 2022;</w:t>
      </w:r>
    </w:p>
    <w:p w:rsidR="00041AE6" w:rsidRPr="00E83F9F" w:rsidRDefault="00EB6A9C" w:rsidP="00041AE6">
      <w:pPr>
        <w:pStyle w:val="NormalHanging12a"/>
      </w:pPr>
      <w:r w:rsidRPr="00E83F9F">
        <w:t>2.</w:t>
      </w:r>
      <w:r w:rsidRPr="00E83F9F">
        <w:tab/>
        <w:t>Jagħti istruzzjonijiet lill-President tiegħu biex tgħaddi din id-deċiżjoni lid-Direttur Eżekuttiv tal-Awtorità Ewropea tal-Assigurazzjoni u l-Pensjonijiet tax-Xogħol, lill-Kunsill, lill-Kummissjoni u lill-Qorti tal-Awdituri, u biex ti</w:t>
      </w:r>
      <w:r w:rsidRPr="00E83F9F">
        <w:t>żgura li tiġi ppubblikata f’</w:t>
      </w:r>
      <w:r w:rsidRPr="00E83F9F">
        <w:rPr>
          <w:i/>
        </w:rPr>
        <w:t>Il-Ġurnal Uffiċjali tal-Unjoni Ewropea</w:t>
      </w:r>
      <w:r w:rsidRPr="00E83F9F">
        <w:t xml:space="preserve"> (serje L).</w:t>
      </w:r>
    </w:p>
    <w:p w:rsidR="00041AE6" w:rsidRPr="00E83F9F" w:rsidRDefault="00041AE6" w:rsidP="00041AE6"/>
    <w:p w:rsidR="00041AE6" w:rsidRPr="00E83F9F" w:rsidRDefault="00041AE6" w:rsidP="00041AE6">
      <w:pPr>
        <w:widowControl/>
        <w:rPr>
          <w:rFonts w:ascii="Arial" w:hAnsi="Arial" w:cs="Arial"/>
          <w:b/>
        </w:rPr>
        <w:sectPr w:rsidR="00041AE6" w:rsidRPr="00E83F9F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</w:sectPr>
      </w:pPr>
    </w:p>
    <w:p w:rsidR="00041AE6" w:rsidRPr="00E83F9F" w:rsidRDefault="00EB6A9C" w:rsidP="00041AE6">
      <w:pPr>
        <w:pStyle w:val="PageHeading"/>
      </w:pPr>
      <w:bookmarkStart w:id="6" w:name="_Toc146789946"/>
      <w:bookmarkStart w:id="7" w:name="_Toc157069670"/>
      <w:r w:rsidRPr="00E83F9F">
        <w:lastRenderedPageBreak/>
        <w:t>3. MOZZ</w:t>
      </w:r>
      <w:r w:rsidRPr="00E83F9F">
        <w:t>JONI GĦAL RIŻOLUZZJONI TAL-PARLAMENT EWROPEW</w:t>
      </w:r>
      <w:bookmarkEnd w:id="6"/>
      <w:bookmarkEnd w:id="7"/>
    </w:p>
    <w:p w:rsidR="00041AE6" w:rsidRPr="00E83F9F" w:rsidRDefault="00EB6A9C" w:rsidP="00041AE6">
      <w:pPr>
        <w:pStyle w:val="NormalBold"/>
      </w:pPr>
      <w:r w:rsidRPr="00E83F9F">
        <w:t>li tinkludi l-kummenti li jagħmlu parti integrali mid-deċiżjoni dwar il-kwittanza għall-implimentazzjoni tal-baġit tal-Awtorità Ewropea tal-Assigurazzjoni u l-Pensjonijiet tax-Xogħol għas-sena finanzjarja 2022</w:t>
      </w:r>
    </w:p>
    <w:p w:rsidR="00041AE6" w:rsidRPr="00E83F9F" w:rsidRDefault="00EB6A9C" w:rsidP="00041AE6">
      <w:pPr>
        <w:pStyle w:val="NormalBold"/>
      </w:pPr>
      <w:r w:rsidRPr="00E83F9F">
        <w:t>(</w:t>
      </w:r>
      <w:r w:rsidRPr="00E83F9F">
        <w:t>2023/2153(DEC))</w:t>
      </w:r>
    </w:p>
    <w:p w:rsidR="006D4BA8" w:rsidRPr="00E83F9F" w:rsidRDefault="00EB6A9C" w:rsidP="006D4BA8">
      <w:pPr>
        <w:pStyle w:val="EPComma"/>
      </w:pPr>
      <w:r w:rsidRPr="00E83F9F">
        <w:rPr>
          <w:i/>
        </w:rPr>
        <w:t>Il-Parlament Ewropew</w:t>
      </w:r>
      <w:r w:rsidRPr="00E83F9F">
        <w:t>,</w:t>
      </w:r>
    </w:p>
    <w:p w:rsidR="006D4BA8" w:rsidRPr="00E83F9F" w:rsidRDefault="00EB6A9C" w:rsidP="006D4BA8">
      <w:pPr>
        <w:pStyle w:val="NormalHanging12a"/>
      </w:pPr>
      <w:r w:rsidRPr="00E83F9F">
        <w:t>–</w:t>
      </w:r>
      <w:r w:rsidRPr="00E83F9F">
        <w:tab/>
        <w:t>wara li kkunsidra d-deċiżjoni tiegħu dwar il-kwittanza għall-implimentazzjoni tal-baġit tal-Awtorità Ewropea tal-Assigurazzjoni u l-Pensjonijiet tax-Xogħol għas-sena finanzjarja 2022,</w:t>
      </w:r>
    </w:p>
    <w:p w:rsidR="006D4BA8" w:rsidRPr="00E83F9F" w:rsidRDefault="00EB6A9C" w:rsidP="006D4BA8">
      <w:pPr>
        <w:pStyle w:val="NormalHanging12a"/>
      </w:pPr>
      <w:r w:rsidRPr="00E83F9F">
        <w:t>–</w:t>
      </w:r>
      <w:r w:rsidRPr="00E83F9F">
        <w:tab/>
        <w:t xml:space="preserve">wara li kkunsidra l-Artikolu </w:t>
      </w:r>
      <w:r w:rsidRPr="00E83F9F">
        <w:t>100 u l-Anness V tar-Regoli ta’ Proċedura tiegħu,</w:t>
      </w:r>
    </w:p>
    <w:p w:rsidR="006D4BA8" w:rsidRPr="00E83F9F" w:rsidRDefault="00EB6A9C" w:rsidP="006D4BA8">
      <w:pPr>
        <w:pStyle w:val="NormalHanging12a"/>
      </w:pPr>
      <w:r w:rsidRPr="00E83F9F">
        <w:t>–</w:t>
      </w:r>
      <w:r w:rsidRPr="00E83F9F">
        <w:tab/>
        <w:t>wara li kkunsidra r-rapport tal-Kumitat għall-Kontroll tal-Baġit (A9</w:t>
      </w:r>
      <w:r w:rsidRPr="00E83F9F">
        <w:noBreakHyphen/>
        <w:t>0000/2024),</w:t>
      </w:r>
    </w:p>
    <w:p w:rsidR="006D4BA8" w:rsidRPr="00E83F9F" w:rsidRDefault="00EB6A9C" w:rsidP="006D4BA8">
      <w:pPr>
        <w:widowControl/>
        <w:spacing w:after="240"/>
        <w:ind w:left="567" w:hanging="567"/>
        <w:rPr>
          <w:szCs w:val="24"/>
        </w:rPr>
      </w:pPr>
      <w:r w:rsidRPr="00E83F9F">
        <w:t>A.</w:t>
      </w:r>
      <w:r w:rsidRPr="00E83F9F">
        <w:tab/>
        <w:t>billi, skont id-dikjarazzjoni tad-dħul u l-infiq</w:t>
      </w:r>
      <w:r w:rsidRPr="00E83F9F">
        <w:rPr>
          <w:rStyle w:val="FootnoteReference"/>
          <w:szCs w:val="24"/>
        </w:rPr>
        <w:footnoteReference w:id="11"/>
      </w:r>
      <w:r w:rsidRPr="00E83F9F">
        <w:t xml:space="preserve"> tagħha, il-baġit finali tal-Awtorità Ewropea tal-Assigurazzjoni u l-Pensjonijiet tax-Xogħol (“l-Awtorità”) għas-sena finanzjarja 2022 kien jammonta għal EUR 34 571 120, li jirrappreżenta żieda ta’ 5,27 % meta mqabbel mal-2021; billi l-Awtorità hija ffinan</w:t>
      </w:r>
      <w:r w:rsidRPr="00E83F9F">
        <w:t>zjata minn kontribuzzjoni mill-Unjoni (EUR 12 932 000, li tirrappreżenta 37,40 %) u kontribuzzjonijiet mill-awtoritajiet superviżorji nazzjonali mill-Istati Membri (EUR 21 076 120, li jirrappreżentaw 60,96 %);</w:t>
      </w:r>
    </w:p>
    <w:p w:rsidR="006D4BA8" w:rsidRPr="00E83F9F" w:rsidRDefault="00EB6A9C" w:rsidP="006D4BA8">
      <w:pPr>
        <w:widowControl/>
        <w:spacing w:after="240"/>
        <w:ind w:left="567" w:hanging="567"/>
        <w:rPr>
          <w:szCs w:val="24"/>
        </w:rPr>
      </w:pPr>
      <w:r w:rsidRPr="00E83F9F">
        <w:t>B.</w:t>
      </w:r>
      <w:r w:rsidRPr="00E83F9F">
        <w:tab/>
        <w:t>billi l-Qorti tal-Awdituri (“il-Qorti”), fi</w:t>
      </w:r>
      <w:r w:rsidRPr="00E83F9F">
        <w:t>r-rapport tagħha dwar il-kontijiet annwali tal-Awtorità Ewropea tal-Assigurazzjoni u l-Pensjonijiet tax-Xogħol għas-sena finanzjarja 2022 (“ir-rapport tal-Qorti”), tiddikjara li kisbet aċċertament raġonevoli li l-kontijiet annwali tal-Awtorità huma affidab</w:t>
      </w:r>
      <w:r w:rsidRPr="00E83F9F">
        <w:t>bli u li t-tranżazzjonijiet ta’ bażi huma legali u regolari;</w:t>
      </w:r>
    </w:p>
    <w:p w:rsidR="006D4BA8" w:rsidRPr="00E83F9F" w:rsidRDefault="00EB6A9C" w:rsidP="006D4BA8">
      <w:pPr>
        <w:widowControl/>
        <w:spacing w:after="240"/>
        <w:ind w:left="567" w:hanging="567"/>
        <w:rPr>
          <w:b/>
          <w:i/>
          <w:szCs w:val="24"/>
        </w:rPr>
      </w:pPr>
      <w:r w:rsidRPr="00E83F9F">
        <w:rPr>
          <w:b/>
          <w:i/>
        </w:rPr>
        <w:t>Ġestjoni baġitarja u finanzjarja</w:t>
      </w:r>
    </w:p>
    <w:p w:rsidR="006D4BA8" w:rsidRPr="00E83F9F" w:rsidRDefault="00EB6A9C" w:rsidP="006D4BA8">
      <w:pPr>
        <w:widowControl/>
        <w:spacing w:after="240"/>
        <w:ind w:left="567" w:hanging="567"/>
        <w:rPr>
          <w:szCs w:val="24"/>
        </w:rPr>
      </w:pPr>
      <w:r w:rsidRPr="00E83F9F">
        <w:t>1.</w:t>
      </w:r>
      <w:r w:rsidRPr="00E83F9F">
        <w:tab/>
        <w:t xml:space="preserve">Jinnota, b’sodisfazzjon, li l-isforzi ta’ monitoraġġ tal-baġit matul is-sena finanzjarja 2022 irriżultaw f’rata ta’ implimentazzjoni tal-baġit ta’ 99,46 %, li </w:t>
      </w:r>
      <w:r w:rsidRPr="00E83F9F">
        <w:t>tirrappreżenta tnaqqis ta’ 0,52 % meta mqabbel mal-2021; jinnota, madankollu, li r-rata ta’ eżekuzzjoni tal-approprjazzjonijiet ta’ pagament kienet ta’ 92,07 %, li tirrappreżenta żieda ta’ 12,95 % meta mqabbel mal-2021;</w:t>
      </w:r>
    </w:p>
    <w:p w:rsidR="006D4BA8" w:rsidRPr="00E83F9F" w:rsidRDefault="00EB6A9C" w:rsidP="006D4BA8">
      <w:pPr>
        <w:widowControl/>
        <w:spacing w:after="240"/>
        <w:ind w:left="567" w:hanging="567"/>
        <w:rPr>
          <w:szCs w:val="24"/>
        </w:rPr>
      </w:pPr>
      <w:r w:rsidRPr="00E83F9F">
        <w:rPr>
          <w:b/>
          <w:i/>
        </w:rPr>
        <w:t>Prestazzjoni</w:t>
      </w:r>
    </w:p>
    <w:p w:rsidR="006D4BA8" w:rsidRPr="00E83F9F" w:rsidRDefault="00EB6A9C" w:rsidP="006D4BA8">
      <w:pPr>
        <w:widowControl/>
        <w:spacing w:after="240"/>
        <w:ind w:left="567" w:hanging="567"/>
        <w:rPr>
          <w:szCs w:val="24"/>
        </w:rPr>
      </w:pPr>
      <w:r w:rsidRPr="00E83F9F">
        <w:t>2.</w:t>
      </w:r>
      <w:r w:rsidRPr="00E83F9F">
        <w:tab/>
        <w:t>Jinnota li l-Awtorit</w:t>
      </w:r>
      <w:r w:rsidRPr="00E83F9F">
        <w:t>à tuża ċerti miżuri bħalma huma l-indikaturi ewlenin tal-prestazzjoni (KPIs), biex tivvaluta l-valur miżjud ipprovdut permezz tal-attivitajiet tagħha u miżuri oħrajn biex ittejjeb il-ġestjoni baġitarja tagħha; jinnota li, fl-2022, l-Awtorità stabbiliet 17-</w:t>
      </w:r>
      <w:r w:rsidRPr="00E83F9F">
        <w:t>il mira ta’ livell strateġiku għall-prestazzjoni fis-seba’ oqsma ewlenin ta’ ħidma tagħha; jinnota, b’apprezzament, li l-Awtorità laħqet jew qabżet 15 minn dawk il-miri, filwaqt li l-mira ta’ żewġ KPIs oħra tqieset mhux applikabbli li jiġi rrapportat dwarh</w:t>
      </w:r>
      <w:r w:rsidRPr="00E83F9F">
        <w:t xml:space="preserve">a </w:t>
      </w:r>
      <w:r w:rsidRPr="00E83F9F">
        <w:lastRenderedPageBreak/>
        <w:t>minħabba d-dipendenza fuq l-iskedi ta’ żmien leġiżlattivi tal-Att dwar ir-Reżiljenza Operazzjonali Diġitali (DORA) u t-tfixkil teknoloġiku;</w:t>
      </w:r>
    </w:p>
    <w:p w:rsidR="006D4BA8" w:rsidRPr="00E83F9F" w:rsidRDefault="00EB6A9C" w:rsidP="006D4BA8">
      <w:pPr>
        <w:widowControl/>
        <w:spacing w:after="240"/>
        <w:ind w:left="567" w:hanging="567"/>
        <w:rPr>
          <w:szCs w:val="24"/>
        </w:rPr>
      </w:pPr>
      <w:r w:rsidRPr="00E83F9F">
        <w:t>3.</w:t>
      </w:r>
      <w:r w:rsidRPr="00E83F9F">
        <w:tab/>
        <w:t>Josserva li 342 prodott u servizz, li jirrappreżentaw 91 % tat-total, twasslu kif ippjanat mill-Awtorità, filwa</w:t>
      </w:r>
      <w:r w:rsidRPr="00E83F9F">
        <w:t>qt li 20 prodott u servizz ieħor esperjenzaw dewmien żgħir u 13 ma tkomplewx, spiss b’riżultat tad-dipendenza fuq l-iskedi ta’ żmien tad-deċiżjonijiet leġiżlattivi (pereżempju r-Rieżami tas-Solvenza II) jew fuq l-iżviluppi teknoloġiċi fis-suq, u prijoritaj</w:t>
      </w:r>
      <w:r w:rsidRPr="00E83F9F">
        <w:t>iet li jikkompetu ma’ xulxin; ifaħħar lill-Awtorità għal żieda fl-interventi orali tagħha minn 167 fl-2021 għal 214 fl-2022;</w:t>
      </w:r>
    </w:p>
    <w:p w:rsidR="006D4BA8" w:rsidRPr="00E83F9F" w:rsidRDefault="00EB6A9C" w:rsidP="006D4BA8">
      <w:pPr>
        <w:widowControl/>
        <w:spacing w:after="240"/>
        <w:ind w:left="567" w:hanging="567"/>
        <w:rPr>
          <w:szCs w:val="24"/>
        </w:rPr>
      </w:pPr>
      <w:r w:rsidRPr="00E83F9F">
        <w:t>4.</w:t>
      </w:r>
      <w:r w:rsidRPr="00E83F9F">
        <w:tab/>
        <w:t>Jirrikonoxxi l-bosta kisbiet tal-Awtorità fl-2022 biex twettaq fil-biċċa l-kbira l-kompiti tagħha fl-oqsma tal-konverġenza tas-s</w:t>
      </w:r>
      <w:r w:rsidRPr="00E83F9F">
        <w:t>uperviżjoni, il-protezzjoni tal-konsumatur u l-istabbiltà finanzjarja; jinnota, b’mod partikolari, li l-Awtorità wettqet l-ewwel test tal-istress klimatiku tal-IORP tagħha biex tikseb għarfien dwar l-effetti tar-riskji ambjentali fuq is-settur Ewropew tal-</w:t>
      </w:r>
      <w:r w:rsidRPr="00E83F9F">
        <w:t>pensjonijiet tax-xogħol, ippreżentat l-Istandards Tekniċi ta’ Implimentazzjoni li jistabbilixxu r-rekwiżiti ta’ rapportar superviżorju u ta’ divulgazzjoni skont Solvenza II lill-Kummissjoni, ippubblikat għadd ta’ dokumenti, rapporti u gwidi dwar l-integraz</w:t>
      </w:r>
      <w:r w:rsidRPr="00E83F9F">
        <w:t>zjoni tar-riskji għas-sostenibbiltà fil-ġestjoni tar-riskju ta’ (ri)assiguraturi u fondi tal-pensjonijiet tax-xogħol u pprovdiet input u pariri tekniċi lill-koleġiżlaturi fil-proċess leġiżlattiv fir-rigward tal-Att dwar l-Intelliġenza Artifiċjali u d-DORA;</w:t>
      </w:r>
      <w:r w:rsidRPr="00E83F9F">
        <w:t xml:space="preserve"> ifaħħar lill-Awtorità għad-diversi inizjattivi u azzjonijiet tagħha fil-qasam tat-trasformazzjoni diġitali li permezz tagħhom tappoġġja l-objettivi tal-Istrateġija tal-Unjoni għall-Finanzi Diġitali, inkluż permezz tal-kontribut, flimkien ma’ diversi parti</w:t>
      </w:r>
      <w:r w:rsidRPr="00E83F9F">
        <w:t>jiet ikkonċernati, bħall-Istitut Universitarju Ewropew, għall-istabbiliment tal-“Akkademja Superviżorja tal-Finanzi Diġitali tal-UE”;</w:t>
      </w:r>
    </w:p>
    <w:p w:rsidR="006D4BA8" w:rsidRPr="00E83F9F" w:rsidRDefault="00EB6A9C" w:rsidP="006D4BA8">
      <w:pPr>
        <w:widowControl/>
        <w:spacing w:after="240"/>
        <w:ind w:left="567" w:hanging="567"/>
        <w:rPr>
          <w:szCs w:val="24"/>
        </w:rPr>
      </w:pPr>
      <w:r w:rsidRPr="00E83F9F">
        <w:t>5.</w:t>
      </w:r>
      <w:r w:rsidRPr="00E83F9F">
        <w:tab/>
        <w:t>Jinnota li l-Awtorità użat għall-ewwel darba għadd ta’ setgħat u għodod mogħtija lill-Awtorità permezz tar-Regolament d</w:t>
      </w:r>
      <w:r w:rsidRPr="00E83F9F">
        <w:t>war l-EIOPA; jinnota, f’dan il-kuntest, li fl-2022 l-Awtorità ħarġet rakkomandazzjoni lill-Bank Nazzjonali tas-Slovakkja (NBS) wara l-konklużjonijiet tal-Awtorità li ksur (imwettaq minn kumpanija tal-assigurazzjoni Slovakka) ta’ rekwiżiti kapitali ma kienx</w:t>
      </w:r>
      <w:r w:rsidRPr="00E83F9F">
        <w:t xml:space="preserve"> ġie indirizzat b’mod xieraq minn perspettiva superviżorja; jinnota wkoll, bi tħassib, li l-Awtorità sabet li l-NBS kiser id-dritt tal-Unjoni u, b’konsegwenza, il-Kummissjoni ħarġet opinjoni formali li tirrikjedi li l-NBS jieħu l-azzjoni meħtieġa biex jikk</w:t>
      </w:r>
      <w:r w:rsidRPr="00E83F9F">
        <w:t>onforma mad-dritt tal-Unjoni u twettqet inkjesta bbażata fuq l-Artikolu 22 tar-Regolament dwar l-EIOPA; jitlob lill-Awtorità żżomm lill-awtorità ta’ kwittanza informata dwar is-segwitu u r-riżultati ta’ dik l-inkjesta;</w:t>
      </w:r>
    </w:p>
    <w:p w:rsidR="006D4BA8" w:rsidRPr="00E83F9F" w:rsidRDefault="00EB6A9C" w:rsidP="006D4BA8">
      <w:pPr>
        <w:widowControl/>
        <w:spacing w:after="240"/>
        <w:ind w:left="567" w:hanging="567"/>
        <w:rPr>
          <w:szCs w:val="24"/>
        </w:rPr>
      </w:pPr>
      <w:r w:rsidRPr="00E83F9F">
        <w:t>6.</w:t>
      </w:r>
      <w:r w:rsidRPr="00E83F9F">
        <w:tab/>
        <w:t>Jinnota li l-Awtorità kkontribwiet</w:t>
      </w:r>
      <w:r w:rsidRPr="00E83F9F">
        <w:t xml:space="preserve"> biex tiżgura l-istabbiltà finanzjarja u tipproteġi lill-konsumaturi billi mmonitorjat bir-reqqa s-swieq u vvalutat l-impatt fil-kuntest il-ġdid tal-invażjoni mhux provokata u illegali tar-Russja kontra l-Ukrajna u l-issikkar progressiv tal-politika moneta</w:t>
      </w:r>
      <w:r w:rsidRPr="00E83F9F">
        <w:t>rja b’reazzjoni għar-rati ta’ inflazzjoni rekord madwar l-Ewropa; jilqa’ l-pubblikazzjoni f’waqtha fl-2022 ta’ dikjarazzjoni superviżorja dwar l-inflazzjoni li tiffoka fuq kif l-inflazzjoni taffettwa d-dispożizzjonijiet tekniċi, l-investimenti u r-rekwiżit</w:t>
      </w:r>
      <w:r w:rsidRPr="00E83F9F">
        <w:t>i kapitali tas-solvenza;</w:t>
      </w:r>
    </w:p>
    <w:p w:rsidR="006D4BA8" w:rsidRPr="00E83F9F" w:rsidRDefault="00EB6A9C" w:rsidP="006D4BA8">
      <w:pPr>
        <w:widowControl/>
        <w:spacing w:after="240"/>
        <w:ind w:left="567" w:hanging="567"/>
        <w:rPr>
          <w:b/>
          <w:i/>
          <w:szCs w:val="24"/>
        </w:rPr>
      </w:pPr>
      <w:r w:rsidRPr="00E83F9F">
        <w:rPr>
          <w:b/>
          <w:i/>
        </w:rPr>
        <w:t>Effiċjenza u titjib</w:t>
      </w:r>
    </w:p>
    <w:p w:rsidR="006D4BA8" w:rsidRPr="00E83F9F" w:rsidRDefault="00EB6A9C" w:rsidP="006D4BA8">
      <w:pPr>
        <w:widowControl/>
        <w:spacing w:after="240"/>
        <w:ind w:left="567" w:hanging="567"/>
        <w:rPr>
          <w:rFonts w:cstheme="minorHAnsi"/>
        </w:rPr>
      </w:pPr>
      <w:r w:rsidRPr="00E83F9F">
        <w:t>7.</w:t>
      </w:r>
      <w:r w:rsidRPr="00E83F9F">
        <w:tab/>
        <w:t xml:space="preserve">Jinnota li l-Awtoritajiet Superviżorji Ewropej (ASE) jikkoordinaw, jikkondividu u jappoġġjaw lil xulxin f’ħafna oqsma, kemm fl-oqsma tan-negozju ewlieni kif ukoll </w:t>
      </w:r>
      <w:r w:rsidRPr="00E83F9F">
        <w:lastRenderedPageBreak/>
        <w:t>f’dawk ta’ appoġġ; jilqa’ l-fatt li l-ASE ngħ</w:t>
      </w:r>
      <w:r w:rsidRPr="00E83F9F">
        <w:t>aqdu flimkien f’inizjattivi strateġiċi bħall-iżvilupp ta’ applikazzjonijiet tas-software, l-infrastruttura tan-network u l-konsulenza tal-IT fost l-oħrajn billi, pereżempju, użaw l-istess fornituri; jinnota, f’dan il-kuntest, l-Istrateġija dwar il-Cloud ta</w:t>
      </w:r>
      <w:r w:rsidRPr="00E83F9F">
        <w:t xml:space="preserve">l-Awtorità approvata fl-2022, żviluppata mill-Awtorità flimkien maż-żewġ ASE l-oħra, istituzzjonijiet oħra tal-Unjoni u l-Awtoritajiet Nazzjonali Kompetenti (NCAs) u li għandha l-għan li tipprovdi prodotti aktar awtonomi, awtomatizzati u self-service biex </w:t>
      </w:r>
      <w:r w:rsidRPr="00E83F9F">
        <w:t>jaqdu lill-esperti tal-Awtorità u lill-NCAs;</w:t>
      </w:r>
    </w:p>
    <w:p w:rsidR="006D4BA8" w:rsidRPr="00E83F9F" w:rsidRDefault="00EB6A9C" w:rsidP="006D4BA8">
      <w:pPr>
        <w:widowControl/>
        <w:spacing w:after="240"/>
        <w:ind w:left="567" w:hanging="567"/>
        <w:rPr>
          <w:rFonts w:cstheme="minorHAnsi"/>
        </w:rPr>
      </w:pPr>
      <w:r w:rsidRPr="00E83F9F">
        <w:t>8.</w:t>
      </w:r>
      <w:r w:rsidRPr="00E83F9F">
        <w:tab/>
        <w:t xml:space="preserve">Ifaħħar lill-Awtorità għall-investimenti tagħha u l-allokazzjoni tal-persunal għal proġetti fil-qasam tat-trasformazzjoni diġitali, biex tilħaq livelli ġodda ta’ effiċjenza billi tawtomatizza u tissimplifika </w:t>
      </w:r>
      <w:r w:rsidRPr="00E83F9F">
        <w:t>l-proċessi tan-negozju u ttejjeb iż-żmien għas-suq u l-kollaborazzjoni fil-funzjonijiet u bejniethom, fost l-oħrajn; jilqa’, f’dan il-kuntest, il-proġetti tal-Awtorità mwettqa fl-2022 li jiffukaw fuq it-titjib tal-kapaċitajiet tal-analiżi tad-data biex jin</w:t>
      </w:r>
      <w:r w:rsidRPr="00E83F9F">
        <w:t>tlaħaq l-għan li l-Awtorità tinbidel f’organizzazzjoni kompletament diġitali u mmexxija mid-data;</w:t>
      </w:r>
    </w:p>
    <w:p w:rsidR="006D4BA8" w:rsidRPr="00E83F9F" w:rsidRDefault="00EB6A9C" w:rsidP="006D4BA8">
      <w:pPr>
        <w:widowControl/>
        <w:spacing w:after="240"/>
        <w:ind w:left="567" w:hanging="567"/>
        <w:rPr>
          <w:rFonts w:cstheme="minorHAnsi"/>
          <w:iCs/>
        </w:rPr>
      </w:pPr>
      <w:r w:rsidRPr="00E83F9F">
        <w:t>9.</w:t>
      </w:r>
      <w:r w:rsidRPr="00E83F9F">
        <w:tab/>
        <w:t xml:space="preserve">Josserva li, fir-rigward tal-prattiki tan-negozju ta’ kuljum, l-Awtorità implimentat firxa ta’ miżuri biex ittejjeb il-kosteffiċjenza, bħal xogħol ibridu, </w:t>
      </w:r>
      <w:r w:rsidRPr="00E83F9F">
        <w:t>desk-sharing u soluzzjonijiet moderni ta’ vidjokonferenzi li wasslu għat-tnaqqis tal-ivvjaġġar fuq xogħol; jinnota li, sabiex tippreserva l-għarfien istituzzjonali, l-għarfien espert u l-effiċjenza fit-twettiq tal-kompiti ewlenin, l-Awtorità kompliet issaħ</w:t>
      </w:r>
      <w:r w:rsidRPr="00E83F9F">
        <w:t>ħaħ is-Sistema ta’ Ġestjoni tat-Talent integrata tagħha; jistieden lill-Awtorità tipprovdi lill-awtorità ta’ kwittanza data u ċifri dwar l-impatt ta’ dik is-sistema;</w:t>
      </w:r>
    </w:p>
    <w:p w:rsidR="006D4BA8" w:rsidRPr="00E83F9F" w:rsidRDefault="00EB6A9C" w:rsidP="006D4BA8">
      <w:pPr>
        <w:widowControl/>
        <w:spacing w:after="240"/>
        <w:ind w:left="567" w:hanging="567"/>
        <w:rPr>
          <w:rFonts w:cstheme="minorHAnsi"/>
          <w:iCs/>
        </w:rPr>
      </w:pPr>
      <w:r w:rsidRPr="00E83F9F">
        <w:t>10.</w:t>
      </w:r>
      <w:r w:rsidRPr="00E83F9F">
        <w:tab/>
        <w:t>Jinnota, mir-rapport tal-Qorti, li l-Awtorità hija fost l-aġenziji li għandhom pjan ko</w:t>
      </w:r>
      <w:r w:rsidRPr="00E83F9F">
        <w:t>rporattiv biex itejbu l-effiċjenza enerġetika u n-newtralità klimatika tal-operati tagħhom, u joħorġu dikjarazzjoni ambjentali (pereżempju dwar ir-rapportar tal-impronta tal-karbonju) integrata fir-rapporti annwali tal-attività tagħhom; ifaħħar ukoll lill-</w:t>
      </w:r>
      <w:r w:rsidRPr="00E83F9F">
        <w:t>Awtorità talli ngħatat iċ-ċertifikat EMAS (Skema ta’ Ġestjoni u Verifika Ambjentali tal-Unjoni Ewropea) fl-2022 bil-għan li tikseb l-akkreditazzjoni formali tal-EMAS fl-2023;</w:t>
      </w:r>
    </w:p>
    <w:p w:rsidR="006D4BA8" w:rsidRPr="00E83F9F" w:rsidRDefault="00EB6A9C" w:rsidP="006D4BA8">
      <w:pPr>
        <w:widowControl/>
        <w:spacing w:after="240"/>
        <w:ind w:left="567" w:hanging="567"/>
        <w:rPr>
          <w:b/>
          <w:i/>
          <w:szCs w:val="24"/>
        </w:rPr>
      </w:pPr>
      <w:r w:rsidRPr="00E83F9F">
        <w:rPr>
          <w:b/>
          <w:i/>
        </w:rPr>
        <w:t>Politika dwar il-persunal</w:t>
      </w:r>
    </w:p>
    <w:p w:rsidR="006D4BA8" w:rsidRPr="00E83F9F" w:rsidRDefault="00EB6A9C" w:rsidP="006D4BA8">
      <w:pPr>
        <w:widowControl/>
        <w:spacing w:after="240"/>
        <w:ind w:left="567" w:hanging="567"/>
        <w:rPr>
          <w:szCs w:val="24"/>
        </w:rPr>
      </w:pPr>
      <w:r w:rsidRPr="00E83F9F">
        <w:t>11.</w:t>
      </w:r>
      <w:r w:rsidRPr="00E83F9F">
        <w:tab/>
        <w:t>Jinnota li, fil-31 ta’ Diċembru 2022, 99 % (l-istes</w:t>
      </w:r>
      <w:r w:rsidRPr="00E83F9F">
        <w:t>s bħal fl-2021) tat-tabella tal-persunal kienet ikkompletata, u nħatru 137 aġent temporanju mill-138 aġent temporanju awtorizzat skont il-baġit tal-Unjoni; jinnota li, barra minn hekk, 36 aġent kuntrattwali u 24 espert nazzjonali sekondat ġew impjegati mil</w:t>
      </w:r>
      <w:r w:rsidRPr="00E83F9F">
        <w:t>l-Awtorità fl-2022;</w:t>
      </w:r>
    </w:p>
    <w:p w:rsidR="006D4BA8" w:rsidRPr="00E83F9F" w:rsidRDefault="00EB6A9C" w:rsidP="006D4BA8">
      <w:pPr>
        <w:spacing w:after="240"/>
        <w:ind w:left="567" w:hanging="567"/>
        <w:rPr>
          <w:szCs w:val="24"/>
        </w:rPr>
      </w:pPr>
      <w:r w:rsidRPr="00E83F9F">
        <w:t>12.</w:t>
      </w:r>
      <w:r w:rsidRPr="00E83F9F">
        <w:tab/>
        <w:t>Jinnota t-tqassim skont il-ġeneru tal-Awtorità rrappurtat għall-2022 bi 15-il raġel (65,20 %) u 8 nisa (34,80 %) f’pożizzjonijiet maniġerjali intermedji u superjuri u fil-Bord Maniġerjali tagħha, u 104 rġiel (53,60 %) u 90 mara (46,</w:t>
      </w:r>
      <w:r w:rsidRPr="00E83F9F">
        <w:t>40 %) fil-persunal ġenerali tagħha;</w:t>
      </w:r>
    </w:p>
    <w:p w:rsidR="006D4BA8" w:rsidRPr="00E83F9F" w:rsidRDefault="00EB6A9C" w:rsidP="006D4BA8">
      <w:pPr>
        <w:spacing w:after="240"/>
        <w:ind w:left="567" w:hanging="567"/>
        <w:rPr>
          <w:rFonts w:cstheme="minorHAnsi"/>
        </w:rPr>
      </w:pPr>
      <w:r w:rsidRPr="00E83F9F">
        <w:t>13.</w:t>
      </w:r>
      <w:r w:rsidRPr="00E83F9F">
        <w:tab/>
        <w:t xml:space="preserve">Jilqa’ l-fatt li, fl-2022, l-Awtorità kompliet l-implimentazzjoni tal-Istrateġija għad-Diversità u l-Inklużjoni (D&amp;I) (adottata fl-2021) u l-Pjan ta’ Azzjoni dettaljat tagħha permezz ta’ inizjattivi li jkopru miżuri </w:t>
      </w:r>
      <w:r w:rsidRPr="00E83F9F">
        <w:t>trasversali bħal, fost l-oħrajn, il-kollaborazzjoni ma’ istituzzjonijiet oħra, l-attirar u l-għażla ta’ forza tax-xogħol aktar diversa, il-prevenzjoni tad-diskriminazzjoni, il-fastidju, il-preġudizzju konsapevoli u inkonsapevoli, u l-monitoraġġ ta’ data re</w:t>
      </w:r>
      <w:r w:rsidRPr="00E83F9F">
        <w:t xml:space="preserve">latata mad-diversità u l-inklużjoni; jinnota li, fl-2022, ġie rrappurtat każ wieħed ta’ allegat fastidju, iżda l-każ ingħalaq mingħajr </w:t>
      </w:r>
      <w:r w:rsidRPr="00E83F9F">
        <w:lastRenderedPageBreak/>
        <w:t xml:space="preserve">azzjonijiet ulterjuri peress li, wara valutazzjoni preliminari, </w:t>
      </w:r>
      <w:r w:rsidRPr="00E83F9F">
        <w:rPr>
          <w:i/>
        </w:rPr>
        <w:t>prima faciae</w:t>
      </w:r>
      <w:r w:rsidRPr="00E83F9F">
        <w:t xml:space="preserve"> ma nstabet l-ebda evidenza;</w:t>
      </w:r>
    </w:p>
    <w:p w:rsidR="006D4BA8" w:rsidRPr="00E83F9F" w:rsidRDefault="00EB6A9C" w:rsidP="006D4BA8">
      <w:pPr>
        <w:widowControl/>
        <w:spacing w:after="240"/>
        <w:ind w:left="567" w:hanging="567"/>
        <w:rPr>
          <w:szCs w:val="24"/>
        </w:rPr>
      </w:pPr>
      <w:r w:rsidRPr="00E83F9F">
        <w:t>14.</w:t>
      </w:r>
      <w:r w:rsidRPr="00E83F9F">
        <w:tab/>
        <w:t>Jilqa’ l-fat</w:t>
      </w:r>
      <w:r w:rsidRPr="00E83F9F">
        <w:t>t li l-Awtorità hija ddedikata li trawwem u tipprovdi ambjent tax-xogħol varjat u inklużiv adattat ukoll għall-ħtiġijiet ta’ persuni b’diżabbiltà; jinnota, f’dan il-kuntest, li fl-2022 il-koordinatur u l-ambaxxatur intern tal-Awtorità dwar id-diżabbiltà ġi</w:t>
      </w:r>
      <w:r w:rsidRPr="00E83F9F">
        <w:t>e nnominat biex ikompli jsaħħaħ u jiffoka l-attenzjoni fuq dan il-qasam partikolari u stħarriġ relatat, kif ukoll azzjonijiet ta’ sensibilizzazzjoni twettqu fost il-persunal u l-maniġment;</w:t>
      </w:r>
    </w:p>
    <w:p w:rsidR="006D4BA8" w:rsidRPr="00E83F9F" w:rsidRDefault="00EB6A9C" w:rsidP="006D4BA8">
      <w:pPr>
        <w:widowControl/>
        <w:spacing w:after="240"/>
        <w:ind w:left="567" w:hanging="567"/>
        <w:rPr>
          <w:szCs w:val="24"/>
        </w:rPr>
      </w:pPr>
      <w:r w:rsidRPr="00E83F9F">
        <w:t>15.</w:t>
      </w:r>
      <w:r w:rsidRPr="00E83F9F">
        <w:tab/>
        <w:t>Jinnota li l-Awtorità baqgħet impenjata bis-sħiħ li ttejjeb il-</w:t>
      </w:r>
      <w:r w:rsidRPr="00E83F9F">
        <w:t>benesseri tal-persunal u l-bilanċ bejn ix-xogħol u l-ħajja privata, b’riżultati pożittivi osservati fl-involviment u s-sodisfazzjon tal-persunal; jinnota li l-oqsma ewlenin kienu jinkludu arranġamenti ta’ xogħol flessibbli, telexogħol, gwida tul il-ħajja u</w:t>
      </w:r>
      <w:r w:rsidRPr="00E83F9F">
        <w:t xml:space="preserve"> żvilupp tal-karriera, programmi ta’ benesseri u maniġment li joffri appoġġ;</w:t>
      </w:r>
    </w:p>
    <w:p w:rsidR="006D4BA8" w:rsidRPr="00E83F9F" w:rsidRDefault="00EB6A9C" w:rsidP="006D4BA8">
      <w:pPr>
        <w:widowControl/>
        <w:spacing w:after="240"/>
        <w:ind w:left="567" w:hanging="567"/>
        <w:rPr>
          <w:b/>
          <w:i/>
          <w:szCs w:val="24"/>
        </w:rPr>
      </w:pPr>
      <w:r w:rsidRPr="00E83F9F">
        <w:rPr>
          <w:b/>
          <w:i/>
        </w:rPr>
        <w:t>Akkwist</w:t>
      </w:r>
    </w:p>
    <w:p w:rsidR="006D4BA8" w:rsidRPr="00E83F9F" w:rsidRDefault="00EB6A9C" w:rsidP="006D4BA8">
      <w:pPr>
        <w:widowControl/>
        <w:spacing w:after="240"/>
        <w:ind w:left="567" w:hanging="567"/>
        <w:rPr>
          <w:szCs w:val="24"/>
        </w:rPr>
      </w:pPr>
      <w:r w:rsidRPr="00E83F9F">
        <w:t>16.</w:t>
      </w:r>
      <w:r w:rsidRPr="00E83F9F">
        <w:tab/>
        <w:t>Jinnota, mir-rapport tal-Qorti, l-osservazzjoni li l-Awtorità għamlet pagamenti (total ta’ EUR 25 607) wara t-tmiem tad-durata ta’ kuntratt li permezz tiegħu l-Awtorit</w:t>
      </w:r>
      <w:r w:rsidRPr="00E83F9F">
        <w:t>à akkwistat servizzi tat-telekomunikazzjoni għall-komunikazzjoni bil-mobile għal perjodu ta’ erba’ snin (2017-2021); jinnota l-konklużjoni tal-Qorti li dawk il-pagamenti kienu irregolari; jinnota wkoll l-osservazzjoni tal-Qorti li emenda għal dak il-kuntra</w:t>
      </w:r>
      <w:r w:rsidRPr="00E83F9F">
        <w:t>tt, iffirmata f’April 2022, saret bi ksur tal-punt 1.1 tal-Anness I tar-Regolament Finanzjarju;</w:t>
      </w:r>
    </w:p>
    <w:p w:rsidR="006D4BA8" w:rsidRPr="00E83F9F" w:rsidRDefault="00EB6A9C" w:rsidP="006D4BA8">
      <w:pPr>
        <w:widowControl/>
        <w:spacing w:after="240"/>
        <w:ind w:left="567" w:hanging="567"/>
        <w:rPr>
          <w:szCs w:val="24"/>
        </w:rPr>
      </w:pPr>
      <w:r w:rsidRPr="00E83F9F">
        <w:t>17.</w:t>
      </w:r>
      <w:r w:rsidRPr="00E83F9F">
        <w:tab/>
        <w:t>Ifakkar, mir-rapport annwali tal-Qorti dwar l-aġenziji tal-Unjoni għall-2021, fl-osservazzjoni dwar l-ammont (EUR 288 125) imħallas b’mod irregolari mill-Aw</w:t>
      </w:r>
      <w:r w:rsidRPr="00E83F9F">
        <w:t xml:space="preserve">torità fir-rigward tal-kuntratt ta’ kiri għall-bini tagħha; jinnota, f’dan il-kuntest, mir-rapport tal-Awtorità dwar il-miżuri li ttieħdu fid-dawl tar-rakkomandazzjonijiet tal-awtorità ta’ kwittanza (kwittanza 2021), il-pożizzjoni tal-Awtorità li n-nuqqas </w:t>
      </w:r>
      <w:r w:rsidRPr="00E83F9F">
        <w:t>ta’ rispett tal-obbligi kuntrattwali kien ikollu effett legali u reputazzjonali negattiv fuq l-Awtorità; jinnota, mir-rapport tal-Qorti, li l-istatus ta’ din l-osservazzjoni għadu miftuħ; jistieden lill-Awtorità tagħmel l-isforzi kollha meħtieġa meta tnied</w:t>
      </w:r>
      <w:r w:rsidRPr="00E83F9F">
        <w:t>i l-proċedura ta’ akkwist għal kuntratt tal-kiri ġdid biex tipprevjeni kwalunkwe kunflitt bejn l-obbligi imposti mill-ftehim ta’ kiri u d-dispożizzjonijiet rilevanti fir-Regolament Finanzjarju;</w:t>
      </w:r>
    </w:p>
    <w:p w:rsidR="006D4BA8" w:rsidRPr="00E83F9F" w:rsidRDefault="00EB6A9C" w:rsidP="006D4BA8">
      <w:pPr>
        <w:widowControl/>
        <w:spacing w:after="240"/>
        <w:rPr>
          <w:szCs w:val="24"/>
        </w:rPr>
      </w:pPr>
      <w:r w:rsidRPr="00E83F9F">
        <w:rPr>
          <w:b/>
          <w:i/>
        </w:rPr>
        <w:t xml:space="preserve">Prevenzjoni u ġestjoni tal-kunflitti ta’ interess u </w:t>
      </w:r>
      <w:r w:rsidRPr="00E83F9F">
        <w:rPr>
          <w:b/>
          <w:i/>
        </w:rPr>
        <w:t>trasparenza</w:t>
      </w:r>
    </w:p>
    <w:p w:rsidR="006D4BA8" w:rsidRPr="00E83F9F" w:rsidRDefault="00EB6A9C" w:rsidP="006D4BA8">
      <w:pPr>
        <w:widowControl/>
        <w:spacing w:after="240"/>
        <w:ind w:left="567" w:hanging="567"/>
        <w:rPr>
          <w:szCs w:val="24"/>
        </w:rPr>
      </w:pPr>
      <w:r w:rsidRPr="00E83F9F">
        <w:t>18.</w:t>
      </w:r>
      <w:r w:rsidRPr="00E83F9F">
        <w:tab/>
        <w:t>Jilqa’ l-fatt li, f’konformità mar-rekwiżiti legali tal-Awtorità, is-CVs tal-Membri tal-Bord tas-Superviżuri (BoS) u l-Bord Maniġerjali tal-Awtorità, ir-résumé tal-President u tad-Direttur Eżekuttiv tal-Awtorità u r-résumé qasir tal-Kapijie</w:t>
      </w:r>
      <w:r w:rsidRPr="00E83F9F">
        <w:t>t tad-Dipartimenti tal-Awtorità huma ppubblikati fuq is-sit web tal-Awtorità; jinnota li d-dikjarazzjonijiet ta’ interess u d-dikjarazzjoni ta’ intenzjoni individwali huma pubblikament disponibbli għal kull membru tal-Bord Maniġerjali u għal kull membru ta</w:t>
      </w:r>
      <w:r w:rsidRPr="00E83F9F">
        <w:t>l-BoS u tal-maniġment superjuri tal-Awtorità; jilqa’ wkoll il-pubblikazzjoni tal-laqgħat tal-persunal tal-Awtorità mal-lobbisti fuq is-sit web tal-Awtorità;</w:t>
      </w:r>
    </w:p>
    <w:p w:rsidR="006D4BA8" w:rsidRPr="00E83F9F" w:rsidRDefault="00EB6A9C" w:rsidP="006D4BA8">
      <w:pPr>
        <w:widowControl/>
        <w:spacing w:after="240"/>
        <w:ind w:left="567" w:hanging="567"/>
        <w:rPr>
          <w:szCs w:val="24"/>
        </w:rPr>
      </w:pPr>
      <w:r w:rsidRPr="00E83F9F">
        <w:t>19.</w:t>
      </w:r>
      <w:r w:rsidRPr="00E83F9F">
        <w:tab/>
        <w:t>Jilqa’ l-fatt li, fl-2022, l-Awtorità saħħet ir-regoli tal-etika tagħha għall-persunal u għal d</w:t>
      </w:r>
      <w:r w:rsidRPr="00E83F9F">
        <w:t xml:space="preserve">awk li mhumiex parti mill-persunal filwaqt li indirizzat l-osservazzjonijiet tal-Qorti </w:t>
      </w:r>
      <w:r w:rsidRPr="00E83F9F">
        <w:lastRenderedPageBreak/>
        <w:t>mir-rapport tal-Qorti dwar il-kontijiet annwali tal-Awtorità għall-2021 u bil-għan li tħares it-teħid ta’ deċiżjonijiet b’mod imparzjali, oġġettiv u indipendenti u tiden</w:t>
      </w:r>
      <w:r w:rsidRPr="00E83F9F">
        <w:t>tifika u tittratta minnufih kwalunkwe kunflitt ta’ interess possibbli; jinnota, f’dak ir-rigward, ir-reviżjoni tar-Regoli ta’ Proċedura tal-Awtorità, l-adozzjoni tal-politika dwar l-indipendenza u l-proċessi tat-teħid ta’ deċiżjonijiet biex jiġu evitati l-</w:t>
      </w:r>
      <w:r w:rsidRPr="00E83F9F">
        <w:t>kunflitti ta’ interess għal persuni li mhumiex parti mill-persunal, l-approvazzjoni ta’ reviżjoni tad-deċiżjoni rigward l-evalwazzjoni tal-president u tad-direttur eżekuttiv u l-adozzjoni ta’ reviżjoni tar-Regoli dwar l-Etika tal-Awtorità għall-membri tal-</w:t>
      </w:r>
      <w:r w:rsidRPr="00E83F9F">
        <w:t>persunal;</w:t>
      </w:r>
    </w:p>
    <w:p w:rsidR="006D4BA8" w:rsidRPr="00E83F9F" w:rsidRDefault="00EB6A9C" w:rsidP="006D4BA8">
      <w:pPr>
        <w:widowControl/>
        <w:spacing w:after="240"/>
        <w:ind w:left="567" w:hanging="567"/>
        <w:rPr>
          <w:szCs w:val="24"/>
        </w:rPr>
      </w:pPr>
      <w:r w:rsidRPr="00E83F9F">
        <w:t>20.</w:t>
      </w:r>
      <w:r w:rsidRPr="00E83F9F">
        <w:tab/>
        <w:t>Josserva, fir-rigward tal-iżvelar ta’ informazzjoni protetta, li fl-2022 membru tal-persunal wieħed qajjem it-tħassib tiegħu dwar każ potenzjali ta’ irregolaritajiet, liema każ ġie ġestit mill-Awtorità f’konformità mar-regoli applikabbli; jin</w:t>
      </w:r>
      <w:r w:rsidRPr="00E83F9F">
        <w:t>nota, f’dan il-kuntest, li l-Uffiċċju Ewropew ta’ Kontra l-Frodi (OLAF), li ġie infurmat immedjatament mill-Awtorità, wettaq valutazzjoni li wasslet biex il-każ twaqqa’ minħabba li ma kien hemm l-ebda suspett suffiċjenti biex tinfetaħ investigazzjoni;</w:t>
      </w:r>
    </w:p>
    <w:p w:rsidR="006D4BA8" w:rsidRPr="00E83F9F" w:rsidRDefault="00EB6A9C" w:rsidP="006D4BA8">
      <w:pPr>
        <w:spacing w:after="240"/>
        <w:ind w:left="567" w:hanging="567"/>
        <w:rPr>
          <w:sz w:val="22"/>
        </w:rPr>
      </w:pPr>
      <w:r w:rsidRPr="00E83F9F">
        <w:t>21.</w:t>
      </w:r>
      <w:r w:rsidRPr="00E83F9F">
        <w:tab/>
      </w:r>
      <w:r w:rsidRPr="00E83F9F">
        <w:t>Jilqa’ l-fatt li, f’Lulju 2022, il-BoS irreveda r-Regoli ta’ Proċedura tiegħu biex jimplimenta l-osservazzjoni tal-Qorti rigward il-preżenza, matul id-diskussjonijiet u l-votazzjoni, ta’ membri tal-BoS li jinsabu f’sitwazzjoni ta’ kunflitt ta’ interess; ji</w:t>
      </w:r>
      <w:r w:rsidRPr="00E83F9F">
        <w:t>nnota wkoll li, f’Diċembru 2022, il-bord maniġerjali tal-Awtorità approva deċiżjoni riveduta rigward l-evalwazzjoni tal-president u tad-Direttur Eżekuttiv, f’konformità mal-osservazzjonijiet tal-Qorti;</w:t>
      </w:r>
    </w:p>
    <w:p w:rsidR="006D4BA8" w:rsidRPr="00E83F9F" w:rsidRDefault="00EB6A9C" w:rsidP="006D4BA8">
      <w:pPr>
        <w:widowControl/>
        <w:spacing w:after="240"/>
        <w:ind w:left="567" w:hanging="567"/>
        <w:rPr>
          <w:b/>
          <w:i/>
          <w:szCs w:val="24"/>
        </w:rPr>
      </w:pPr>
      <w:r w:rsidRPr="00E83F9F">
        <w:rPr>
          <w:b/>
          <w:i/>
        </w:rPr>
        <w:t>Kontroll intern</w:t>
      </w:r>
    </w:p>
    <w:p w:rsidR="006D4BA8" w:rsidRPr="00E83F9F" w:rsidRDefault="00EB6A9C" w:rsidP="006D4BA8">
      <w:pPr>
        <w:widowControl/>
        <w:spacing w:after="240"/>
        <w:ind w:left="567" w:hanging="567"/>
        <w:rPr>
          <w:szCs w:val="24"/>
        </w:rPr>
      </w:pPr>
      <w:r w:rsidRPr="00E83F9F">
        <w:t>22.</w:t>
      </w:r>
      <w:r w:rsidRPr="00E83F9F">
        <w:tab/>
        <w:t>Jinnota li, fl-2022, l-Awtorità we</w:t>
      </w:r>
      <w:r w:rsidRPr="00E83F9F">
        <w:t>ttqet il-valutazzjoni annwali tal-Qafas ta’ Kontroll Intern tagħha, u kkonkludiet li l-komponenti u l-prinċipji kollha huma implimentati u jiffunzjonaw kif ippjanat, bil-ħtieġa ta’ xi titjib minħabba nuqqas moderat li ġie identifikat;</w:t>
      </w:r>
    </w:p>
    <w:p w:rsidR="006D4BA8" w:rsidRPr="00E83F9F" w:rsidRDefault="00EB6A9C" w:rsidP="006D4BA8">
      <w:pPr>
        <w:widowControl/>
        <w:spacing w:after="240"/>
        <w:ind w:left="567" w:hanging="567"/>
        <w:rPr>
          <w:szCs w:val="24"/>
        </w:rPr>
      </w:pPr>
      <w:r w:rsidRPr="00E83F9F">
        <w:t>23.</w:t>
      </w:r>
      <w:r w:rsidRPr="00E83F9F">
        <w:tab/>
        <w:t>Josserva li, fl-2</w:t>
      </w:r>
      <w:r w:rsidRPr="00E83F9F">
        <w:t xml:space="preserve">022, is-Servizz tal-Awditjar Intern (IAS) ħareġ ir-rapport rigward l-awditu mwettaq fl-2021 dwar il-“Miżuri ta’ Intervent tal-EIOPA” mmirat lejn l-NCAs u l-operaturi tas-suq fis-setturi tal-assigurazzjoni u tal-pensjonijiet tax-xogħol tal-Unjoni; josserva </w:t>
      </w:r>
      <w:r w:rsidRPr="00E83F9F">
        <w:t>wkoll li l-Kumitat għall-Kontroll tal-Kwalità (QCC) tal-Awtorità ħareġ rapport ta’ rieżami dwar it-“Tagħlimiet meħuda mill-kooperazzjoni u l-interazzjoni bejn l-EIOPA u l-NCAs matul il-pandemija tal-COVID-19”; jistieden lill-Awtorità żżomm lill-awtorità ta</w:t>
      </w:r>
      <w:r w:rsidRPr="00E83F9F">
        <w:t>’ kwittanza aġġornata fir-rigward tal-implimentazzjoni tar-rakkomandazzjonijiet maħruġa mill-IAS u mill-QCC;</w:t>
      </w:r>
    </w:p>
    <w:p w:rsidR="006D4BA8" w:rsidRPr="00E83F9F" w:rsidRDefault="00EB6A9C" w:rsidP="006D4BA8">
      <w:pPr>
        <w:widowControl/>
        <w:spacing w:after="240"/>
        <w:ind w:left="567" w:hanging="567"/>
      </w:pPr>
      <w:r w:rsidRPr="00E83F9F">
        <w:t>24.</w:t>
      </w:r>
      <w:r w:rsidRPr="00E83F9F">
        <w:tab/>
        <w:t>Jinnota b’apprezzament li, fl-2022, l-Awtorità identifikat, immonitorjat u ħadet miżuri biex ittaffi l-effetti tar-riskji fir-rigward tan-nuqqa</w:t>
      </w:r>
      <w:r w:rsidRPr="00E83F9F">
        <w:t xml:space="preserve">s ta’ kapaċità suffiċjenti biex timplimenta setgħat u kompiti ġodda filwaqt li twettaq l-impenji eżistenti, in-nuqqas ta’ persunal imħarreġ bil-kompetenzi meħtieġa minħabba kwistjonijiet relatati mal-attraenza u r-reklutaġġ u t-theddid għaċ-ċibersigurtà u </w:t>
      </w:r>
      <w:r w:rsidRPr="00E83F9F">
        <w:t>l-kontinwità tal-operat;</w:t>
      </w:r>
    </w:p>
    <w:p w:rsidR="006D4BA8" w:rsidRPr="00E83F9F" w:rsidRDefault="00EB6A9C" w:rsidP="006D4BA8">
      <w:pPr>
        <w:widowControl/>
        <w:spacing w:after="240"/>
        <w:ind w:left="567" w:hanging="567"/>
      </w:pPr>
      <w:r w:rsidRPr="00E83F9F">
        <w:t>25.</w:t>
      </w:r>
      <w:r w:rsidRPr="00E83F9F">
        <w:tab/>
        <w:t xml:space="preserve">Jinnota li, fl-2022, l-Awtorità kompliet tindirizza l-bqija tar-rakkomandazzjonijiet mill-awditu dwar l-“Għodod ta’ Sorveljanza fil-Qasam tal-Protezzjoni tal-Konsumatur” (2019-2020); jinnota wkoll li dan l-awditu rriżulta </w:t>
      </w:r>
      <w:r w:rsidRPr="00E83F9F">
        <w:t>f’erba’ rakkomandazzjonijiet li ġew indirizzati b’tali mod li żewġ rakkomandazzjonijiet ingħalqu uffiċjalment mill-IAS f’Novembru 2021 u żewġ rakkomandazzjonijiet ingħalqu uffiċjalment f’Ġunju 2022;</w:t>
      </w:r>
    </w:p>
    <w:p w:rsidR="006D4BA8" w:rsidRPr="00E83F9F" w:rsidRDefault="00EB6A9C" w:rsidP="006D4BA8">
      <w:pPr>
        <w:widowControl/>
        <w:spacing w:after="240"/>
        <w:ind w:left="567" w:hanging="567"/>
        <w:rPr>
          <w:b/>
          <w:i/>
          <w:szCs w:val="24"/>
        </w:rPr>
      </w:pPr>
      <w:r w:rsidRPr="00E83F9F">
        <w:rPr>
          <w:b/>
          <w:i/>
        </w:rPr>
        <w:lastRenderedPageBreak/>
        <w:t>Kummenti oħra</w:t>
      </w:r>
    </w:p>
    <w:p w:rsidR="006D4BA8" w:rsidRPr="00E83F9F" w:rsidRDefault="00EB6A9C" w:rsidP="006D4BA8">
      <w:pPr>
        <w:spacing w:after="240"/>
        <w:ind w:left="567" w:hanging="567"/>
        <w:rPr>
          <w:szCs w:val="24"/>
        </w:rPr>
      </w:pPr>
      <w:r w:rsidRPr="00E83F9F">
        <w:t>26.</w:t>
      </w:r>
      <w:r w:rsidRPr="00E83F9F">
        <w:tab/>
        <w:t>Jinnota li, fl-2022, l-Awtorità, flimki</w:t>
      </w:r>
      <w:r w:rsidRPr="00E83F9F">
        <w:t>en mal-ASE l-oħra, ħarġet twissijiet lill-konsumaturi fir-rigward tal-attivitajiet ta’ riskju għoli u spekulattivi assoċjati ma’ bosta kriptoassi;</w:t>
      </w:r>
    </w:p>
    <w:p w:rsidR="006D4BA8" w:rsidRPr="00E83F9F" w:rsidRDefault="00EB6A9C" w:rsidP="006D4BA8">
      <w:pPr>
        <w:spacing w:after="240"/>
        <w:ind w:left="567" w:hanging="567"/>
        <w:rPr>
          <w:szCs w:val="24"/>
        </w:rPr>
      </w:pPr>
      <w:r w:rsidRPr="00E83F9F">
        <w:t>27.</w:t>
      </w:r>
      <w:r w:rsidRPr="00E83F9F">
        <w:tab/>
        <w:t>Jinnota, mit-tweġibiet tal-Awtorità għall-mistoqsijiet tal-awtorità ta’ kwittanza, li l-Awtorità bħalissa</w:t>
      </w:r>
      <w:r w:rsidRPr="00E83F9F">
        <w:t xml:space="preserve"> qed tibbenefika mill-għodod tas-sejħiet għall-offerti elettroniċi tal-Kummissjoni (sejħiet għall-offerti elettroniċi, sottomissjoni elettronika, fatturazzjoni elettronika) u l-għodda għall-ġestjoni tal-akkwist pubbliku (PPMT) sadanittant ġiet implimentata</w:t>
      </w:r>
      <w:r w:rsidRPr="00E83F9F">
        <w:t xml:space="preserve"> (minn Lulju 2023); jilqa’ l-fatt li l-proċeduri tal-offerti tal-EIOPA jinkludu rekwiżiti ta’ kriterji tal-akkwist pubbliku ekoloġiku, fejn possibbli, u l-offerenti tal-EIOPA jridu jiffirmaw id-Dikjarazzjoni fuq l-Unur dwar il-Konformità mal-obbligi ambjen</w:t>
      </w:r>
      <w:r w:rsidRPr="00E83F9F">
        <w:t>tali u soċjali, fost l-oħrajn;</w:t>
      </w:r>
    </w:p>
    <w:p w:rsidR="006D4BA8" w:rsidRPr="00E83F9F" w:rsidRDefault="00EB6A9C" w:rsidP="006D4BA8">
      <w:pPr>
        <w:spacing w:after="240"/>
        <w:ind w:left="567" w:hanging="567"/>
        <w:rPr>
          <w:szCs w:val="24"/>
        </w:rPr>
      </w:pPr>
      <w:r w:rsidRPr="00E83F9F">
        <w:t>28.</w:t>
      </w:r>
      <w:r w:rsidRPr="00E83F9F">
        <w:tab/>
        <w:t>Jinnota li, fl-2022, l-Awtorità ppubblikat ir-riżultati tal-ħidma tagħha fil-forma ta’ rapporti, fuq is-sit web u l-midja soċjali tagħha, fejn il-biċċa l-kbira tar-rapporti kienu akkumpanjati minn stqarrija għall-istampa;</w:t>
      </w:r>
      <w:r w:rsidRPr="00E83F9F">
        <w:t xml:space="preserve"> jilqa’ l-fatt li, f’xi każijiet, ir-rapporti huma akkumpanjati wkoll minn sommarji, filmati qosra tal-midja soċjali, jew intervisti qosra biex il-kontenut jiġi spjegat f’termini aktar sempliċi;</w:t>
      </w:r>
    </w:p>
    <w:p w:rsidR="006D4BA8" w:rsidRPr="00E83F9F" w:rsidRDefault="00EB6A9C" w:rsidP="006D4BA8">
      <w:pPr>
        <w:pStyle w:val="NormalCenter12a"/>
      </w:pPr>
      <w:r w:rsidRPr="00E83F9F">
        <w:t>°</w:t>
      </w:r>
    </w:p>
    <w:p w:rsidR="006D4BA8" w:rsidRPr="00E83F9F" w:rsidRDefault="00EB6A9C" w:rsidP="006D4BA8">
      <w:pPr>
        <w:pStyle w:val="NormalCenter12a"/>
      </w:pPr>
      <w:r w:rsidRPr="00E83F9F">
        <w:t>°</w:t>
      </w:r>
      <w:r w:rsidRPr="00E83F9F">
        <w:tab/>
        <w:t>°</w:t>
      </w:r>
    </w:p>
    <w:p w:rsidR="006D4BA8" w:rsidRPr="00E83F9F" w:rsidRDefault="00EB6A9C" w:rsidP="006D4BA8">
      <w:pPr>
        <w:pStyle w:val="NormalHanging12a"/>
      </w:pPr>
      <w:r w:rsidRPr="00E83F9F">
        <w:t>29.</w:t>
      </w:r>
      <w:r w:rsidRPr="00E83F9F">
        <w:tab/>
        <w:t>Jirreferi, rigward kummenti oħrajn ta’ natura orizz</w:t>
      </w:r>
      <w:r w:rsidRPr="00E83F9F">
        <w:t>ontali li jakkumpanjaw id-deċiżjoni tiegħu dwar il-kwittanza, għar-riżoluzzjoni tiegħu ta’ [...] 2024</w:t>
      </w:r>
      <w:r w:rsidRPr="00E83F9F">
        <w:rPr>
          <w:rStyle w:val="FootnoteReference"/>
        </w:rPr>
        <w:footnoteReference w:id="12"/>
      </w:r>
      <w:r w:rsidRPr="00E83F9F">
        <w:t xml:space="preserve"> dwar il-prestazzjoni, il-ġestjoni finanzjarja u l-kontroll tal-aġenziji.</w:t>
      </w:r>
    </w:p>
    <w:p w:rsidR="00041AE6" w:rsidRPr="00E83F9F" w:rsidRDefault="00041AE6" w:rsidP="00041AE6"/>
    <w:sectPr w:rsidR="00041AE6" w:rsidRPr="00E83F9F" w:rsidSect="00041AE6">
      <w:headerReference w:type="even" r:id="rId14"/>
      <w:head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E83F9F" w:rsidRDefault="00EB6A9C">
      <w:r w:rsidRPr="00E83F9F">
        <w:separator/>
      </w:r>
    </w:p>
  </w:endnote>
  <w:endnote w:type="continuationSeparator" w:id="0">
    <w:p w:rsidR="00000000" w:rsidRPr="00E83F9F" w:rsidRDefault="00EB6A9C">
      <w:r w:rsidRPr="00E83F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F9F" w:rsidRPr="00E83F9F" w:rsidRDefault="00E83F9F" w:rsidP="00E83F9F">
    <w:pPr>
      <w:pStyle w:val="EPFooter"/>
    </w:pPr>
    <w:r w:rsidRPr="00E83F9F">
      <w:t>PE</w:t>
    </w:r>
    <w:r w:rsidRPr="00E83F9F">
      <w:rPr>
        <w:rStyle w:val="HideTWBExt"/>
      </w:rPr>
      <w:t>&lt;NoPE&gt;</w:t>
    </w:r>
    <w:r w:rsidRPr="00E83F9F">
      <w:t>753.521</w:t>
    </w:r>
    <w:r w:rsidRPr="00E83F9F">
      <w:rPr>
        <w:rStyle w:val="HideTWBExt"/>
      </w:rPr>
      <w:t>&lt;/NoPE&gt;&lt;Version&gt;</w:t>
    </w:r>
    <w:r w:rsidRPr="00E83F9F">
      <w:t>v01-00</w:t>
    </w:r>
    <w:r w:rsidRPr="00E83F9F">
      <w:rPr>
        <w:rStyle w:val="HideTWBExt"/>
      </w:rPr>
      <w:t>&lt;/Version&gt;</w:t>
    </w:r>
    <w:r w:rsidRPr="00E83F9F">
      <w:tab/>
    </w:r>
    <w:r w:rsidRPr="00E83F9F">
      <w:fldChar w:fldCharType="begin"/>
    </w:r>
    <w:r w:rsidRPr="00E83F9F">
      <w:instrText xml:space="preserve"> PAGE  \* MERGEFORMAT </w:instrText>
    </w:r>
    <w:r w:rsidRPr="00E83F9F">
      <w:fldChar w:fldCharType="separate"/>
    </w:r>
    <w:r w:rsidR="00EB6A9C">
      <w:rPr>
        <w:noProof/>
      </w:rPr>
      <w:t>12</w:t>
    </w:r>
    <w:r w:rsidRPr="00E83F9F">
      <w:fldChar w:fldCharType="end"/>
    </w:r>
    <w:r w:rsidRPr="00E83F9F">
      <w:t>/</w:t>
    </w:r>
    <w:fldSimple w:instr=" NUMPAGES  \* MERGEFORMAT ">
      <w:r w:rsidR="00EB6A9C">
        <w:rPr>
          <w:noProof/>
        </w:rPr>
        <w:t>12</w:t>
      </w:r>
    </w:fldSimple>
    <w:r w:rsidRPr="00E83F9F">
      <w:tab/>
    </w:r>
    <w:r w:rsidRPr="00E83F9F">
      <w:rPr>
        <w:rStyle w:val="HideTWBExt"/>
      </w:rPr>
      <w:t>&lt;PathFdR&gt;</w:t>
    </w:r>
    <w:r w:rsidRPr="00E83F9F">
      <w:t>PR\1286148MT.docx</w:t>
    </w:r>
    <w:r w:rsidRPr="00E83F9F">
      <w:rPr>
        <w:rStyle w:val="HideTWBExt"/>
      </w:rPr>
      <w:t>&lt;/PathFdR&gt;</w:t>
    </w:r>
  </w:p>
  <w:p w:rsidR="00041AE6" w:rsidRPr="00E83F9F" w:rsidRDefault="00E83F9F" w:rsidP="00E83F9F">
    <w:pPr>
      <w:pStyle w:val="EPFooter2"/>
    </w:pPr>
    <w:r w:rsidRPr="00E83F9F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F9F" w:rsidRPr="00E83F9F" w:rsidRDefault="00E83F9F" w:rsidP="00E83F9F">
    <w:pPr>
      <w:pStyle w:val="EPFooter"/>
    </w:pPr>
    <w:r w:rsidRPr="00E83F9F">
      <w:rPr>
        <w:rStyle w:val="HideTWBExt"/>
      </w:rPr>
      <w:t>&lt;PathFdR&gt;</w:t>
    </w:r>
    <w:r w:rsidRPr="00E83F9F">
      <w:t>PR\1286148MT.docx</w:t>
    </w:r>
    <w:r w:rsidRPr="00E83F9F">
      <w:rPr>
        <w:rStyle w:val="HideTWBExt"/>
      </w:rPr>
      <w:t>&lt;/PathFdR&gt;</w:t>
    </w:r>
    <w:r w:rsidRPr="00E83F9F">
      <w:tab/>
    </w:r>
    <w:r w:rsidRPr="00E83F9F">
      <w:fldChar w:fldCharType="begin"/>
    </w:r>
    <w:r w:rsidRPr="00E83F9F">
      <w:instrText xml:space="preserve"> PAGE  \* MERGEFORMAT </w:instrText>
    </w:r>
    <w:r w:rsidRPr="00E83F9F">
      <w:fldChar w:fldCharType="separate"/>
    </w:r>
    <w:r w:rsidR="00EB6A9C">
      <w:rPr>
        <w:noProof/>
      </w:rPr>
      <w:t>12</w:t>
    </w:r>
    <w:r w:rsidRPr="00E83F9F">
      <w:fldChar w:fldCharType="end"/>
    </w:r>
    <w:r w:rsidRPr="00E83F9F">
      <w:t>/</w:t>
    </w:r>
    <w:fldSimple w:instr=" NUMPAGES  \* MERGEFORMAT ">
      <w:r w:rsidR="00EB6A9C">
        <w:rPr>
          <w:noProof/>
        </w:rPr>
        <w:t>12</w:t>
      </w:r>
    </w:fldSimple>
    <w:r w:rsidRPr="00E83F9F">
      <w:tab/>
      <w:t>PE</w:t>
    </w:r>
    <w:r w:rsidRPr="00E83F9F">
      <w:rPr>
        <w:rStyle w:val="HideTWBExt"/>
      </w:rPr>
      <w:t>&lt;NoPE&gt;</w:t>
    </w:r>
    <w:r w:rsidRPr="00E83F9F">
      <w:t>753.521</w:t>
    </w:r>
    <w:r w:rsidRPr="00E83F9F">
      <w:rPr>
        <w:rStyle w:val="HideTWBExt"/>
      </w:rPr>
      <w:t>&lt;/NoPE&gt;&lt;Version&gt;</w:t>
    </w:r>
    <w:r w:rsidRPr="00E83F9F">
      <w:t>v01-00</w:t>
    </w:r>
    <w:r w:rsidRPr="00E83F9F">
      <w:rPr>
        <w:rStyle w:val="HideTWBExt"/>
      </w:rPr>
      <w:t>&lt;/Version&gt;</w:t>
    </w:r>
  </w:p>
  <w:p w:rsidR="00041AE6" w:rsidRPr="00E83F9F" w:rsidRDefault="00E83F9F" w:rsidP="00E83F9F">
    <w:pPr>
      <w:pStyle w:val="EPFooter2"/>
    </w:pPr>
    <w:r w:rsidRPr="00E83F9F">
      <w:tab/>
    </w:r>
    <w:r w:rsidRPr="00E83F9F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F9F" w:rsidRPr="00E83F9F" w:rsidRDefault="00E83F9F" w:rsidP="00E83F9F">
    <w:pPr>
      <w:pStyle w:val="EPFooter"/>
    </w:pPr>
    <w:r w:rsidRPr="00E83F9F">
      <w:rPr>
        <w:rStyle w:val="HideTWBExt"/>
      </w:rPr>
      <w:t>&lt;PathFdR&gt;</w:t>
    </w:r>
    <w:r w:rsidRPr="00E83F9F">
      <w:t>PR\1286148MT.docx</w:t>
    </w:r>
    <w:r w:rsidRPr="00E83F9F">
      <w:rPr>
        <w:rStyle w:val="HideTWBExt"/>
      </w:rPr>
      <w:t>&lt;/PathFdR&gt;</w:t>
    </w:r>
    <w:r w:rsidRPr="00E83F9F">
      <w:tab/>
    </w:r>
    <w:r w:rsidRPr="00E83F9F">
      <w:tab/>
      <w:t>PE</w:t>
    </w:r>
    <w:r w:rsidRPr="00E83F9F">
      <w:rPr>
        <w:rStyle w:val="HideTWBExt"/>
      </w:rPr>
      <w:t>&lt;NoPE&gt;</w:t>
    </w:r>
    <w:r w:rsidRPr="00E83F9F">
      <w:t>753.521</w:t>
    </w:r>
    <w:r w:rsidRPr="00E83F9F">
      <w:rPr>
        <w:rStyle w:val="HideTWBExt"/>
      </w:rPr>
      <w:t>&lt;/NoPE&gt;&lt;Version&gt;</w:t>
    </w:r>
    <w:r w:rsidRPr="00E83F9F">
      <w:t>v01-00</w:t>
    </w:r>
    <w:r w:rsidRPr="00E83F9F">
      <w:rPr>
        <w:rStyle w:val="HideTWBExt"/>
      </w:rPr>
      <w:t>&lt;/Version&gt;</w:t>
    </w:r>
  </w:p>
  <w:p w:rsidR="00041AE6" w:rsidRPr="00E83F9F" w:rsidRDefault="00E83F9F" w:rsidP="00E83F9F">
    <w:pPr>
      <w:pStyle w:val="EPFooter2"/>
    </w:pPr>
    <w:r w:rsidRPr="00E83F9F">
      <w:t>MT</w:t>
    </w:r>
    <w:r w:rsidRPr="00E83F9F">
      <w:tab/>
    </w:r>
    <w:r w:rsidRPr="00E83F9F">
      <w:rPr>
        <w:b w:val="0"/>
        <w:i/>
        <w:color w:val="C0C0C0"/>
        <w:sz w:val="22"/>
      </w:rPr>
      <w:t>Magħquda fid-diversità</w:t>
    </w:r>
    <w:r w:rsidRPr="00E83F9F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0068" w:rsidRPr="00E83F9F" w:rsidRDefault="00EB6A9C" w:rsidP="001A54A8">
    <w:pPr>
      <w:pStyle w:val="EPFooter"/>
    </w:pPr>
    <w:r w:rsidRPr="00E83F9F">
      <w:rPr>
        <w:rStyle w:val="HideTWBExt"/>
      </w:rPr>
      <w:t>&lt;PathFdR&gt;</w:t>
    </w:r>
    <w:r w:rsidR="007F18B5" w:rsidRPr="00E83F9F">
      <w:t>PR\1286148EN.docx</w:t>
    </w:r>
    <w:r w:rsidRPr="00E83F9F">
      <w:rPr>
        <w:rStyle w:val="HideTWBExt"/>
      </w:rPr>
      <w:t>&lt;/PathFdR&gt;</w:t>
    </w:r>
    <w:r w:rsidRPr="00E83F9F">
      <w:tab/>
    </w:r>
    <w:r w:rsidRPr="00E83F9F">
      <w:tab/>
      <w:t>PE</w:t>
    </w:r>
    <w:r w:rsidRPr="00E83F9F">
      <w:rPr>
        <w:rStyle w:val="HideTWBExt"/>
      </w:rPr>
      <w:t>&lt;NoPE&gt;</w:t>
    </w:r>
    <w:r w:rsidR="007F18B5" w:rsidRPr="00E83F9F">
      <w:t>753.521</w:t>
    </w:r>
    <w:r w:rsidRPr="00E83F9F">
      <w:rPr>
        <w:rStyle w:val="HideTWBExt"/>
      </w:rPr>
      <w:t>&lt;/NoPE&gt;&lt;Version&gt;</w:t>
    </w:r>
    <w:r w:rsidR="00E95A82" w:rsidRPr="00E83F9F">
      <w:t>v</w:t>
    </w:r>
    <w:r w:rsidR="007F18B5" w:rsidRPr="00E83F9F">
      <w:t>01-00</w:t>
    </w:r>
    <w:r w:rsidRPr="00E83F9F">
      <w:rPr>
        <w:rStyle w:val="HideTWBExt"/>
      </w:rPr>
      <w:t>&lt;</w:t>
    </w:r>
    <w:r w:rsidRPr="00E83F9F">
      <w:rPr>
        <w:rStyle w:val="HideTWBExt"/>
      </w:rPr>
      <w:t>/Version&gt;</w:t>
    </w:r>
  </w:p>
  <w:p w:rsidR="00390068" w:rsidRPr="00E83F9F" w:rsidRDefault="00EB6A9C" w:rsidP="00390068">
    <w:pPr>
      <w:pStyle w:val="EPFooter2"/>
      <w:tabs>
        <w:tab w:val="clear" w:pos="4535"/>
        <w:tab w:val="center" w:pos="4536"/>
      </w:tabs>
    </w:pPr>
    <w:r w:rsidRPr="00E83F9F">
      <w:fldChar w:fldCharType="begin"/>
    </w:r>
    <w:r w:rsidRPr="00E83F9F">
      <w:instrText xml:space="preserve"> DOCPROPERTY "&lt;Extension&gt;" </w:instrText>
    </w:r>
    <w:r w:rsidRPr="00E83F9F">
      <w:fldChar w:fldCharType="separate"/>
    </w:r>
    <w:r>
      <w:t>MT</w:t>
    </w:r>
    <w:r w:rsidRPr="00E83F9F">
      <w:fldChar w:fldCharType="end"/>
    </w:r>
    <w:r w:rsidRPr="00E83F9F">
      <w:tab/>
    </w:r>
    <w:r w:rsidR="007F18B5" w:rsidRPr="00E83F9F">
      <w:rPr>
        <w:b w:val="0"/>
        <w:i/>
        <w:color w:val="C0C0C0"/>
        <w:sz w:val="22"/>
        <w:szCs w:val="22"/>
      </w:rPr>
      <w:t>United in diversity</w:t>
    </w:r>
    <w:r w:rsidRPr="00E83F9F">
      <w:tab/>
    </w:r>
    <w:r w:rsidRPr="00E83F9F">
      <w:fldChar w:fldCharType="begin"/>
    </w:r>
    <w:r w:rsidRPr="00E83F9F">
      <w:instrText xml:space="preserve"> DOCPROPERTY "&lt;Extension&gt;" </w:instrText>
    </w:r>
    <w:r w:rsidRPr="00E83F9F">
      <w:fldChar w:fldCharType="separate"/>
    </w:r>
    <w:r>
      <w:t>MT</w:t>
    </w:r>
    <w:r w:rsidRPr="00E83F9F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A82" w:rsidRPr="00E83F9F" w:rsidRDefault="00EB6A9C">
      <w:r w:rsidRPr="00E83F9F">
        <w:separator/>
      </w:r>
    </w:p>
  </w:footnote>
  <w:footnote w:type="continuationSeparator" w:id="0">
    <w:p w:rsidR="00E95A82" w:rsidRPr="00E83F9F" w:rsidRDefault="00EB6A9C">
      <w:r w:rsidRPr="00E83F9F">
        <w:continuationSeparator/>
      </w:r>
    </w:p>
  </w:footnote>
  <w:footnote w:id="1">
    <w:p w:rsidR="00041AE6" w:rsidRPr="00E83F9F" w:rsidRDefault="00EB6A9C" w:rsidP="00041AE6">
      <w:pPr>
        <w:pStyle w:val="FootnoteText"/>
        <w:ind w:left="567" w:hanging="567"/>
      </w:pPr>
      <w:r w:rsidRPr="00E83F9F">
        <w:rPr>
          <w:rStyle w:val="FootnoteReference"/>
        </w:rPr>
        <w:footnoteRef/>
      </w:r>
      <w:r w:rsidRPr="00E83F9F">
        <w:t xml:space="preserve"> ĠU C, C/2023/594, 27.10.2023.</w:t>
      </w:r>
    </w:p>
  </w:footnote>
  <w:footnote w:id="2">
    <w:p w:rsidR="00041AE6" w:rsidRPr="00E83F9F" w:rsidRDefault="00EB6A9C" w:rsidP="00041AE6">
      <w:pPr>
        <w:pStyle w:val="FootnoteText"/>
        <w:ind w:left="567" w:hanging="567"/>
      </w:pPr>
      <w:r w:rsidRPr="00E83F9F">
        <w:rPr>
          <w:rStyle w:val="FootnoteReference"/>
        </w:rPr>
        <w:footnoteRef/>
      </w:r>
      <w:r w:rsidRPr="00E83F9F">
        <w:t xml:space="preserve"> ĠU C, C/2023/112, 12.10.2023.</w:t>
      </w:r>
    </w:p>
  </w:footnote>
  <w:footnote w:id="3">
    <w:p w:rsidR="00041AE6" w:rsidRPr="00E83F9F" w:rsidRDefault="00EB6A9C" w:rsidP="00041AE6">
      <w:pPr>
        <w:pStyle w:val="FootnoteText"/>
        <w:ind w:left="567" w:hanging="567"/>
      </w:pPr>
      <w:r w:rsidRPr="00E83F9F">
        <w:rPr>
          <w:rStyle w:val="FootnoteReference"/>
        </w:rPr>
        <w:footnoteRef/>
      </w:r>
      <w:r w:rsidRPr="00E83F9F">
        <w:t xml:space="preserve"> ĠU L 193, 30.7.2018, p. 1.</w:t>
      </w:r>
    </w:p>
  </w:footnote>
  <w:footnote w:id="4">
    <w:p w:rsidR="00041AE6" w:rsidRPr="00E83F9F" w:rsidRDefault="00EB6A9C" w:rsidP="00041AE6">
      <w:pPr>
        <w:pStyle w:val="FootnoteText"/>
        <w:ind w:left="567" w:hanging="567"/>
      </w:pPr>
      <w:r w:rsidRPr="00E83F9F">
        <w:rPr>
          <w:rStyle w:val="FootnoteReference"/>
        </w:rPr>
        <w:footnoteRef/>
      </w:r>
      <w:r w:rsidRPr="00E83F9F">
        <w:t xml:space="preserve"> ĠU L 331, 15.12.2010, p. 48.</w:t>
      </w:r>
    </w:p>
  </w:footnote>
  <w:footnote w:id="5">
    <w:p w:rsidR="00041AE6" w:rsidRPr="00E83F9F" w:rsidRDefault="00EB6A9C" w:rsidP="00041AE6">
      <w:pPr>
        <w:pStyle w:val="FootnoteText"/>
        <w:ind w:left="567" w:hanging="567"/>
        <w:rPr>
          <w:sz w:val="24"/>
          <w:szCs w:val="24"/>
        </w:rPr>
      </w:pPr>
      <w:r w:rsidRPr="00E83F9F">
        <w:rPr>
          <w:rStyle w:val="FootnoteReference"/>
        </w:rPr>
        <w:footnoteRef/>
      </w:r>
      <w:r w:rsidRPr="00E83F9F">
        <w:t xml:space="preserve"> ĠU L 122, 10.5.2019, p. 1.</w:t>
      </w:r>
    </w:p>
  </w:footnote>
  <w:footnote w:id="6">
    <w:p w:rsidR="00041AE6" w:rsidRPr="00E83F9F" w:rsidRDefault="00EB6A9C" w:rsidP="00041AE6">
      <w:pPr>
        <w:pStyle w:val="FootnoteText"/>
        <w:ind w:left="567" w:hanging="567"/>
      </w:pPr>
      <w:r w:rsidRPr="00E83F9F">
        <w:rPr>
          <w:rStyle w:val="FootnoteReference"/>
        </w:rPr>
        <w:footnoteRef/>
      </w:r>
      <w:r w:rsidRPr="00E83F9F">
        <w:t xml:space="preserve"> ĠU C, C/2023/594, 27.10.2023.</w:t>
      </w:r>
    </w:p>
  </w:footnote>
  <w:footnote w:id="7">
    <w:p w:rsidR="00041AE6" w:rsidRPr="00E83F9F" w:rsidRDefault="00EB6A9C" w:rsidP="00041AE6">
      <w:pPr>
        <w:pStyle w:val="FootnoteText"/>
        <w:ind w:left="567" w:hanging="567"/>
      </w:pPr>
      <w:r w:rsidRPr="00E83F9F">
        <w:rPr>
          <w:rStyle w:val="FootnoteReference"/>
        </w:rPr>
        <w:footnoteRef/>
      </w:r>
      <w:r w:rsidRPr="00E83F9F">
        <w:t xml:space="preserve"> ĠU C, C/2023/112, 12.10.2023.</w:t>
      </w:r>
    </w:p>
  </w:footnote>
  <w:footnote w:id="8">
    <w:p w:rsidR="00041AE6" w:rsidRPr="00E83F9F" w:rsidRDefault="00EB6A9C" w:rsidP="00041AE6">
      <w:pPr>
        <w:pStyle w:val="FootnoteText"/>
        <w:ind w:left="567" w:hanging="567"/>
      </w:pPr>
      <w:r w:rsidRPr="00E83F9F">
        <w:rPr>
          <w:rStyle w:val="FootnoteReference"/>
        </w:rPr>
        <w:footnoteRef/>
      </w:r>
      <w:r w:rsidRPr="00E83F9F">
        <w:t xml:space="preserve"> ĠU L 193, 30.7.2018, p. 1.</w:t>
      </w:r>
    </w:p>
  </w:footnote>
  <w:footnote w:id="9">
    <w:p w:rsidR="00041AE6" w:rsidRPr="00E83F9F" w:rsidRDefault="00EB6A9C" w:rsidP="00041AE6">
      <w:pPr>
        <w:pStyle w:val="FootnoteText"/>
        <w:ind w:left="567" w:hanging="567"/>
      </w:pPr>
      <w:r w:rsidRPr="00E83F9F">
        <w:rPr>
          <w:rStyle w:val="FootnoteReference"/>
        </w:rPr>
        <w:footnoteRef/>
      </w:r>
      <w:r w:rsidRPr="00E83F9F">
        <w:t xml:space="preserve"> ĠU L 331, 15.12.2010, p. 48.</w:t>
      </w:r>
    </w:p>
  </w:footnote>
  <w:footnote w:id="10">
    <w:p w:rsidR="00041AE6" w:rsidRPr="00E83F9F" w:rsidRDefault="00EB6A9C" w:rsidP="00041AE6">
      <w:pPr>
        <w:pStyle w:val="FootnoteText"/>
        <w:ind w:left="567" w:hanging="567"/>
        <w:rPr>
          <w:sz w:val="24"/>
          <w:szCs w:val="24"/>
        </w:rPr>
      </w:pPr>
      <w:r w:rsidRPr="00E83F9F">
        <w:rPr>
          <w:rStyle w:val="FootnoteReference"/>
        </w:rPr>
        <w:footnoteRef/>
      </w:r>
      <w:r w:rsidRPr="00E83F9F">
        <w:t xml:space="preserve"> ĠU L 122, 10.5.2019, p. 1.</w:t>
      </w:r>
    </w:p>
  </w:footnote>
  <w:footnote w:id="11">
    <w:p w:rsidR="006D4BA8" w:rsidRPr="00E83F9F" w:rsidRDefault="00EB6A9C" w:rsidP="006D4BA8">
      <w:pPr>
        <w:pStyle w:val="FootnoteText"/>
      </w:pPr>
      <w:r w:rsidRPr="00E83F9F">
        <w:rPr>
          <w:rStyle w:val="FootnoteReference"/>
        </w:rPr>
        <w:footnoteRef/>
      </w:r>
      <w:r w:rsidRPr="00E83F9F">
        <w:t xml:space="preserve"> ĠU C 38, 31.1.2023, p. 78.</w:t>
      </w:r>
    </w:p>
  </w:footnote>
  <w:footnote w:id="12">
    <w:p w:rsidR="006D4BA8" w:rsidRPr="00E83F9F" w:rsidRDefault="00EB6A9C" w:rsidP="006D4BA8">
      <w:pPr>
        <w:pStyle w:val="FootnoteText"/>
      </w:pPr>
      <w:r w:rsidRPr="00E83F9F">
        <w:rPr>
          <w:rStyle w:val="FootnoteReference"/>
        </w:rPr>
        <w:footnoteRef/>
      </w:r>
      <w:r w:rsidRPr="00E83F9F">
        <w:t xml:space="preserve"> Testi adottati, P9_TA(2024)0000.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A9C" w:rsidRDefault="00EB6A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A9C" w:rsidRDefault="00EB6A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A9C" w:rsidRDefault="00EB6A9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8B5" w:rsidRDefault="007F18B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8B5" w:rsidRDefault="007F18B5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8B5" w:rsidRDefault="007F18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091318"/>
    <w:multiLevelType w:val="hybridMultilevel"/>
    <w:tmpl w:val="143224D2"/>
    <w:lvl w:ilvl="0" w:tplc="D69EFAE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BEC6D7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D1C87C8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04857D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8598771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B0B82D1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6548FD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EC4414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DB9EEC5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62D6E49"/>
    <w:multiLevelType w:val="hybridMultilevel"/>
    <w:tmpl w:val="78B8CEFC"/>
    <w:lvl w:ilvl="0" w:tplc="7B6E91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BAFC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E1A90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E64DD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62DF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4A261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44A5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964E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C1EDA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ECISIONMNU" w:val=" 3"/>
    <w:docVar w:name="FN1DT" w:val="..."/>
    <w:docVar w:name="FN2DT" w:val="..."/>
    <w:docVar w:name="LastEditedSection" w:val=" 1"/>
    <w:docVar w:name="LETTERSMNU" w:val=" 3"/>
    <w:docVar w:name="OBSERVATIONSMNU" w:val=" 1"/>
    <w:docVar w:name="OPIN1KEY" w:val="EMPL"/>
    <w:docVar w:name="OPINIONSMNU" w:val=" 1"/>
    <w:docVar w:name="POSITIONSMNU" w:val=" 3"/>
    <w:docVar w:name="STOREDT" w:val="..."/>
    <w:docVar w:name="strDocTypeID" w:val="PR_DEC_Agencies"/>
    <w:docVar w:name="strSubDir" w:val="1286"/>
    <w:docVar w:name="TITLEMNU" w:val=" 14"/>
    <w:docVar w:name="TXTBUDYEAR" w:val="2022"/>
    <w:docVar w:name="TXTFN1" w:val="…"/>
    <w:docVar w:name="TXTFN2" w:val="…"/>
    <w:docVar w:name="TXTLANGUE" w:val="EN"/>
    <w:docVar w:name="TXTLANGUEMIN" w:val="en"/>
    <w:docVar w:name="TXTNRC" w:val="0000/2024"/>
    <w:docVar w:name="TXTNRCOUNC" w:val="00000/2024"/>
    <w:docVar w:name="TXTNRDEC" w:val="2023/2153"/>
    <w:docVar w:name="TXTNRPE" w:val="753.521"/>
    <w:docVar w:name="TXTNRTA" w:val="(2024)0000"/>
    <w:docVar w:name="TXTPEorAP" w:val="PE"/>
    <w:docVar w:name="TXTPG1" w:val="…"/>
    <w:docVar w:name="TXTPG2" w:val="…"/>
    <w:docVar w:name="TXTROUTE" w:val="PR\1286148EN.docx"/>
    <w:docVar w:name="TXTVERSION" w:val="01-00"/>
  </w:docVars>
  <w:rsids>
    <w:rsidRoot w:val="00E95A82"/>
    <w:rsid w:val="00002C51"/>
    <w:rsid w:val="00041AE6"/>
    <w:rsid w:val="00064DFF"/>
    <w:rsid w:val="00090E0B"/>
    <w:rsid w:val="00093163"/>
    <w:rsid w:val="000A05D5"/>
    <w:rsid w:val="000A48E0"/>
    <w:rsid w:val="000B47E5"/>
    <w:rsid w:val="00104CB9"/>
    <w:rsid w:val="001150DB"/>
    <w:rsid w:val="00116CB4"/>
    <w:rsid w:val="00150EC1"/>
    <w:rsid w:val="0017746B"/>
    <w:rsid w:val="001A54A8"/>
    <w:rsid w:val="001B4494"/>
    <w:rsid w:val="001E1032"/>
    <w:rsid w:val="00202D84"/>
    <w:rsid w:val="002377CC"/>
    <w:rsid w:val="002421F7"/>
    <w:rsid w:val="002443C0"/>
    <w:rsid w:val="002502C8"/>
    <w:rsid w:val="00253648"/>
    <w:rsid w:val="00256BE3"/>
    <w:rsid w:val="00276092"/>
    <w:rsid w:val="002D1E60"/>
    <w:rsid w:val="002D6EA9"/>
    <w:rsid w:val="0031254A"/>
    <w:rsid w:val="00320A9A"/>
    <w:rsid w:val="003315AF"/>
    <w:rsid w:val="00336524"/>
    <w:rsid w:val="003369E3"/>
    <w:rsid w:val="00340842"/>
    <w:rsid w:val="00381864"/>
    <w:rsid w:val="00390068"/>
    <w:rsid w:val="003D353C"/>
    <w:rsid w:val="003E25A9"/>
    <w:rsid w:val="003E6AFB"/>
    <w:rsid w:val="003E735B"/>
    <w:rsid w:val="003E7C73"/>
    <w:rsid w:val="003F0E64"/>
    <w:rsid w:val="003F229D"/>
    <w:rsid w:val="00413713"/>
    <w:rsid w:val="004532FF"/>
    <w:rsid w:val="004651E1"/>
    <w:rsid w:val="004749EC"/>
    <w:rsid w:val="004A34BF"/>
    <w:rsid w:val="004A480C"/>
    <w:rsid w:val="004C6C3F"/>
    <w:rsid w:val="004C70BD"/>
    <w:rsid w:val="004D13BA"/>
    <w:rsid w:val="0050312B"/>
    <w:rsid w:val="00507D7F"/>
    <w:rsid w:val="005477C9"/>
    <w:rsid w:val="00550863"/>
    <w:rsid w:val="00550E6B"/>
    <w:rsid w:val="00564DB0"/>
    <w:rsid w:val="005A3D7F"/>
    <w:rsid w:val="005A5191"/>
    <w:rsid w:val="005A6CAE"/>
    <w:rsid w:val="005B2950"/>
    <w:rsid w:val="005C689E"/>
    <w:rsid w:val="005D3E9F"/>
    <w:rsid w:val="005E49E1"/>
    <w:rsid w:val="005E6A67"/>
    <w:rsid w:val="005E7E89"/>
    <w:rsid w:val="005F367B"/>
    <w:rsid w:val="005F6B87"/>
    <w:rsid w:val="00611C37"/>
    <w:rsid w:val="0063324A"/>
    <w:rsid w:val="00643EBE"/>
    <w:rsid w:val="006503A4"/>
    <w:rsid w:val="0066045F"/>
    <w:rsid w:val="00671F88"/>
    <w:rsid w:val="006835EB"/>
    <w:rsid w:val="00686BB9"/>
    <w:rsid w:val="00693FF3"/>
    <w:rsid w:val="0069786A"/>
    <w:rsid w:val="006B0ED0"/>
    <w:rsid w:val="006D37D7"/>
    <w:rsid w:val="006D4BA8"/>
    <w:rsid w:val="006D5743"/>
    <w:rsid w:val="006E740E"/>
    <w:rsid w:val="00706383"/>
    <w:rsid w:val="00732E95"/>
    <w:rsid w:val="0074734C"/>
    <w:rsid w:val="00784758"/>
    <w:rsid w:val="007A4AC9"/>
    <w:rsid w:val="007B4901"/>
    <w:rsid w:val="007C3B7E"/>
    <w:rsid w:val="007C7DE0"/>
    <w:rsid w:val="007D1E61"/>
    <w:rsid w:val="007E2834"/>
    <w:rsid w:val="007F18B5"/>
    <w:rsid w:val="007F713D"/>
    <w:rsid w:val="0081446A"/>
    <w:rsid w:val="00837B2B"/>
    <w:rsid w:val="00841D8C"/>
    <w:rsid w:val="0085038E"/>
    <w:rsid w:val="00895F7F"/>
    <w:rsid w:val="008A23A3"/>
    <w:rsid w:val="008D2063"/>
    <w:rsid w:val="00916826"/>
    <w:rsid w:val="009347E5"/>
    <w:rsid w:val="009378F5"/>
    <w:rsid w:val="00947D32"/>
    <w:rsid w:val="009807D1"/>
    <w:rsid w:val="009A1AE4"/>
    <w:rsid w:val="009B566F"/>
    <w:rsid w:val="009B6E2F"/>
    <w:rsid w:val="009C06C9"/>
    <w:rsid w:val="009C4C82"/>
    <w:rsid w:val="009F1C87"/>
    <w:rsid w:val="009F2DD4"/>
    <w:rsid w:val="00A273FA"/>
    <w:rsid w:val="00A35902"/>
    <w:rsid w:val="00A84FF1"/>
    <w:rsid w:val="00A92249"/>
    <w:rsid w:val="00A95064"/>
    <w:rsid w:val="00AB4789"/>
    <w:rsid w:val="00AD2ECC"/>
    <w:rsid w:val="00AD47D4"/>
    <w:rsid w:val="00B11618"/>
    <w:rsid w:val="00B553CB"/>
    <w:rsid w:val="00B6540D"/>
    <w:rsid w:val="00B75AA6"/>
    <w:rsid w:val="00B844BC"/>
    <w:rsid w:val="00BA46FB"/>
    <w:rsid w:val="00BB09B0"/>
    <w:rsid w:val="00BB3008"/>
    <w:rsid w:val="00BD13C4"/>
    <w:rsid w:val="00BE0DC4"/>
    <w:rsid w:val="00BE6336"/>
    <w:rsid w:val="00BF0771"/>
    <w:rsid w:val="00C03C2E"/>
    <w:rsid w:val="00C0769E"/>
    <w:rsid w:val="00C1531C"/>
    <w:rsid w:val="00C36B81"/>
    <w:rsid w:val="00C46F6A"/>
    <w:rsid w:val="00C56953"/>
    <w:rsid w:val="00C607B5"/>
    <w:rsid w:val="00C63401"/>
    <w:rsid w:val="00C75A8F"/>
    <w:rsid w:val="00C85D0F"/>
    <w:rsid w:val="00C951A4"/>
    <w:rsid w:val="00CB6B29"/>
    <w:rsid w:val="00CD1E8A"/>
    <w:rsid w:val="00CF07EC"/>
    <w:rsid w:val="00D05CBA"/>
    <w:rsid w:val="00D13DD1"/>
    <w:rsid w:val="00D46466"/>
    <w:rsid w:val="00D52EA4"/>
    <w:rsid w:val="00D74CC3"/>
    <w:rsid w:val="00D86C90"/>
    <w:rsid w:val="00DA5269"/>
    <w:rsid w:val="00DA6863"/>
    <w:rsid w:val="00DF7BA5"/>
    <w:rsid w:val="00E31C35"/>
    <w:rsid w:val="00E33228"/>
    <w:rsid w:val="00E44A07"/>
    <w:rsid w:val="00E50576"/>
    <w:rsid w:val="00E80CE4"/>
    <w:rsid w:val="00E83F9F"/>
    <w:rsid w:val="00E8604D"/>
    <w:rsid w:val="00E95A82"/>
    <w:rsid w:val="00EB31C4"/>
    <w:rsid w:val="00EB6A9C"/>
    <w:rsid w:val="00ED335B"/>
    <w:rsid w:val="00F017D4"/>
    <w:rsid w:val="00F02E0E"/>
    <w:rsid w:val="00F0381D"/>
    <w:rsid w:val="00F21C7F"/>
    <w:rsid w:val="00F71101"/>
    <w:rsid w:val="00F9531F"/>
    <w:rsid w:val="00FD18F9"/>
    <w:rsid w:val="00FE62F7"/>
    <w:rsid w:val="00FF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A6C0DF-6FCB-414F-8623-B1B3B3977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3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48E0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2421F7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7C7DE0"/>
    <w:pPr>
      <w:spacing w:after="240"/>
    </w:pPr>
    <w:rPr>
      <w:noProof/>
    </w:rPr>
  </w:style>
  <w:style w:type="paragraph" w:styleId="TOCHeading">
    <w:name w:val="TOC Heading"/>
    <w:basedOn w:val="Normal"/>
    <w:next w:val="TOCPage"/>
    <w:rsid w:val="00706383"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rsid w:val="00706383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D46466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1A54A8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NormalCenter12a">
    <w:name w:val="NormalCenter12a"/>
    <w:basedOn w:val="Normal"/>
    <w:rsid w:val="009B6E2F"/>
    <w:pPr>
      <w:spacing w:after="240"/>
      <w:jc w:val="center"/>
    </w:pPr>
  </w:style>
  <w:style w:type="paragraph" w:customStyle="1" w:styleId="CoverReference">
    <w:name w:val="CoverReference"/>
    <w:basedOn w:val="Normal"/>
    <w:rsid w:val="00671F88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5E6A6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E31C35"/>
    <w:pPr>
      <w:tabs>
        <w:tab w:val="center" w:pos="4513"/>
        <w:tab w:val="right" w:pos="9026"/>
      </w:tabs>
    </w:pPr>
  </w:style>
  <w:style w:type="paragraph" w:styleId="TOC2">
    <w:name w:val="toc 2"/>
    <w:basedOn w:val="Normal"/>
    <w:next w:val="Normal"/>
    <w:semiHidden/>
    <w:pPr>
      <w:ind w:left="227"/>
    </w:pPr>
  </w:style>
  <w:style w:type="table" w:styleId="TableGrid">
    <w:name w:val="Table Grid"/>
    <w:basedOn w:val="TableNormal"/>
    <w:rsid w:val="003900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uiPriority w:val="39"/>
    <w:semiHidden/>
    <w:rsid w:val="00FD18F9"/>
    <w:pPr>
      <w:spacing w:after="240"/>
    </w:pPr>
  </w:style>
  <w:style w:type="paragraph" w:customStyle="1" w:styleId="EPBody">
    <w:name w:val="EPBody"/>
    <w:basedOn w:val="Normal"/>
    <w:rsid w:val="0039006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39006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390068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D46466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46466"/>
    <w:pPr>
      <w:jc w:val="right"/>
    </w:pPr>
  </w:style>
  <w:style w:type="paragraph" w:customStyle="1" w:styleId="EPFooter">
    <w:name w:val="EPFooter"/>
    <w:basedOn w:val="Normal"/>
    <w:rsid w:val="001A54A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E31C35"/>
    <w:rPr>
      <w:sz w:val="24"/>
    </w:rPr>
  </w:style>
  <w:style w:type="paragraph" w:styleId="FootnoteText">
    <w:name w:val="footnote text"/>
    <w:basedOn w:val="Normal"/>
    <w:link w:val="FootnoteTextChar"/>
    <w:rsid w:val="007F18B5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7F18B5"/>
  </w:style>
  <w:style w:type="character" w:styleId="FootnoteReference">
    <w:name w:val="footnote reference"/>
    <w:basedOn w:val="DefaultParagraphFont"/>
    <w:rsid w:val="007F18B5"/>
    <w:rPr>
      <w:vertAlign w:val="superscript"/>
    </w:rPr>
  </w:style>
  <w:style w:type="paragraph" w:styleId="Footer">
    <w:name w:val="footer"/>
    <w:basedOn w:val="Normal"/>
    <w:link w:val="FooterChar"/>
    <w:semiHidden/>
    <w:rsid w:val="00041AE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041AE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2911</Words>
  <Characters>22073</Characters>
  <Application>Microsoft Office Word</Application>
  <DocSecurity>0</DocSecurity>
  <Lines>356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PR_Dec_Agencies</vt:lpstr>
    </vt:vector>
  </TitlesOfParts>
  <Company/>
  <LinksUpToDate>false</LinksUpToDate>
  <CharactersWithSpaces>24873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PR_Dec_Agencies</dc:title>
  <dc:creator>GISBRECHT Evelyna</dc:creator>
  <cp:lastModifiedBy>VELLA George</cp:lastModifiedBy>
  <cp:revision>2</cp:revision>
  <cp:lastPrinted>2004-12-08T15:27:00Z</cp:lastPrinted>
  <dcterms:created xsi:type="dcterms:W3CDTF">2024-01-25T09:07:00Z</dcterms:created>
  <dcterms:modified xsi:type="dcterms:W3CDTF">2024-01-25T09:07:00Z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1286148</vt:lpwstr>
  </property>
  <property fmtid="{D5CDD505-2E9C-101B-9397-08002B2CF9AE}" pid="4" name="&lt;Model&gt;">
    <vt:lpwstr>PR_DEC_Agencies</vt:lpwstr>
  </property>
  <property fmtid="{D5CDD505-2E9C-101B-9397-08002B2CF9AE}" pid="5" name="&lt;ModelCod&gt;">
    <vt:lpwstr>\\eiciBRUpr1\pdocep$\DocEP\DOCS\General\PR\PR_BUD\DEC\PR_DEC_Agencies.dotx(13/10/2022 07:29:28)</vt:lpwstr>
  </property>
  <property fmtid="{D5CDD505-2E9C-101B-9397-08002B2CF9AE}" pid="6" name="&lt;ModelTra&gt;">
    <vt:lpwstr>\\eiciBRUpr1\pdocep$\DocEP\TRANSFIL\EN\PR_DEC_Agencies.EN(25/09/2023 08:37:04)</vt:lpwstr>
  </property>
  <property fmtid="{D5CDD505-2E9C-101B-9397-08002B2CF9AE}" pid="7" name="&lt;Type&gt;">
    <vt:lpwstr>PR</vt:lpwstr>
  </property>
  <property fmtid="{D5CDD505-2E9C-101B-9397-08002B2CF9AE}" pid="8" name="Created with">
    <vt:lpwstr>9.14.1 Build [20230315]</vt:lpwstr>
  </property>
  <property fmtid="{D5CDD505-2E9C-101B-9397-08002B2CF9AE}" pid="9" name="FooterPath">
    <vt:lpwstr>PR\1286148MT.docx</vt:lpwstr>
  </property>
  <property fmtid="{D5CDD505-2E9C-101B-9397-08002B2CF9AE}" pid="10" name="LastEdited with">
    <vt:lpwstr>9.16.1 Build [20230920]</vt:lpwstr>
  </property>
  <property fmtid="{D5CDD505-2E9C-101B-9397-08002B2CF9AE}" pid="11" name="PE number">
    <vt:lpwstr>753.521</vt:lpwstr>
  </property>
  <property fmtid="{D5CDD505-2E9C-101B-9397-08002B2CF9AE}" pid="12" name="SDLStudio">
    <vt:lpwstr/>
  </property>
  <property fmtid="{D5CDD505-2E9C-101B-9397-08002B2CF9AE}" pid="13" name="SendToEpades">
    <vt:lpwstr>OK - 2024/01/09 11:45</vt:lpwstr>
  </property>
  <property fmtid="{D5CDD505-2E9C-101B-9397-08002B2CF9AE}" pid="14" name="Bookout">
    <vt:lpwstr>OK - 2024/01/25 10:07</vt:lpwstr>
  </property>
</Properties>
</file>