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4749EC" w:rsidRPr="005160ED" w14:paraId="7C9E9E9A" w14:textId="77777777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8AEF07B" w14:textId="77777777" w:rsidR="004749EC" w:rsidRPr="005160ED" w:rsidRDefault="00A526A7" w:rsidP="00C85D0F">
            <w:pPr>
              <w:pStyle w:val="EPName"/>
            </w:pPr>
            <w:bookmarkStart w:id="0" w:name="_GoBack"/>
            <w:bookmarkEnd w:id="0"/>
            <w:r w:rsidRPr="005160ED">
              <w:t>Evropský parlament</w:t>
            </w:r>
          </w:p>
          <w:p w14:paraId="7A4C6BEE" w14:textId="77777777" w:rsidR="004749EC" w:rsidRPr="005160ED" w:rsidRDefault="00D17CE7" w:rsidP="00D17CE7">
            <w:pPr>
              <w:pStyle w:val="EPTerm"/>
            </w:pPr>
            <w:r w:rsidRPr="005160ED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60D59414" w14:textId="77777777" w:rsidR="004749EC" w:rsidRPr="005160ED" w:rsidRDefault="004749EC" w:rsidP="00C85D0F">
            <w:pPr>
              <w:pStyle w:val="EPLogo"/>
            </w:pPr>
            <w:r w:rsidRPr="005160ED">
              <w:rPr>
                <w:noProof/>
                <w:lang w:eastAsia="cs-CZ"/>
              </w:rPr>
              <w:drawing>
                <wp:inline distT="0" distB="0" distL="0" distR="0" wp14:anchorId="7DB46375" wp14:editId="0C58814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C3763E4" w14:textId="77777777" w:rsidR="00390068" w:rsidRPr="005160ED" w:rsidRDefault="00390068" w:rsidP="00390068">
      <w:pPr>
        <w:pStyle w:val="LineTop"/>
      </w:pPr>
    </w:p>
    <w:p w14:paraId="24001C0A" w14:textId="77777777" w:rsidR="00390068" w:rsidRPr="005160ED" w:rsidRDefault="00390068" w:rsidP="00390068">
      <w:pPr>
        <w:pStyle w:val="EPBody"/>
      </w:pPr>
      <w:r w:rsidRPr="005160ED">
        <w:rPr>
          <w:rStyle w:val="HideTWBExt"/>
        </w:rPr>
        <w:t>&lt;</w:t>
      </w:r>
      <w:r w:rsidRPr="005160ED">
        <w:rPr>
          <w:rStyle w:val="HideTWBExt"/>
          <w:i w:val="0"/>
        </w:rPr>
        <w:t>Commission</w:t>
      </w:r>
      <w:r w:rsidRPr="005160ED">
        <w:rPr>
          <w:rStyle w:val="HideTWBExt"/>
        </w:rPr>
        <w:t>&gt;</w:t>
      </w:r>
      <w:r w:rsidRPr="005160ED">
        <w:rPr>
          <w:rStyle w:val="HideTWBInt"/>
          <w:iCs/>
        </w:rPr>
        <w:t>{CONT}</w:t>
      </w:r>
      <w:r w:rsidRPr="005160ED">
        <w:t>Výbor pro rozpočtovou kontrolu</w:t>
      </w:r>
      <w:r w:rsidRPr="005160ED">
        <w:rPr>
          <w:rStyle w:val="HideTWBExt"/>
        </w:rPr>
        <w:t>&lt;/</w:t>
      </w:r>
      <w:r w:rsidRPr="005160ED">
        <w:rPr>
          <w:rStyle w:val="HideTWBExt"/>
          <w:i w:val="0"/>
        </w:rPr>
        <w:t>Commission</w:t>
      </w:r>
      <w:r w:rsidRPr="005160ED">
        <w:rPr>
          <w:rStyle w:val="HideTWBExt"/>
        </w:rPr>
        <w:t>&gt;</w:t>
      </w:r>
    </w:p>
    <w:p w14:paraId="33406900" w14:textId="77777777" w:rsidR="00390068" w:rsidRPr="005160ED" w:rsidRDefault="00390068" w:rsidP="00390068">
      <w:pPr>
        <w:pStyle w:val="LineBottom"/>
      </w:pPr>
    </w:p>
    <w:p w14:paraId="4908F5C6" w14:textId="77777777" w:rsidR="00C1531C" w:rsidRPr="005160ED" w:rsidRDefault="00C1531C">
      <w:pPr>
        <w:pStyle w:val="CoverReference"/>
      </w:pPr>
      <w:r w:rsidRPr="005160ED">
        <w:rPr>
          <w:rStyle w:val="HideTWBExt"/>
          <w:b w:val="0"/>
        </w:rPr>
        <w:t>&lt;RefProc&gt;</w:t>
      </w:r>
      <w:r w:rsidRPr="005160ED">
        <w:t>2023/2164</w:t>
      </w:r>
      <w:r w:rsidRPr="005160ED">
        <w:rPr>
          <w:rStyle w:val="HideTWBExt"/>
          <w:b w:val="0"/>
        </w:rPr>
        <w:t>&lt;/RefProc&gt;&lt;RefTypeProc&gt;</w:t>
      </w:r>
      <w:r w:rsidRPr="005160ED">
        <w:t>(DEC)</w:t>
      </w:r>
      <w:r w:rsidRPr="005160ED">
        <w:rPr>
          <w:rStyle w:val="HideTWBExt"/>
          <w:b w:val="0"/>
        </w:rPr>
        <w:t>&lt;/RefTypeProc&gt;</w:t>
      </w:r>
    </w:p>
    <w:p w14:paraId="77C97F6C" w14:textId="77777777" w:rsidR="00C1531C" w:rsidRPr="005160ED" w:rsidRDefault="00C1531C">
      <w:pPr>
        <w:pStyle w:val="CoverDate"/>
      </w:pPr>
      <w:r w:rsidRPr="005160ED">
        <w:rPr>
          <w:rStyle w:val="HideTWBExt"/>
        </w:rPr>
        <w:t>&lt;Date&gt;</w:t>
      </w:r>
      <w:r w:rsidRPr="005160ED">
        <w:rPr>
          <w:rStyle w:val="HideTWBInt"/>
        </w:rPr>
        <w:t>{15/01/2024}</w:t>
      </w:r>
      <w:r w:rsidRPr="005160ED">
        <w:t>15.1.2024</w:t>
      </w:r>
      <w:r w:rsidRPr="005160ED">
        <w:rPr>
          <w:rStyle w:val="HideTWBExt"/>
        </w:rPr>
        <w:t>&lt;/Date&gt;</w:t>
      </w:r>
    </w:p>
    <w:p w14:paraId="082A51EA" w14:textId="77777777" w:rsidR="00C1531C" w:rsidRPr="005160ED" w:rsidRDefault="00C1531C">
      <w:pPr>
        <w:pStyle w:val="CoverDocType24a"/>
      </w:pPr>
      <w:r w:rsidRPr="005160ED">
        <w:rPr>
          <w:rStyle w:val="HideTWBExt"/>
          <w:b w:val="0"/>
        </w:rPr>
        <w:t>&lt;TitreType&gt;</w:t>
      </w:r>
      <w:r w:rsidRPr="005160ED">
        <w:t>NÁVRH ZPRÁVY</w:t>
      </w:r>
      <w:r w:rsidRPr="005160ED">
        <w:rPr>
          <w:rStyle w:val="HideTWBExt"/>
          <w:b w:val="0"/>
        </w:rPr>
        <w:t>&lt;/TitreType&gt;</w:t>
      </w:r>
    </w:p>
    <w:p w14:paraId="5A954543" w14:textId="77777777" w:rsidR="00C1531C" w:rsidRPr="005160ED" w:rsidRDefault="00C1531C">
      <w:pPr>
        <w:pStyle w:val="CoverNormal"/>
      </w:pPr>
      <w:r w:rsidRPr="005160ED">
        <w:rPr>
          <w:rStyle w:val="HideTWBExt"/>
        </w:rPr>
        <w:t>&lt;Titre&gt;</w:t>
      </w:r>
      <w:r w:rsidRPr="005160ED">
        <w:t>o udělení absolutoria za plnění rozpočtu Agentury Evropské unie pro otázky azylu (do 19. 1. 2022 Evropský podpůrný úřad pro otázky azylu) na rozpočtový rok 2022</w:t>
      </w:r>
      <w:r w:rsidRPr="005160ED">
        <w:rPr>
          <w:rStyle w:val="HideTWBExt"/>
        </w:rPr>
        <w:t>&lt;/Titre&gt;</w:t>
      </w:r>
    </w:p>
    <w:p w14:paraId="2B8F1194" w14:textId="77777777" w:rsidR="00C1531C" w:rsidRPr="005160ED" w:rsidRDefault="005C689E">
      <w:pPr>
        <w:pStyle w:val="CoverNormal24a"/>
      </w:pPr>
      <w:r w:rsidRPr="005160ED">
        <w:rPr>
          <w:rStyle w:val="HideTWBExt"/>
        </w:rPr>
        <w:t>&lt;DocRef&gt;</w:t>
      </w:r>
      <w:r w:rsidRPr="005160ED">
        <w:t>(2023/2164(DEC))</w:t>
      </w:r>
      <w:r w:rsidRPr="005160ED">
        <w:rPr>
          <w:rStyle w:val="HideTWBExt"/>
        </w:rPr>
        <w:t>&lt;/DocRef&gt;</w:t>
      </w:r>
    </w:p>
    <w:p w14:paraId="2AA2265F" w14:textId="77777777" w:rsidR="00C1531C" w:rsidRPr="005160ED" w:rsidRDefault="00C1531C">
      <w:pPr>
        <w:pStyle w:val="CoverNormal24a"/>
      </w:pPr>
      <w:r w:rsidRPr="005160ED">
        <w:rPr>
          <w:rStyle w:val="HideTWBExt"/>
        </w:rPr>
        <w:t>&lt;Commission&gt;</w:t>
      </w:r>
      <w:r w:rsidRPr="005160ED">
        <w:rPr>
          <w:rStyle w:val="HideTWBInt"/>
        </w:rPr>
        <w:t>{CONT}</w:t>
      </w:r>
      <w:r w:rsidRPr="005160ED">
        <w:t>Výbor pro rozpočtovou kontrolu</w:t>
      </w:r>
      <w:r w:rsidRPr="005160ED">
        <w:rPr>
          <w:rStyle w:val="HideTWBExt"/>
        </w:rPr>
        <w:t>&lt;/Commission&gt;</w:t>
      </w:r>
    </w:p>
    <w:p w14:paraId="29A6C88E" w14:textId="77777777" w:rsidR="00C1531C" w:rsidRPr="005160ED" w:rsidRDefault="00A526A7">
      <w:pPr>
        <w:pStyle w:val="CoverNormal24a"/>
      </w:pPr>
      <w:r w:rsidRPr="005160ED">
        <w:t xml:space="preserve">Zpravodaj: </w:t>
      </w:r>
      <w:r w:rsidRPr="005160ED">
        <w:rPr>
          <w:rStyle w:val="HideTWBExt"/>
        </w:rPr>
        <w:t>&lt;Depute&gt;</w:t>
      </w:r>
      <w:r w:rsidRPr="005160ED">
        <w:t>Petri Sarvamaa</w:t>
      </w:r>
      <w:r w:rsidRPr="005160ED">
        <w:rPr>
          <w:rStyle w:val="HideTWBExt"/>
        </w:rPr>
        <w:t>&lt;/Depute&gt;</w:t>
      </w:r>
    </w:p>
    <w:p w14:paraId="7E68B258" w14:textId="77777777" w:rsidR="00320A9A" w:rsidRPr="005160ED" w:rsidRDefault="00320A9A" w:rsidP="00320A9A">
      <w:pPr>
        <w:pStyle w:val="CoverNormal"/>
      </w:pPr>
    </w:p>
    <w:p w14:paraId="118ED41B" w14:textId="77777777" w:rsidR="00C1531C" w:rsidRPr="005160ED" w:rsidRDefault="00C1531C" w:rsidP="00D46466">
      <w:pPr>
        <w:widowControl/>
        <w:tabs>
          <w:tab w:val="center" w:pos="4677"/>
        </w:tabs>
      </w:pPr>
      <w:r w:rsidRPr="005160ED">
        <w:br w:type="page"/>
      </w:r>
      <w:r w:rsidRPr="005160ED">
        <w:lastRenderedPageBreak/>
        <w:t>PR_DEC_Agencies</w:t>
      </w:r>
    </w:p>
    <w:p w14:paraId="2F6BC648" w14:textId="77777777" w:rsidR="00C1531C" w:rsidRPr="005160ED" w:rsidRDefault="00A526A7">
      <w:pPr>
        <w:pStyle w:val="TOCHeading"/>
      </w:pPr>
      <w:r w:rsidRPr="005160ED">
        <w:t>OBSAH</w:t>
      </w:r>
    </w:p>
    <w:p w14:paraId="54A29404" w14:textId="77777777" w:rsidR="00837B2B" w:rsidRPr="005160ED" w:rsidRDefault="00A526A7" w:rsidP="00837B2B">
      <w:pPr>
        <w:pStyle w:val="TOCPage"/>
      </w:pPr>
      <w:r w:rsidRPr="005160ED">
        <w:t>Strana</w:t>
      </w:r>
    </w:p>
    <w:p w14:paraId="5DF0F4F5" w14:textId="53CFAE77" w:rsidR="00C13C80" w:rsidRDefault="00837B2B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sz w:val="22"/>
          <w:szCs w:val="22"/>
          <w:lang w:eastAsia="cs-CZ"/>
        </w:rPr>
      </w:pPr>
      <w:r w:rsidRPr="005160ED">
        <w:rPr>
          <w:b/>
        </w:rPr>
        <w:fldChar w:fldCharType="begin"/>
      </w:r>
      <w:r w:rsidRPr="005160ED">
        <w:rPr>
          <w:b/>
        </w:rPr>
        <w:instrText xml:space="preserve"> TOC \t "PageHeading</w:instrText>
      </w:r>
      <w:r w:rsidR="004F0305" w:rsidRPr="005160ED">
        <w:rPr>
          <w:b/>
        </w:rPr>
        <w:instrText>;</w:instrText>
      </w:r>
      <w:r w:rsidRPr="005160ED">
        <w:rPr>
          <w:b/>
        </w:rPr>
        <w:instrText xml:space="preserve">1" </w:instrText>
      </w:r>
      <w:r w:rsidRPr="005160ED">
        <w:rPr>
          <w:b/>
        </w:rPr>
        <w:fldChar w:fldCharType="separate"/>
      </w:r>
      <w:r w:rsidR="00C13C80">
        <w:t>1. NÁVRH ROZHODNUTÍ EVROPSKÉHO PARLAMENTU</w:t>
      </w:r>
      <w:r w:rsidR="00C13C80">
        <w:tab/>
      </w:r>
      <w:r w:rsidR="00C13C80">
        <w:fldChar w:fldCharType="begin"/>
      </w:r>
      <w:r w:rsidR="00C13C80">
        <w:instrText xml:space="preserve"> PAGEREF _Toc157405675 \h </w:instrText>
      </w:r>
      <w:r w:rsidR="00C13C80">
        <w:fldChar w:fldCharType="separate"/>
      </w:r>
      <w:r w:rsidR="00C13C80">
        <w:t>3</w:t>
      </w:r>
      <w:r w:rsidR="00C13C80">
        <w:fldChar w:fldCharType="end"/>
      </w:r>
    </w:p>
    <w:p w14:paraId="7FF24E2A" w14:textId="7A74CA03" w:rsidR="00C13C80" w:rsidRDefault="00C13C80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sz w:val="22"/>
          <w:szCs w:val="22"/>
          <w:lang w:eastAsia="cs-CZ"/>
        </w:rPr>
      </w:pPr>
      <w:r>
        <w:t>2. NÁVRH ROZHODNUTÍ EVROPSKÉHO PARLAMENTU</w:t>
      </w:r>
      <w:r>
        <w:tab/>
      </w:r>
      <w:r>
        <w:fldChar w:fldCharType="begin"/>
      </w:r>
      <w:r>
        <w:instrText xml:space="preserve"> PAGEREF _Toc157405676 \h </w:instrText>
      </w:r>
      <w:r>
        <w:fldChar w:fldCharType="separate"/>
      </w:r>
      <w:r>
        <w:t>5</w:t>
      </w:r>
      <w:r>
        <w:fldChar w:fldCharType="end"/>
      </w:r>
    </w:p>
    <w:p w14:paraId="0DADA86F" w14:textId="038268C1" w:rsidR="00C13C80" w:rsidRDefault="00C13C80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sz w:val="22"/>
          <w:szCs w:val="22"/>
          <w:lang w:eastAsia="cs-CZ"/>
        </w:rPr>
      </w:pPr>
      <w:r>
        <w:t>3. NÁVRH USNESENÍ EVROPSKÉHO PARLAMENTU</w:t>
      </w:r>
      <w:r>
        <w:tab/>
      </w:r>
      <w:r>
        <w:fldChar w:fldCharType="begin"/>
      </w:r>
      <w:r>
        <w:instrText xml:space="preserve"> PAGEREF _Toc157405677 \h </w:instrText>
      </w:r>
      <w:r>
        <w:fldChar w:fldCharType="separate"/>
      </w:r>
      <w:r>
        <w:t>7</w:t>
      </w:r>
      <w:r>
        <w:fldChar w:fldCharType="end"/>
      </w:r>
    </w:p>
    <w:p w14:paraId="7C21CFD7" w14:textId="65508AFD" w:rsidR="00C1531C" w:rsidRPr="005160ED" w:rsidRDefault="00837B2B" w:rsidP="003F229D">
      <w:r w:rsidRPr="005160ED">
        <w:rPr>
          <w:b/>
        </w:rPr>
        <w:fldChar w:fldCharType="end"/>
      </w:r>
    </w:p>
    <w:p w14:paraId="382F708E" w14:textId="77777777" w:rsidR="00C1531C" w:rsidRPr="005160ED" w:rsidRDefault="00C1531C" w:rsidP="004D13BA">
      <w:pPr>
        <w:pStyle w:val="PageHeading"/>
      </w:pPr>
      <w:r w:rsidRPr="005160ED">
        <w:br w:type="page"/>
      </w:r>
      <w:bookmarkStart w:id="1" w:name="_Toc26759888"/>
      <w:bookmarkStart w:id="2" w:name="_Toc86200285"/>
      <w:bookmarkStart w:id="3" w:name="_Toc157405675"/>
      <w:r w:rsidRPr="005160ED">
        <w:lastRenderedPageBreak/>
        <w:t>1. NÁVRH ROZHODNUTÍ EVROPSKÉHO PARLAMENTU</w:t>
      </w:r>
      <w:bookmarkEnd w:id="3"/>
    </w:p>
    <w:p w14:paraId="0EFDBE66" w14:textId="77777777" w:rsidR="00C1531C" w:rsidRPr="005160ED" w:rsidRDefault="00A526A7">
      <w:pPr>
        <w:pStyle w:val="NormalBold"/>
      </w:pPr>
      <w:r w:rsidRPr="005160ED">
        <w:t>o udělení absolutoria za plnění rozpočtu Agentury Evropské unie pro otázky azylu (do 19. 1. 2022 Evropský podpůrný úřad pro otázky azylu) na rozpočtový rok 2022</w:t>
      </w:r>
    </w:p>
    <w:p w14:paraId="377DF51E" w14:textId="77777777" w:rsidR="00C1531C" w:rsidRPr="005160ED" w:rsidRDefault="00A526A7" w:rsidP="002421F7">
      <w:pPr>
        <w:pStyle w:val="NormalBold"/>
      </w:pPr>
      <w:r w:rsidRPr="005160ED">
        <w:t>(2023/2164(DEC))</w:t>
      </w:r>
    </w:p>
    <w:bookmarkEnd w:id="1"/>
    <w:bookmarkEnd w:id="2"/>
    <w:p w14:paraId="76316439" w14:textId="77777777" w:rsidR="00267A91" w:rsidRPr="005160ED" w:rsidRDefault="00267A91" w:rsidP="00267A91">
      <w:pPr>
        <w:pStyle w:val="EPComma"/>
      </w:pPr>
      <w:r w:rsidRPr="005160ED">
        <w:rPr>
          <w:i/>
          <w:iCs/>
        </w:rPr>
        <w:t>Evropský parlament</w:t>
      </w:r>
      <w:r w:rsidRPr="005160ED">
        <w:t>,</w:t>
      </w:r>
    </w:p>
    <w:p w14:paraId="5FDEE73A" w14:textId="77777777" w:rsidR="00267A91" w:rsidRPr="005160ED" w:rsidRDefault="00267A91" w:rsidP="00267A91">
      <w:pPr>
        <w:pStyle w:val="NormalHanging12a"/>
      </w:pPr>
      <w:r w:rsidRPr="005160ED">
        <w:t>–</w:t>
      </w:r>
      <w:r w:rsidRPr="005160ED">
        <w:tab/>
        <w:t>s ohledem na konečnou roční účetní závěrku Agentury Evropské unie pro otázky azylu za rozpočtový rok 2022,</w:t>
      </w:r>
    </w:p>
    <w:p w14:paraId="0559741D" w14:textId="77777777" w:rsidR="00267A91" w:rsidRPr="005160ED" w:rsidRDefault="00267A91" w:rsidP="00267A91">
      <w:pPr>
        <w:pStyle w:val="NormalHanging12a"/>
      </w:pPr>
      <w:r w:rsidRPr="005160ED">
        <w:t>–</w:t>
      </w:r>
      <w:r w:rsidRPr="005160ED">
        <w:tab/>
        <w:t>s ohledem na výroční zprávu Účetního dvora o agenturách EU za rozpočtový rok 2022 spolu s odpověďmi agentur</w:t>
      </w:r>
      <w:r w:rsidRPr="005160ED">
        <w:rPr>
          <w:rStyle w:val="FootnoteReference"/>
        </w:rPr>
        <w:footnoteReference w:id="1"/>
      </w:r>
      <w:r w:rsidRPr="005160ED">
        <w:t>,</w:t>
      </w:r>
    </w:p>
    <w:p w14:paraId="53C8406B" w14:textId="77777777" w:rsidR="00267A91" w:rsidRPr="005160ED" w:rsidRDefault="00267A91" w:rsidP="00267A91">
      <w:pPr>
        <w:pStyle w:val="NormalHanging12a"/>
      </w:pPr>
      <w:r w:rsidRPr="005160ED">
        <w:t>–</w:t>
      </w:r>
      <w:r w:rsidRPr="005160ED">
        <w:tab/>
        <w:t>s ohledem na prohlášení o věrohodnosti</w:t>
      </w:r>
      <w:r w:rsidRPr="005160ED">
        <w:rPr>
          <w:rStyle w:val="FootnoteReference"/>
        </w:rPr>
        <w:footnoteReference w:id="2"/>
      </w:r>
      <w:r w:rsidRPr="005160ED">
        <w:t xml:space="preserve"> účetnictví a o legalitě a správnosti uskutečněných operací, které předložil Účetní dvůr za rozpočtový rok 2022 podle článku 287 Smlouvy o fungování Evropské unie,</w:t>
      </w:r>
    </w:p>
    <w:p w14:paraId="445C3870" w14:textId="77777777" w:rsidR="00267A91" w:rsidRPr="005160ED" w:rsidRDefault="00267A91" w:rsidP="00267A91">
      <w:pPr>
        <w:pStyle w:val="NormalHanging12a"/>
      </w:pPr>
      <w:r w:rsidRPr="005160ED">
        <w:t>–</w:t>
      </w:r>
      <w:r w:rsidRPr="005160ED">
        <w:tab/>
        <w:t>s ohledem na doporučení Rady ze dne … února 2024 o udělení absolutoria agentuře za plnění rozpočtu na rozpočtový rok 2022 (00000/2024 – C9</w:t>
      </w:r>
      <w:r w:rsidRPr="005160ED">
        <w:noBreakHyphen/>
        <w:t>0000/2024),</w:t>
      </w:r>
    </w:p>
    <w:p w14:paraId="20EE0C49" w14:textId="77777777" w:rsidR="00267A91" w:rsidRPr="005160ED" w:rsidRDefault="00267A91" w:rsidP="00267A91">
      <w:pPr>
        <w:pStyle w:val="NormalHanging12a"/>
      </w:pPr>
      <w:r w:rsidRPr="005160ED">
        <w:t>–</w:t>
      </w:r>
      <w:r w:rsidRPr="005160ED">
        <w:tab/>
        <w:t>s ohledem na článek 319 Smlouvy o fungování Evropské unie,</w:t>
      </w:r>
    </w:p>
    <w:p w14:paraId="675A2010" w14:textId="77777777" w:rsidR="00267A91" w:rsidRPr="005160ED" w:rsidRDefault="00267A91" w:rsidP="00267A91">
      <w:pPr>
        <w:pStyle w:val="NormalHanging12a"/>
      </w:pPr>
      <w:r w:rsidRPr="005160ED">
        <w:t>–</w:t>
      </w:r>
      <w:r w:rsidRPr="005160ED">
        <w:tab/>
        <w:t>s ohledem na nařízení Evropského parlamentu a Rady (EU, Euratom) 2018/1046 ze dne 18. července 2018, kterým se stanoví finanční pravidla pro souhrnný rozpočet Unie, mění nařízení (EU) č. 1296/2013, (EU) č. 1301/2013, (EU) č. 1303/2013, (EU) č. 1304/2013, (EU) č. 1309/2013, (EU) č. 1316/2013, (EU) č. 223/2014, (EU) č. 283/2014 a rozhodnutí č. 541/2014/ EU a zrušuje nařízení (EU, Euratom) č. 966/2012</w:t>
      </w:r>
      <w:r w:rsidRPr="005160ED">
        <w:rPr>
          <w:rStyle w:val="FootnoteReference"/>
        </w:rPr>
        <w:footnoteReference w:id="3"/>
      </w:r>
      <w:r w:rsidRPr="005160ED">
        <w:t>, a zejména článek 70 tohoto nařízení,</w:t>
      </w:r>
    </w:p>
    <w:p w14:paraId="078CF3F6" w14:textId="77777777" w:rsidR="00267A91" w:rsidRPr="005160ED" w:rsidRDefault="00267A91" w:rsidP="00267A91">
      <w:pPr>
        <w:pStyle w:val="NormalHanging12a"/>
      </w:pPr>
      <w:r w:rsidRPr="005160ED">
        <w:t>–</w:t>
      </w:r>
      <w:r w:rsidRPr="005160ED">
        <w:tab/>
        <w:t>s ohledem na nařízení Evropského parlamentu a Rady (ES) č. 439/2010 ze dne 19. května 2010 o zřízení Evropského podpůrného úřadu pro otázky azylu</w:t>
      </w:r>
      <w:r w:rsidRPr="005160ED">
        <w:rPr>
          <w:rStyle w:val="FootnoteReference"/>
        </w:rPr>
        <w:footnoteReference w:id="4"/>
      </w:r>
      <w:r w:rsidRPr="005160ED">
        <w:t>, a zejména na článek 36 tohoto nařízení,</w:t>
      </w:r>
    </w:p>
    <w:p w14:paraId="4577D84B" w14:textId="77777777" w:rsidR="00267A91" w:rsidRPr="005160ED" w:rsidRDefault="00267A91" w:rsidP="00267A91">
      <w:pPr>
        <w:pStyle w:val="NormalHanging12a"/>
      </w:pPr>
      <w:r w:rsidRPr="005160ED">
        <w:t>–</w:t>
      </w:r>
      <w:r w:rsidRPr="005160ED">
        <w:tab/>
        <w:t>s ohledem na nařízení Evropského parlamentu a Rady (EU) 2021/2303 ze dne 15. prosince 2021 o zřízení Agentury Evropské unie pro otázky azylu a o zrušení nařízení (EU) č. 439/2010</w:t>
      </w:r>
      <w:r w:rsidRPr="005160ED">
        <w:rPr>
          <w:rStyle w:val="FootnoteReference"/>
        </w:rPr>
        <w:footnoteReference w:id="5"/>
      </w:r>
      <w:r w:rsidRPr="005160ED">
        <w:t>, a zejména na článek 55 tohoto nařízení,</w:t>
      </w:r>
    </w:p>
    <w:p w14:paraId="21B18A5E" w14:textId="77777777" w:rsidR="00267A91" w:rsidRPr="005160ED" w:rsidRDefault="00267A91" w:rsidP="00267A91">
      <w:pPr>
        <w:pStyle w:val="NormalHanging12a"/>
      </w:pPr>
      <w:r w:rsidRPr="005160ED">
        <w:t>–</w:t>
      </w:r>
      <w:r w:rsidRPr="005160ED">
        <w:tab/>
        <w:t>s ohledem na nařízení Komise v přenesené pravomoci (EU) 2019/715 ze dne 18. prosince 2018 o rámcovém finančním nařízení pro subjekty zřízené podle SFEU a Smlouvy o Euratomu a uvedené v článku 70 nařízení Evropského parlamentu a Rady (EU, Euratom) 2018/1046</w:t>
      </w:r>
      <w:r w:rsidRPr="005160ED">
        <w:rPr>
          <w:rStyle w:val="FootnoteReference"/>
        </w:rPr>
        <w:footnoteReference w:id="6"/>
      </w:r>
      <w:r w:rsidRPr="005160ED">
        <w:t>, a zejména na článek 105 tohoto nařízení,</w:t>
      </w:r>
    </w:p>
    <w:p w14:paraId="3315F8D0" w14:textId="77777777" w:rsidR="00267A91" w:rsidRPr="005160ED" w:rsidRDefault="00267A91" w:rsidP="00267A91">
      <w:pPr>
        <w:pStyle w:val="NormalHanging12a"/>
      </w:pPr>
      <w:r w:rsidRPr="005160ED">
        <w:lastRenderedPageBreak/>
        <w:t>–</w:t>
      </w:r>
      <w:r w:rsidRPr="005160ED">
        <w:tab/>
        <w:t>s ohledem na článek 100 a přílohu V jednacího řádu,</w:t>
      </w:r>
    </w:p>
    <w:p w14:paraId="6CF71408" w14:textId="77777777" w:rsidR="00267A91" w:rsidRPr="005160ED" w:rsidRDefault="00267A91" w:rsidP="00267A91">
      <w:pPr>
        <w:pStyle w:val="NormalHanging12a"/>
      </w:pPr>
      <w:r w:rsidRPr="005160ED">
        <w:t>–</w:t>
      </w:r>
      <w:r w:rsidRPr="005160ED">
        <w:tab/>
        <w:t>s ohledem na stanovisko Výboru pro občanské svobody, spravedlnost a vnitřní věci,</w:t>
      </w:r>
    </w:p>
    <w:p w14:paraId="5DC87A41" w14:textId="77777777" w:rsidR="00267A91" w:rsidRPr="005160ED" w:rsidRDefault="00267A91" w:rsidP="00267A91">
      <w:pPr>
        <w:pStyle w:val="NormalHanging12a"/>
      </w:pPr>
      <w:r w:rsidRPr="005160ED">
        <w:t>–</w:t>
      </w:r>
      <w:r w:rsidRPr="005160ED">
        <w:tab/>
        <w:t>s ohledem na zprávu Výboru pro rozpočtovou kontrolu (A9</w:t>
      </w:r>
      <w:r w:rsidRPr="005160ED">
        <w:noBreakHyphen/>
        <w:t>0000/2024),</w:t>
      </w:r>
    </w:p>
    <w:p w14:paraId="6F06F97C" w14:textId="77777777" w:rsidR="00267A91" w:rsidRPr="005160ED" w:rsidRDefault="00267A91" w:rsidP="00267A91">
      <w:pPr>
        <w:pStyle w:val="NormalHanging12a"/>
      </w:pPr>
      <w:r w:rsidRPr="005160ED">
        <w:t>1.</w:t>
      </w:r>
      <w:r w:rsidRPr="005160ED">
        <w:tab/>
        <w:t>uděluje absolutorium výkonné ředitelce Agentury Evropské unie pro otázky azylu za plnění rozpočtu agentury na rozpočtový rok 2022 / odkládá rozhodnutí o udělení absolutoria výkonné ředitelce Agentury Evropské unie pro otázky azylu za plnění rozpočtu agentury na rozpočtový rok 2022;</w:t>
      </w:r>
    </w:p>
    <w:p w14:paraId="799DFD22" w14:textId="77777777" w:rsidR="00267A91" w:rsidRPr="005160ED" w:rsidRDefault="00267A91" w:rsidP="00267A91">
      <w:pPr>
        <w:pStyle w:val="NormalHanging12a"/>
      </w:pPr>
      <w:r w:rsidRPr="005160ED">
        <w:t>2.</w:t>
      </w:r>
      <w:r w:rsidRPr="005160ED">
        <w:tab/>
        <w:t>předkládá své připomínky v níže uvedeném usnesení;</w:t>
      </w:r>
    </w:p>
    <w:p w14:paraId="3D05018E" w14:textId="77777777" w:rsidR="00267A91" w:rsidRPr="005160ED" w:rsidRDefault="00267A91" w:rsidP="00267A91">
      <w:pPr>
        <w:pStyle w:val="NormalHanging12a"/>
      </w:pPr>
      <w:r w:rsidRPr="005160ED">
        <w:t>3.</w:t>
      </w:r>
      <w:r w:rsidRPr="005160ED">
        <w:tab/>
        <w:t>pověřuje svou předsedkyni, aby předala toto rozhodnutí a usnesení, které je jeho nedílnou součástí, výkonné ředitelce Agentury Evropské unie pro otázky azylu, Radě, Komisi a Účetnímu dvoru a aby zajistila jejich zveřejnění v </w:t>
      </w:r>
      <w:r w:rsidRPr="005160ED">
        <w:rPr>
          <w:i/>
        </w:rPr>
        <w:t>Úředním věstníku Evropské unie</w:t>
      </w:r>
      <w:r w:rsidRPr="005160ED">
        <w:t xml:space="preserve"> (řada L).</w:t>
      </w:r>
    </w:p>
    <w:p w14:paraId="04197656" w14:textId="77777777" w:rsidR="00267A91" w:rsidRPr="005160ED" w:rsidRDefault="00267A91" w:rsidP="00267A91"/>
    <w:p w14:paraId="5FDD7B3C" w14:textId="77777777" w:rsidR="00267A91" w:rsidRPr="005160ED" w:rsidRDefault="00267A91" w:rsidP="00267A91">
      <w:pPr>
        <w:widowControl/>
        <w:rPr>
          <w:rFonts w:ascii="Arial" w:hAnsi="Arial" w:cs="Arial"/>
          <w:b/>
        </w:rPr>
        <w:sectPr w:rsidR="00267A91" w:rsidRPr="005160ED" w:rsidSect="003F6D7C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footnotePr>
            <w:numRestart w:val="eachSect"/>
          </w:footnotePr>
          <w:endnotePr>
            <w:numFmt w:val="decimal"/>
          </w:endnotePr>
          <w:pgSz w:w="11906" w:h="16838"/>
          <w:pgMar w:top="1134" w:right="1418" w:bottom="1418" w:left="1418" w:header="1134" w:footer="567" w:gutter="0"/>
          <w:cols w:space="720"/>
          <w:titlePg/>
        </w:sectPr>
      </w:pPr>
    </w:p>
    <w:p w14:paraId="4ECD9D43" w14:textId="77777777" w:rsidR="00267A91" w:rsidRPr="005160ED" w:rsidRDefault="00267A91" w:rsidP="00267A91">
      <w:pPr>
        <w:pStyle w:val="PageHeading"/>
      </w:pPr>
      <w:bookmarkStart w:id="4" w:name="_Toc146792446"/>
      <w:bookmarkStart w:id="5" w:name="_Toc157405676"/>
      <w:r w:rsidRPr="005160ED">
        <w:t>2. NÁVRH ROZHODNUTÍ EVROPSKÉHO PARLAMENTU</w:t>
      </w:r>
      <w:bookmarkEnd w:id="4"/>
      <w:bookmarkEnd w:id="5"/>
    </w:p>
    <w:p w14:paraId="411705D5" w14:textId="77777777" w:rsidR="00267A91" w:rsidRPr="005160ED" w:rsidRDefault="00267A91" w:rsidP="00267A91">
      <w:pPr>
        <w:pStyle w:val="NormalBold"/>
      </w:pPr>
      <w:r w:rsidRPr="005160ED">
        <w:t>o uzavření účtů Agentury Evropské unie pro otázky azylu (do 19. 1. 2022 Evropský podpůrný úřad pro otázky azylu) na rozpočtový rok 2022</w:t>
      </w:r>
    </w:p>
    <w:p w14:paraId="2B4784D6" w14:textId="77777777" w:rsidR="00267A91" w:rsidRPr="005160ED" w:rsidRDefault="00267A91" w:rsidP="00267A91">
      <w:pPr>
        <w:pStyle w:val="NormalBold"/>
      </w:pPr>
      <w:r w:rsidRPr="005160ED">
        <w:t>(2023/2164(DEC))</w:t>
      </w:r>
    </w:p>
    <w:p w14:paraId="71BFD204" w14:textId="77777777" w:rsidR="00267A91" w:rsidRPr="005160ED" w:rsidRDefault="00267A91" w:rsidP="00267A91">
      <w:pPr>
        <w:pStyle w:val="EPComma"/>
      </w:pPr>
      <w:r w:rsidRPr="005160ED">
        <w:rPr>
          <w:i/>
          <w:iCs/>
        </w:rPr>
        <w:t>Evropský parlament</w:t>
      </w:r>
      <w:r w:rsidRPr="005160ED">
        <w:t>,</w:t>
      </w:r>
    </w:p>
    <w:p w14:paraId="66E8E035" w14:textId="77777777" w:rsidR="00267A91" w:rsidRPr="005160ED" w:rsidRDefault="00267A91" w:rsidP="00267A91">
      <w:pPr>
        <w:pStyle w:val="NormalHanging12a"/>
      </w:pPr>
      <w:r w:rsidRPr="005160ED">
        <w:t>–</w:t>
      </w:r>
      <w:r w:rsidRPr="005160ED">
        <w:tab/>
        <w:t>s ohledem na konečnou roční účetní závěrku Agentury Evropské unie pro otázky azylu za rozpočtový rok 2022,</w:t>
      </w:r>
    </w:p>
    <w:p w14:paraId="0EEE3BBB" w14:textId="77777777" w:rsidR="00267A91" w:rsidRPr="005160ED" w:rsidRDefault="00267A91" w:rsidP="00267A91">
      <w:pPr>
        <w:pStyle w:val="NormalHanging12a"/>
      </w:pPr>
      <w:r w:rsidRPr="005160ED">
        <w:t>–</w:t>
      </w:r>
      <w:r w:rsidRPr="005160ED">
        <w:tab/>
        <w:t>s ohledem na výroční zprávu Účetního dvora o agenturách EU za rozpočtový rok 2022 spolu s odpověďmi agentur</w:t>
      </w:r>
      <w:r w:rsidRPr="005160ED">
        <w:rPr>
          <w:rStyle w:val="FootnoteReference"/>
        </w:rPr>
        <w:footnoteReference w:id="7"/>
      </w:r>
      <w:r w:rsidRPr="005160ED">
        <w:t>,</w:t>
      </w:r>
    </w:p>
    <w:p w14:paraId="64762CAE" w14:textId="77777777" w:rsidR="00267A91" w:rsidRPr="005160ED" w:rsidRDefault="00267A91" w:rsidP="00267A91">
      <w:pPr>
        <w:pStyle w:val="NormalHanging12a"/>
      </w:pPr>
      <w:r w:rsidRPr="005160ED">
        <w:t>–</w:t>
      </w:r>
      <w:r w:rsidRPr="005160ED">
        <w:tab/>
        <w:t>s ohledem na prohlášení o věrohodnosti</w:t>
      </w:r>
      <w:r w:rsidRPr="005160ED">
        <w:rPr>
          <w:rStyle w:val="FootnoteReference"/>
        </w:rPr>
        <w:footnoteReference w:id="8"/>
      </w:r>
      <w:r w:rsidRPr="005160ED">
        <w:t xml:space="preserve"> účetnictví a o legalitě a správnosti uskutečněných operací, které předložil Účetní dvůr za rozpočtový rok 2022 podle článku 287 Smlouvy o fungování Evropské unie,</w:t>
      </w:r>
    </w:p>
    <w:p w14:paraId="249CEE72" w14:textId="77777777" w:rsidR="00267A91" w:rsidRPr="005160ED" w:rsidRDefault="00267A91" w:rsidP="00267A91">
      <w:pPr>
        <w:pStyle w:val="NormalHanging12a"/>
      </w:pPr>
      <w:r w:rsidRPr="005160ED">
        <w:t>–</w:t>
      </w:r>
      <w:r w:rsidRPr="005160ED">
        <w:tab/>
        <w:t>s ohledem na doporučení Rady ze dne … února 2024 o udělení absolutoria agentuře za plnění rozpočtu na rozpočtový rok 2022 (00000/2024 – C9</w:t>
      </w:r>
      <w:r w:rsidRPr="005160ED">
        <w:noBreakHyphen/>
        <w:t>0000/2024),</w:t>
      </w:r>
    </w:p>
    <w:p w14:paraId="33746016" w14:textId="77777777" w:rsidR="00267A91" w:rsidRPr="005160ED" w:rsidRDefault="00267A91" w:rsidP="00267A91">
      <w:pPr>
        <w:pStyle w:val="NormalHanging12a"/>
      </w:pPr>
      <w:r w:rsidRPr="005160ED">
        <w:t>–</w:t>
      </w:r>
      <w:r w:rsidRPr="005160ED">
        <w:tab/>
        <w:t>s ohledem na článek 319 Smlouvy o fungování Evropské unie,</w:t>
      </w:r>
    </w:p>
    <w:p w14:paraId="1296E936" w14:textId="77777777" w:rsidR="00267A91" w:rsidRPr="005160ED" w:rsidRDefault="00267A91" w:rsidP="00267A91">
      <w:pPr>
        <w:pStyle w:val="NormalHanging12a"/>
      </w:pPr>
      <w:r w:rsidRPr="005160ED">
        <w:t>–</w:t>
      </w:r>
      <w:r w:rsidRPr="005160ED">
        <w:tab/>
        <w:t>s ohledem na nařízení Evropského parlamentu a Rady (EU, Euratom) 2018/1046 ze dne 18. července 2018, kterým se stanoví finanční pravidla pro souhrnný rozpočet Unie, mění nařízení (EU) č. 1296/2013, (EU) č. 1301/2013, (EU) č. 1303/2013, (EU) č. 1304/2013, (EU) č. 1309/2013, (EU) č. 1316/2013, (EU) č. 223/2014, (EU) č. 283/2014 a rozhodnutí č. 541/2014/ EU a zrušuje nařízení (EU, Euratom) č. 966/2012</w:t>
      </w:r>
      <w:r w:rsidRPr="005160ED">
        <w:rPr>
          <w:rStyle w:val="FootnoteReference"/>
        </w:rPr>
        <w:footnoteReference w:id="9"/>
      </w:r>
      <w:r w:rsidRPr="005160ED">
        <w:t>, a zejména článek 70 tohoto nařízení,</w:t>
      </w:r>
    </w:p>
    <w:p w14:paraId="427D7F74" w14:textId="77777777" w:rsidR="00267A91" w:rsidRPr="005160ED" w:rsidRDefault="00267A91" w:rsidP="00267A91">
      <w:pPr>
        <w:pStyle w:val="NormalHanging12a"/>
      </w:pPr>
      <w:r w:rsidRPr="005160ED">
        <w:t>–</w:t>
      </w:r>
      <w:r w:rsidRPr="005160ED">
        <w:tab/>
        <w:t>s ohledem na nařízení Evropského parlamentu a Rady (ES) č. 439/2010 ze dne 19. května 2010 o zřízení Evropského podpůrného úřadu pro otázky azylu</w:t>
      </w:r>
      <w:r w:rsidRPr="005160ED">
        <w:rPr>
          <w:rStyle w:val="FootnoteReference"/>
        </w:rPr>
        <w:footnoteReference w:id="10"/>
      </w:r>
      <w:r w:rsidRPr="005160ED">
        <w:t>, a zejména na článek 36 tohoto nařízení,</w:t>
      </w:r>
    </w:p>
    <w:p w14:paraId="638F5FE0" w14:textId="77777777" w:rsidR="00267A91" w:rsidRPr="005160ED" w:rsidRDefault="00267A91" w:rsidP="00267A91">
      <w:pPr>
        <w:pStyle w:val="NormalHanging12a"/>
      </w:pPr>
      <w:r w:rsidRPr="005160ED">
        <w:t>–</w:t>
      </w:r>
      <w:r w:rsidRPr="005160ED">
        <w:tab/>
        <w:t>s ohledem na nařízení Evropského parlamentu a Rady (EU) 2021/2303 ze dne 15. prosince 2021 o zřízení Agentury Evropské unie pro otázky azylu a o zrušení nařízení (EU) č. 439/2010</w:t>
      </w:r>
      <w:r w:rsidRPr="005160ED">
        <w:rPr>
          <w:rStyle w:val="FootnoteReference"/>
        </w:rPr>
        <w:footnoteReference w:id="11"/>
      </w:r>
      <w:r w:rsidRPr="005160ED">
        <w:t>, a zejména na článek 55 tohoto nařízení,</w:t>
      </w:r>
    </w:p>
    <w:p w14:paraId="0E5E134F" w14:textId="77777777" w:rsidR="00267A91" w:rsidRPr="005160ED" w:rsidRDefault="00267A91" w:rsidP="00267A91">
      <w:pPr>
        <w:pStyle w:val="NormalHanging12a"/>
      </w:pPr>
      <w:r w:rsidRPr="005160ED">
        <w:t>–</w:t>
      </w:r>
      <w:r w:rsidRPr="005160ED">
        <w:tab/>
        <w:t>s ohledem na nařízení Komise v přenesené pravomoci (EU) 2019/715 ze dne 18. prosince 2018 o rámcovém finančním nařízení pro subjekty zřízené podle SFEU a Smlouvy o Euratomu a uvedené v článku 70 nařízení Evropského parlamentu a Rady (EU, Euratom) 2018/1046</w:t>
      </w:r>
      <w:r w:rsidRPr="005160ED">
        <w:rPr>
          <w:rStyle w:val="FootnoteReference"/>
        </w:rPr>
        <w:footnoteReference w:id="12"/>
      </w:r>
      <w:r w:rsidRPr="005160ED">
        <w:t>, a zejména na článek 105 tohoto nařízení,</w:t>
      </w:r>
    </w:p>
    <w:p w14:paraId="4A1765A3" w14:textId="77777777" w:rsidR="00267A91" w:rsidRPr="005160ED" w:rsidRDefault="00267A91" w:rsidP="00267A91">
      <w:pPr>
        <w:pStyle w:val="NormalHanging12a"/>
      </w:pPr>
      <w:r w:rsidRPr="005160ED">
        <w:t>–</w:t>
      </w:r>
      <w:r w:rsidRPr="005160ED">
        <w:tab/>
        <w:t>s ohledem na článek 100 a přílohu V jednacího řádu,</w:t>
      </w:r>
    </w:p>
    <w:p w14:paraId="7EA2F0EF" w14:textId="77777777" w:rsidR="00267A91" w:rsidRPr="005160ED" w:rsidRDefault="00267A91" w:rsidP="00267A91">
      <w:pPr>
        <w:pStyle w:val="NormalHanging12a"/>
      </w:pPr>
      <w:r w:rsidRPr="005160ED">
        <w:t>–</w:t>
      </w:r>
      <w:r w:rsidRPr="005160ED">
        <w:tab/>
        <w:t>s ohledem na stanovisko Výboru pro občanské svobody, spravedlnost a vnitřní věci,</w:t>
      </w:r>
    </w:p>
    <w:p w14:paraId="4C01EF0B" w14:textId="77777777" w:rsidR="00267A91" w:rsidRPr="005160ED" w:rsidRDefault="00267A91" w:rsidP="00267A91">
      <w:pPr>
        <w:pStyle w:val="NormalHanging12a"/>
      </w:pPr>
      <w:r w:rsidRPr="005160ED">
        <w:t>–</w:t>
      </w:r>
      <w:r w:rsidRPr="005160ED">
        <w:tab/>
        <w:t>s ohledem na zprávu Výboru pro rozpočtovou kontrolu (A9</w:t>
      </w:r>
      <w:r w:rsidRPr="005160ED">
        <w:noBreakHyphen/>
        <w:t>0000/2024),</w:t>
      </w:r>
    </w:p>
    <w:p w14:paraId="013C5A55" w14:textId="77777777" w:rsidR="00267A91" w:rsidRPr="005160ED" w:rsidRDefault="00267A91" w:rsidP="00267A91">
      <w:pPr>
        <w:pStyle w:val="NormalHanging12a"/>
      </w:pPr>
      <w:r w:rsidRPr="005160ED">
        <w:t>1.</w:t>
      </w:r>
      <w:r w:rsidRPr="005160ED">
        <w:tab/>
        <w:t>schvaluje uzavření účtů Agentury Evropské unie pro otázky azylu za rozpočtový rok 2022 / odkládá uzavření účtů Agentury Evropské unie pro otázky azylu za rozpočtový rok 2022;</w:t>
      </w:r>
    </w:p>
    <w:p w14:paraId="0362207C" w14:textId="77777777" w:rsidR="00267A91" w:rsidRPr="005160ED" w:rsidRDefault="00267A91" w:rsidP="00267A91">
      <w:pPr>
        <w:pStyle w:val="NormalHanging12a"/>
      </w:pPr>
      <w:r w:rsidRPr="005160ED">
        <w:t>2.</w:t>
      </w:r>
      <w:r w:rsidRPr="005160ED">
        <w:tab/>
        <w:t>pověřuje svou předsedkyni, aby předala toto rozhodnutí výkonné ředitelce Agentury Evropské unie pro otázky azylu, Radě, Komisi a Účetnímu dvoru a aby zajistila jeho zveřejnění v </w:t>
      </w:r>
      <w:r w:rsidRPr="005160ED">
        <w:rPr>
          <w:i/>
        </w:rPr>
        <w:t>Úředním věstníku Evropské unie</w:t>
      </w:r>
      <w:r w:rsidRPr="005160ED">
        <w:t xml:space="preserve"> (řada L).</w:t>
      </w:r>
    </w:p>
    <w:p w14:paraId="6684F1F6" w14:textId="77777777" w:rsidR="00267A91" w:rsidRPr="005160ED" w:rsidRDefault="00267A91" w:rsidP="00267A91"/>
    <w:p w14:paraId="1543698E" w14:textId="77777777" w:rsidR="00267A91" w:rsidRPr="005160ED" w:rsidRDefault="00267A91" w:rsidP="00267A91">
      <w:pPr>
        <w:widowControl/>
        <w:rPr>
          <w:rFonts w:ascii="Arial" w:hAnsi="Arial" w:cs="Arial"/>
          <w:b/>
        </w:rPr>
        <w:sectPr w:rsidR="00267A91" w:rsidRPr="005160ED">
          <w:footnotePr>
            <w:numRestart w:val="eachSect"/>
          </w:footnotePr>
          <w:endnotePr>
            <w:numFmt w:val="decimal"/>
          </w:endnotePr>
          <w:pgSz w:w="11906" w:h="16838"/>
          <w:pgMar w:top="1134" w:right="1418" w:bottom="1418" w:left="1418" w:header="567" w:footer="567" w:gutter="0"/>
          <w:cols w:space="720"/>
        </w:sectPr>
      </w:pPr>
    </w:p>
    <w:p w14:paraId="5635387D" w14:textId="77777777" w:rsidR="00267A91" w:rsidRPr="005160ED" w:rsidRDefault="00267A91" w:rsidP="00267A91">
      <w:pPr>
        <w:pStyle w:val="PageHeading"/>
      </w:pPr>
      <w:bookmarkStart w:id="6" w:name="_Toc146792447"/>
      <w:bookmarkStart w:id="7" w:name="_Toc157405677"/>
      <w:r w:rsidRPr="005160ED">
        <w:t>3. NÁVRH USNESENÍ EVROPSKÉHO PARLAMENTU</w:t>
      </w:r>
      <w:bookmarkEnd w:id="6"/>
      <w:bookmarkEnd w:id="7"/>
    </w:p>
    <w:p w14:paraId="52C4ED53" w14:textId="77777777" w:rsidR="00267A91" w:rsidRPr="005160ED" w:rsidRDefault="00267A91" w:rsidP="00267A91">
      <w:pPr>
        <w:pStyle w:val="NormalBold"/>
      </w:pPr>
      <w:r w:rsidRPr="005160ED">
        <w:t>obsahujícího připomínky, které jsou nedílnou součástí rozhodnutí o udělení absolutoria za plnění rozpočtu Agentury Evropské unie pro otázky azylu (do 19. 1. 2022 Evropský podpůrný úřad pro otázky azylu) na rozpočtový rok 2022</w:t>
      </w:r>
    </w:p>
    <w:p w14:paraId="67D161CA" w14:textId="77777777" w:rsidR="00267A91" w:rsidRPr="005160ED" w:rsidRDefault="00267A91" w:rsidP="00267A91">
      <w:pPr>
        <w:pStyle w:val="NormalBold"/>
      </w:pPr>
      <w:r w:rsidRPr="005160ED">
        <w:t>(2023/2164(DEC))</w:t>
      </w:r>
    </w:p>
    <w:p w14:paraId="66A17E03" w14:textId="77777777" w:rsidR="00267A91" w:rsidRPr="005160ED" w:rsidRDefault="00267A91" w:rsidP="00267A91">
      <w:pPr>
        <w:pStyle w:val="EPComma"/>
      </w:pPr>
      <w:r w:rsidRPr="005160ED">
        <w:rPr>
          <w:i/>
          <w:iCs/>
        </w:rPr>
        <w:t>Evropský parlament</w:t>
      </w:r>
      <w:r w:rsidRPr="005160ED">
        <w:t>,</w:t>
      </w:r>
    </w:p>
    <w:p w14:paraId="5C6C2E0D" w14:textId="77777777" w:rsidR="00267A91" w:rsidRPr="005160ED" w:rsidRDefault="00267A91" w:rsidP="00267A91">
      <w:pPr>
        <w:pStyle w:val="NormalHanging12a"/>
      </w:pPr>
      <w:r w:rsidRPr="005160ED">
        <w:t>–</w:t>
      </w:r>
      <w:r w:rsidRPr="005160ED">
        <w:tab/>
        <w:t>s ohledem na své rozhodnutí o udělení absolutoria za plnění rozpočtu Agentury Evropské unie pro otázky azylu na rozpočtový rok 2022,</w:t>
      </w:r>
    </w:p>
    <w:p w14:paraId="3D2F9751" w14:textId="77777777" w:rsidR="00267A91" w:rsidRPr="005160ED" w:rsidRDefault="00267A91" w:rsidP="00267A91">
      <w:pPr>
        <w:pStyle w:val="NormalHanging12a"/>
      </w:pPr>
      <w:r w:rsidRPr="005160ED">
        <w:t>–</w:t>
      </w:r>
      <w:r w:rsidRPr="005160ED">
        <w:tab/>
        <w:t>s ohledem na článek 100 a přílohu V jednacího řádu,</w:t>
      </w:r>
    </w:p>
    <w:p w14:paraId="65CCDC29" w14:textId="77777777" w:rsidR="00267A91" w:rsidRPr="005160ED" w:rsidRDefault="00267A91" w:rsidP="00267A91">
      <w:pPr>
        <w:pStyle w:val="NormalHanging12a"/>
      </w:pPr>
      <w:r w:rsidRPr="005160ED">
        <w:t>–</w:t>
      </w:r>
      <w:r w:rsidRPr="005160ED">
        <w:tab/>
        <w:t>s ohledem na stanovisko Výboru pro občanské svobody, spravedlnost a vnitřní věci,</w:t>
      </w:r>
    </w:p>
    <w:p w14:paraId="7F26F3A6" w14:textId="77777777" w:rsidR="00267A91" w:rsidRPr="005160ED" w:rsidRDefault="00267A91" w:rsidP="00267A91">
      <w:pPr>
        <w:pStyle w:val="NormalHanging12a"/>
      </w:pPr>
      <w:r w:rsidRPr="005160ED">
        <w:t>–</w:t>
      </w:r>
      <w:r w:rsidRPr="005160ED">
        <w:tab/>
        <w:t>s ohledem na zprávu Výboru pro rozpočtovou kontrolu (A9</w:t>
      </w:r>
      <w:r w:rsidRPr="005160ED">
        <w:noBreakHyphen/>
        <w:t>0000/2024),</w:t>
      </w:r>
    </w:p>
    <w:p w14:paraId="145E1095" w14:textId="77777777" w:rsidR="00C27D9C" w:rsidRPr="005160ED" w:rsidRDefault="00C27D9C" w:rsidP="004F0305">
      <w:pPr>
        <w:pStyle w:val="Normal12Hanging"/>
        <w:rPr>
          <w:color w:val="000000" w:themeColor="text1"/>
          <w:szCs w:val="24"/>
        </w:rPr>
      </w:pPr>
      <w:r w:rsidRPr="005160ED">
        <w:t>A.</w:t>
      </w:r>
      <w:r w:rsidRPr="005160ED">
        <w:tab/>
      </w:r>
      <w:r w:rsidRPr="005160ED">
        <w:rPr>
          <w:color w:val="000000" w:themeColor="text1"/>
        </w:rPr>
        <w:t>vzhledem k tomu, že konečný rozpočet Agentury Evropské unie pro otázky azylu (dále jen „agentura“) na rok 2022 činil podle jejího výkazu příjmů a výdajů</w:t>
      </w:r>
      <w:r w:rsidRPr="005160ED">
        <w:rPr>
          <w:rStyle w:val="FootnoteReference"/>
          <w:color w:val="000000" w:themeColor="text1"/>
          <w:szCs w:val="24"/>
        </w:rPr>
        <w:footnoteReference w:id="13"/>
      </w:r>
      <w:r w:rsidRPr="005160ED">
        <w:rPr>
          <w:color w:val="000000" w:themeColor="text1"/>
        </w:rPr>
        <w:t xml:space="preserve"> 186 842 192 EUR, což ve srovnání s rokem 2021 představuje navýšení o 12,46 %; vzhledem k tomu, že rozpočet agentury se odvíjí převážně od rozpočtu Unie;</w:t>
      </w:r>
    </w:p>
    <w:p w14:paraId="77AEDF8B" w14:textId="77777777" w:rsidR="00C27D9C" w:rsidRPr="005160ED" w:rsidRDefault="00C27D9C" w:rsidP="004F0305">
      <w:pPr>
        <w:pStyle w:val="Normal12Hanging"/>
        <w:rPr>
          <w:color w:val="000000" w:themeColor="text1"/>
          <w:szCs w:val="24"/>
        </w:rPr>
      </w:pPr>
      <w:r w:rsidRPr="005160ED">
        <w:rPr>
          <w:color w:val="000000" w:themeColor="text1"/>
        </w:rPr>
        <w:t>B.</w:t>
      </w:r>
      <w:r w:rsidRPr="005160ED">
        <w:rPr>
          <w:color w:val="000000" w:themeColor="text1"/>
        </w:rPr>
        <w:tab/>
        <w:t>vzhledem k tomu, že v červnu 2022 podepsala agentura s Komisí dohodu o přiznání příspěvku na provádění fáze III nástroje předvstupní pomoci (NPP) nazvané Regionální podpora EU systémům řízení migrace zohledňujícím potřebu ochrany na západním Balkáně, fáze III, smlouva 2 (dále jen „NPP III – západní Balkán“) v celkové hodnotě 6 milionů EUR a s dobou provádění 47 měsíců;</w:t>
      </w:r>
    </w:p>
    <w:p w14:paraId="0AC2D947" w14:textId="77777777" w:rsidR="00C27D9C" w:rsidRPr="005160ED" w:rsidRDefault="00C27D9C" w:rsidP="004F0305">
      <w:pPr>
        <w:pStyle w:val="Normal12Hanging"/>
        <w:rPr>
          <w:color w:val="000000" w:themeColor="text1"/>
          <w:szCs w:val="24"/>
        </w:rPr>
      </w:pPr>
      <w:r w:rsidRPr="005160ED">
        <w:rPr>
          <w:color w:val="000000" w:themeColor="text1"/>
        </w:rPr>
        <w:t>C.</w:t>
      </w:r>
      <w:r w:rsidRPr="005160ED">
        <w:rPr>
          <w:color w:val="000000" w:themeColor="text1"/>
        </w:rPr>
        <w:tab/>
        <w:t>vzhledem k tomu, že v roce 2022 došlo k výraznému navýšení rozpočtu agentury v důsledku rozšíření úkolů podle nařízení (EU) 2021/2303, jehož cílem je, aby se agentura stala centrem odborných znalostí pro otázky azylu;</w:t>
      </w:r>
    </w:p>
    <w:p w14:paraId="70161CFB" w14:textId="77777777" w:rsidR="00C27D9C" w:rsidRPr="005160ED" w:rsidRDefault="00C27D9C" w:rsidP="004F0305">
      <w:pPr>
        <w:pStyle w:val="Normal12Hanging"/>
        <w:rPr>
          <w:color w:val="000000" w:themeColor="text1"/>
          <w:szCs w:val="24"/>
        </w:rPr>
      </w:pPr>
      <w:r w:rsidRPr="005160ED">
        <w:rPr>
          <w:color w:val="000000" w:themeColor="text1"/>
        </w:rPr>
        <w:t>D.</w:t>
      </w:r>
      <w:r w:rsidRPr="005160ED">
        <w:rPr>
          <w:color w:val="000000" w:themeColor="text1"/>
        </w:rPr>
        <w:tab/>
        <w:t>vzhledem k tomu, že v roce 2022 bylo v Unii téměř 1 milion žadatelů o azyl a přibližně 4 miliony osob požívajících dočasné ochrany;</w:t>
      </w:r>
    </w:p>
    <w:p w14:paraId="1B62BF20" w14:textId="77777777" w:rsidR="00C27D9C" w:rsidRPr="005160ED" w:rsidRDefault="00C27D9C" w:rsidP="004F0305">
      <w:pPr>
        <w:spacing w:after="240"/>
        <w:ind w:left="567" w:hanging="567"/>
        <w:rPr>
          <w:color w:val="000000" w:themeColor="text1"/>
          <w:szCs w:val="24"/>
        </w:rPr>
      </w:pPr>
      <w:r w:rsidRPr="005160ED">
        <w:rPr>
          <w:color w:val="000000" w:themeColor="text1"/>
        </w:rPr>
        <w:t>E.</w:t>
      </w:r>
      <w:r w:rsidRPr="005160ED">
        <w:rPr>
          <w:color w:val="000000" w:themeColor="text1"/>
        </w:rPr>
        <w:tab/>
      </w:r>
      <w:r w:rsidRPr="005160ED">
        <w:t>vzhledem k tomu, že Účetní dvůr ve své zprávě o roční účetní závěrce agentury za rozpočtový rok 2022 (dále jen „zpráva Účetního dvora“) uvedl, že získal přiměřenou jistotu, že účetní závěrka agentury je spolehlivá a že uskutečněné operace jsou legální a správné;</w:t>
      </w:r>
    </w:p>
    <w:p w14:paraId="364ADE81" w14:textId="77777777" w:rsidR="00C27D9C" w:rsidRPr="005160ED" w:rsidRDefault="00C27D9C" w:rsidP="004F0305">
      <w:pPr>
        <w:spacing w:after="240"/>
        <w:ind w:left="567" w:hanging="567"/>
        <w:rPr>
          <w:b/>
          <w:i/>
          <w:szCs w:val="24"/>
        </w:rPr>
      </w:pPr>
      <w:r w:rsidRPr="005160ED">
        <w:rPr>
          <w:b/>
          <w:i/>
        </w:rPr>
        <w:t>Rozpočtové a finanční řízení</w:t>
      </w:r>
    </w:p>
    <w:p w14:paraId="7146D752" w14:textId="77777777" w:rsidR="00C27D9C" w:rsidRPr="005160ED" w:rsidRDefault="00C27D9C" w:rsidP="004F0305">
      <w:pPr>
        <w:pStyle w:val="NormalHanging12a"/>
        <w:rPr>
          <w:szCs w:val="24"/>
        </w:rPr>
      </w:pPr>
      <w:r w:rsidRPr="005160ED">
        <w:t>1.</w:t>
      </w:r>
      <w:r w:rsidRPr="005160ED">
        <w:tab/>
        <w:t>bere na vědomí, že díky monitorování rozpočtu v rozpočtovém roce 2022 dosáhla míra plnění u prostředků na závazky v běžném roce 96,23 %, což ve srovnání s rokem 2021 (96,67 %) představuje mírný pokles o 0,44 %; bere na vědomí, že míra čerpání prostředků na platby v běžném roce činila 89,55 %, což ve srovnání s předchozím rokem 2021 (90,91 %) představuje pokles o 1,36 %; se znepokojením bere na vědomí poměrně vysokou míru zrušení (15 %) prostředků přenesených z roku 2021 do roku 2022, čímž agentura nedosáhla cílové roční míry nižší než 10 %;</w:t>
      </w:r>
    </w:p>
    <w:p w14:paraId="45BF6A89" w14:textId="3CE9D76D" w:rsidR="00C27D9C" w:rsidRPr="005160ED" w:rsidRDefault="00C27D9C" w:rsidP="004F0305">
      <w:pPr>
        <w:pStyle w:val="NormalHanging12a"/>
        <w:rPr>
          <w:szCs w:val="24"/>
        </w:rPr>
      </w:pPr>
      <w:r w:rsidRPr="005160ED">
        <w:t>2.</w:t>
      </w:r>
      <w:r w:rsidRPr="005160ED">
        <w:tab/>
        <w:t xml:space="preserve">upozorňuje, že v roce 2022 přijala správní rada agentury dvě změny rozpočtu; </w:t>
      </w:r>
      <w:r w:rsidR="00C13C80" w:rsidRPr="005160ED">
        <w:t>v této souvislosti bere na</w:t>
      </w:r>
      <w:r w:rsidR="00C13C80">
        <w:t xml:space="preserve"> vědomí, že agentura provedla </w:t>
      </w:r>
      <w:r w:rsidR="00C13C80" w:rsidRPr="005160ED">
        <w:t xml:space="preserve">přezkum </w:t>
      </w:r>
      <w:r w:rsidR="00C13C80">
        <w:t xml:space="preserve">v </w:t>
      </w:r>
      <w:r w:rsidR="00C13C80" w:rsidRPr="005160ED">
        <w:t xml:space="preserve">polovině roku svého rozpočtu na rok 2022, na jehož základě rozhodla, že požádá Komisi o dodatečnou dotaci ve výši 12 milionů EUR na prostředky na závazky a 6 milionů EUR na prostředky na platby, aby mohla řešit dodatečné úkoly vyplývající z humanitární krize vyvolané nezákonnou a nevyprovokovanou invazí Ruska na Ukrajinu; </w:t>
      </w:r>
      <w:r w:rsidRPr="005160ED">
        <w:t xml:space="preserve">konstatuje, že tyto částky byly zahrnuty do první změny rozpočtu agentury přijaté v září 2022; vyjadřuje však politování nad tím, že podzimní přezkum rozpočtu a plánování agentury upozornil na nepředvídaná zpoždění v provádění operačních plánů souvisejících s krizí na Ukrajině, což vedlo k záporné (druhé) změně rozpočtu, kterou přijala správní rada v listopadu 2022 a která znamenala snížení prostředků na platby o 12 milionů EUR; poznamenává rovněž, že ve změnách rozpočtu agentury se projevil také dobrovolný příspěvek Dánska (druhá splátka ve výši 94 063 EUR) na provádění „plánu spolupráce mezi úřadem EASO a Egyptem“ a první předběžné financování (ve výši 2 968 129 EUR) pro </w:t>
      </w:r>
      <w:r w:rsidRPr="005160ED">
        <w:rPr>
          <w:color w:val="000000" w:themeColor="text1"/>
        </w:rPr>
        <w:t>NPP III – západní Balkán</w:t>
      </w:r>
      <w:r w:rsidRPr="005160ED">
        <w:t>;</w:t>
      </w:r>
    </w:p>
    <w:p w14:paraId="5B66EC73" w14:textId="77777777" w:rsidR="00C27D9C" w:rsidRPr="005160ED" w:rsidRDefault="00C27D9C" w:rsidP="004F0305">
      <w:pPr>
        <w:pStyle w:val="NormalHanging12a"/>
        <w:rPr>
          <w:szCs w:val="24"/>
        </w:rPr>
      </w:pPr>
      <w:r w:rsidRPr="005160ED">
        <w:t>3.</w:t>
      </w:r>
      <w:r w:rsidRPr="005160ED">
        <w:tab/>
        <w:t>bere na vědomí připomínku ze zprávy Účetního dvora týkající se příspěvků zemí přidružených k Schengenu do rozpočtu agentury, že ujednání uzavřená mezi Unií a těmito zeměmi, která slouží jako právní základ pro výpočet jejich příspěvků, jsou nejasná a umožňují různý výklad, což má za následek, že příspěvky jednotlivých zemí přidružených k Schengenu (do rozpočtu agentury) jsou nižší přibližně o 0,7 milionu EUR (7 %), a to v důsledku použití vzorce pro výpočet, který Účetní dvůr považuje za chybný, neboť poměr příspěvků je vynásoben částkou, která odráží pouze dotaci z rozpočtu Unie na dotčené činnosti agentury, zatímco podle Účetního dvora by tato částka měla zahrnovat i podíl zemí přidružených k Schengenu; vyzývá Komisi, aby se touto otázkou zabývala v nadcházejících jednáních se zeměmi přidruženými k Schengenu o nových dohodách, které budou zahrnovat účast zemí přidružených k Schengenu na činnosti agentury, a zajistí tak větší jasnost;</w:t>
      </w:r>
    </w:p>
    <w:p w14:paraId="1689DA16" w14:textId="77777777" w:rsidR="00C27D9C" w:rsidRPr="005160ED" w:rsidRDefault="00C27D9C" w:rsidP="004F0305">
      <w:pPr>
        <w:spacing w:after="240"/>
        <w:ind w:left="567" w:hanging="567"/>
        <w:rPr>
          <w:szCs w:val="24"/>
        </w:rPr>
      </w:pPr>
      <w:r w:rsidRPr="005160ED">
        <w:rPr>
          <w:b/>
          <w:i/>
        </w:rPr>
        <w:t>Výkonnost</w:t>
      </w:r>
    </w:p>
    <w:p w14:paraId="41803D75" w14:textId="77777777" w:rsidR="00C27D9C" w:rsidRPr="005160ED" w:rsidRDefault="00C27D9C" w:rsidP="004F0305">
      <w:pPr>
        <w:pStyle w:val="NormalHanging12a"/>
        <w:rPr>
          <w:szCs w:val="24"/>
        </w:rPr>
      </w:pPr>
      <w:r w:rsidRPr="005160ED">
        <w:t>4.</w:t>
      </w:r>
      <w:r w:rsidRPr="005160ED">
        <w:tab/>
        <w:t>poznamenává, že pro rok 2022 byla výkonnost agentury měřena na základě 204 ročních cílů, z nichž 48 % bylo překročeno, 26 % dosaženo, 10 % téměř dosaženo, 12 % zpožděno a 4 % se neuplatňují;</w:t>
      </w:r>
    </w:p>
    <w:p w14:paraId="6FC28592" w14:textId="77777777" w:rsidR="00C27D9C" w:rsidRPr="005160ED" w:rsidRDefault="00C27D9C" w:rsidP="004F0305">
      <w:pPr>
        <w:pStyle w:val="NormalHanging12a"/>
        <w:rPr>
          <w:szCs w:val="24"/>
        </w:rPr>
      </w:pPr>
      <w:r w:rsidRPr="005160ED">
        <w:t>5.</w:t>
      </w:r>
      <w:r w:rsidRPr="005160ED">
        <w:tab/>
        <w:t>vyjadřuje uznání agentuře za významný pokrok, kterého dosáhla v roce 2022 při plném provádění nových ustanovení nařízení (EU) 2021/2033; bere zejména na vědomí, že – jak vyplývá z monitorovací zprávy agentury o udělení absolutoria za rok 2021 (dále jen „monitorovací zpráva“) – agentura zřídila poradní fórum, jakož i rezervní skupinu pro otázky azylu, kterou v polovině června 2023 tvořilo již 360 schválených odborníků z členských států (z celkového počtu 500, jak vyžaduje uvedené nařízení), a provedla nábor svého úředníka pro základní práva, který se ujal funkce v květnu 2023, stejně jako konzultace se zúčastněnými stranami s cílem vypracovat a přijmout mechanismus řešení stížností; v souvislosti s monitorovacím mechanismem poznamenává, že metodika a program jsou ve fázi vývoje a jejich přijetí je plánováno na první čtvrtletí roku 2024, po němž bude následovat pilotní monitorování;</w:t>
      </w:r>
    </w:p>
    <w:p w14:paraId="148B2A9A" w14:textId="77777777" w:rsidR="00C27D9C" w:rsidRPr="005160ED" w:rsidRDefault="00C27D9C" w:rsidP="004F0305">
      <w:pPr>
        <w:pStyle w:val="NormalHanging12a"/>
        <w:rPr>
          <w:szCs w:val="24"/>
        </w:rPr>
      </w:pPr>
      <w:r w:rsidRPr="005160ED">
        <w:t>6.</w:t>
      </w:r>
      <w:r w:rsidRPr="005160ED">
        <w:tab/>
        <w:t>s ohledem na oblast činnosti týkající se vysílání styčných úředníků do členských států a třetích zemí bere na vědomí, že omezení lidských zdrojů vedlo agenturu ke sdružování členských států do skupin, přičemž jeden styčný úředník pokrývá až čtyři členské státy, a také bylo příčinou toho, že nebyl vypracován časový plán pro rozvoj styčných úředníků ve třetích zemích; uznává, že agentura potřebuje další zdroje, aby mohla v této oblasti provést veškeré požadavky nařízení (EU) 2021/2303, a znovu vyzývá Komisi, aby při rozhodování o budoucích plánech pracovních míst lépe zohlednila provozní potřeby agentury;</w:t>
      </w:r>
    </w:p>
    <w:p w14:paraId="39EE1376" w14:textId="77777777" w:rsidR="00C27D9C" w:rsidRPr="005160ED" w:rsidRDefault="00C27D9C" w:rsidP="004F0305">
      <w:pPr>
        <w:pStyle w:val="NormalHanging12a"/>
        <w:rPr>
          <w:szCs w:val="24"/>
        </w:rPr>
      </w:pPr>
      <w:r w:rsidRPr="005160ED">
        <w:t>7.</w:t>
      </w:r>
      <w:r w:rsidRPr="005160ED">
        <w:tab/>
        <w:t>uznává, že v roce 2022 agentura čelila novým úkolům a četným výzvám v důsledku nezákonné invaze Ruska na Ukrajinu; v této souvislosti konstatuje, že na žádost příslušných vnitrostátních orgánů agentura rozšířila svou činnost do dalších šesti členských států, takže operační plány nyní zahrnují celkem 14 členských států; oceňuje agenturu za to, že rovněž pomáhá těmto členským státům při provádění směrnice o dočasné ochraně; dále bere na vědomí, že agentura podpořila program dobrovolného přemístění, který pomáhá osobám prchajícím z Ukrajiny přemístit se v rámci Unie a požádat o dočasnou ochranu, poskytovala školení v oblasti dočasné ochrany vnitrostátním správním orgánům, vytvořila komunikační produkty pro jednotlivé země (brožury, letáky a plakáty) s informacemi o dočasné ochraně přizpůsobenými konkrétním podmínkám, zvýšila počet vypracovaných situačních analýz a poprvé vyslala své pracovníky do třetí země (Moldavsko);</w:t>
      </w:r>
    </w:p>
    <w:p w14:paraId="7D6D7493" w14:textId="77777777" w:rsidR="00C27D9C" w:rsidRPr="005160ED" w:rsidRDefault="00C27D9C" w:rsidP="004F0305">
      <w:pPr>
        <w:pStyle w:val="NormalHanging12a"/>
      </w:pPr>
      <w:r w:rsidRPr="005160ED">
        <w:t>8.</w:t>
      </w:r>
      <w:r w:rsidRPr="005160ED">
        <w:tab/>
        <w:t>poukazuje na to, že v roce 2022 agentura, kromě jiných dosažených úspěchů, vypracovala produkty týkající se zemí původu v rozsahu přibližně 3 000 stran, vyřídila více než 1 000 individuálních žádostí o informace souvisejících s činnostmi agentury v oblasti lékařské péče a zdravotnictví v příslušných zemích původu, poskytovala školení, kterých se celkem zúčastnil rekordní počet 13 000 účastníků, a zveřejnila a/nebo aktualizovala návodné pokyny agentury k určité zemi (Somálsko, Afghánistán a Irák); vyjadřuje rovněž agentuře uznání za pomoc poskytnutou zemím západního Balkánu prostřednictvím budování institucionálních kapacit, odborné přípravy a školení při práci v oblasti základních azylových řízení v Albánii, Bosně a Hercegovině, Kosovu, Černé Hoře, Severní Makedonii a Srbsku;</w:t>
      </w:r>
    </w:p>
    <w:p w14:paraId="6B1E1C04" w14:textId="77777777" w:rsidR="00C27D9C" w:rsidRPr="005160ED" w:rsidRDefault="00C27D9C" w:rsidP="004F0305">
      <w:pPr>
        <w:pStyle w:val="NormalHanging12a"/>
        <w:rPr>
          <w:b/>
          <w:i/>
        </w:rPr>
      </w:pPr>
      <w:r w:rsidRPr="005160ED">
        <w:rPr>
          <w:b/>
          <w:i/>
        </w:rPr>
        <w:t>Účinnost a přínosy</w:t>
      </w:r>
    </w:p>
    <w:p w14:paraId="7D25C5F4" w14:textId="77777777" w:rsidR="00C27D9C" w:rsidRPr="005160ED" w:rsidRDefault="00C27D9C" w:rsidP="004F0305">
      <w:pPr>
        <w:pStyle w:val="NormalHanging12a"/>
      </w:pPr>
      <w:r w:rsidRPr="005160ED">
        <w:t>9.</w:t>
      </w:r>
      <w:r w:rsidRPr="005160ED">
        <w:tab/>
        <w:t>bere na vědomí, že agentura spolupracuje s několika agenturami působícími v oblasti spravedlnosti a vnitřních věcí (např. Frontex, eu-LISA, FRA, CEPOL), mimo jiné pokud jde o produkty situační orientace, podporu při řešení operačních úkolů (včetně nasazených pracovníků), učení a výměnu informací, stejně jako odbornou přípravu a budování kapacit; zdůrazňuje význam spolupráce pro správné rozdělení zdrojů; dále bere na vědomí, že agentura eu-LISA na základě dohody o úrovni služeb poskytuje agentuře hosting internetových stránek pro obnovení provozu po havárii pro logickou infrastrukturu IKT a komunikace agentury; vybízí agenturu, aby v rámci svého nového mandátu pokračovala v hledání způsobů výměny osvědčených postupů a příležitostí za účelem sdílení zdrojů a dalšího rozvoje součinnosti v oblastech společného zájmu s ostatními agenturami v zájmu zlepšení účinnosti;</w:t>
      </w:r>
    </w:p>
    <w:p w14:paraId="2D280F43" w14:textId="77777777" w:rsidR="00C27D9C" w:rsidRPr="005160ED" w:rsidRDefault="00C27D9C" w:rsidP="004F0305">
      <w:pPr>
        <w:pStyle w:val="NormalHanging12a"/>
      </w:pPr>
      <w:r w:rsidRPr="005160ED">
        <w:t>10.</w:t>
      </w:r>
      <w:r w:rsidRPr="005160ED">
        <w:tab/>
        <w:t>vítá opatření, která agentura přijala v roce 2022 za účelem zvýšení účinnosti a zjednodušení, jako je snížení počtu procesních kroků, automatizace opakujících se úkolů a zavedení organizačního modelu pro poskytování horizontálních služeb, který přibližuje administrativní odbornost k místu použití prostřednictvím přítomnosti na dálku, přítomnosti na místě nebo hybridní přítomnosti, a to ve prospěch operací v jednotlivých zemích v oblastech, jako je finanční zahájení transakce, podpora v oblasti informačních a komunikačních technologií, právní podpora či správa infrastruktury; oceňuje zvýšenou efektivitu, kterou agentura prokázala zajišťováním bezpečnosti zaměstnanců ve více operacích a zemích se stejnými zdroji jako v roce 2021; dále bere na vědomí, že agentura provedla několik opatření zaměřených na větší účinnost v oblasti kybernetické bezpečnosti (např. prostřednictvím automatizovaného pracovního postupu pro reakci na incidenty), zadávání veřejných zakázek (prostřednictvím stanovení kontaktních míst pro nejčastěji pořizované zboží a služby s cílem zvýšit kvalitu a včasnost postupů a poskytnout podporu od počátečních fází zadávání veřejných zakázek), informačních a komunikačních technologií (tím, že uživatelům nabídla jednotný zdroj informací o stavu jejich žádostí) a lidských zdrojů (mimo jiné otevřením prvních modulů systému SYSPER zahrnujících totožnost, organizaci, profesní dráhu, osobní údaje a organizaci času, a prostřednictvím systému kartotéky útvarů lidských zdrojů pro podpůrné služby poskytované všem zaměstnancům agentury); vyzývá agenturu, aby plně provedla nástroj Komise pro řízení veřejných zakázek; bere na vědomí, že – jak vyplývá z konsolidované výroční zprávy o činnosti agentury za rok 2022 – podíl zdrojů přidělených na provozní činnosti agentury se v roce 2022 opět zvýšil a dosahoval 79,13 % (ve srovnání s 72,14 % v roce 2021 a 68,68 % v roce 2020);</w:t>
      </w:r>
    </w:p>
    <w:p w14:paraId="74DE4D49" w14:textId="77777777" w:rsidR="00C27D9C" w:rsidRPr="005160ED" w:rsidRDefault="00C27D9C" w:rsidP="004F0305">
      <w:pPr>
        <w:pStyle w:val="NormalHanging12a"/>
        <w:rPr>
          <w:szCs w:val="24"/>
        </w:rPr>
      </w:pPr>
      <w:r w:rsidRPr="005160ED">
        <w:t>11.</w:t>
      </w:r>
      <w:r w:rsidRPr="005160ED">
        <w:tab/>
        <w:t>uvědomuje si, že – jak vyplývá ze zprávy Účetního dvora – agentura nepatří k organizacím, které zavedly vlastní plány, jak zlepšit energetickou účinnost a klimatickou neutralitu svých činností, v rámci svých výročních zpráv o činnosti však v určité podobě podává zprávy v oblasti životního prostředí a získala registraci v systému EMAS; upozorňuje však, že – jak vyplývá z odpovědí agentury na písemné dotazy Parlamentu – v roce 2022 agentura zahájila první fázi přípravy návrhu a zavedení systému environmentálního řízení a podnikla přípravná opatření pro jeho další fáze; vybízí agenturu, aby pokračovala v činnostech zaměřených na budování kapacit a spolupracovala s dalšími agenturami a orgány Unie s cílem urychlit proces certifikace agentury v rámci systému EMAS; zdůrazňuje, že agentura zahrnuje environmentální aspekty do technických specifikací nebo kritérií pro zadání zakázky, např. u zakázek na budovy, stravovací služby, úklidové služby a další; vyzývá agenturu, aby rovněž zvážila vypracování vlastní politiky zadávání zelených veřejných zakázek;</w:t>
      </w:r>
    </w:p>
    <w:p w14:paraId="0F47E275" w14:textId="77777777" w:rsidR="00C27D9C" w:rsidRPr="005160ED" w:rsidRDefault="00C27D9C" w:rsidP="004F0305">
      <w:pPr>
        <w:spacing w:after="240"/>
        <w:ind w:left="567" w:hanging="567"/>
        <w:rPr>
          <w:b/>
          <w:i/>
          <w:szCs w:val="24"/>
        </w:rPr>
      </w:pPr>
      <w:r w:rsidRPr="005160ED">
        <w:rPr>
          <w:b/>
          <w:i/>
        </w:rPr>
        <w:t>Personální politika</w:t>
      </w:r>
    </w:p>
    <w:p w14:paraId="53C75C93" w14:textId="77777777" w:rsidR="00C27D9C" w:rsidRPr="005160ED" w:rsidRDefault="00C27D9C" w:rsidP="004F0305">
      <w:pPr>
        <w:pStyle w:val="NormalHanging12a"/>
        <w:rPr>
          <w:szCs w:val="24"/>
        </w:rPr>
      </w:pPr>
      <w:r w:rsidRPr="005160ED">
        <w:t>12.</w:t>
      </w:r>
      <w:r w:rsidRPr="005160ED">
        <w:tab/>
        <w:t>bere na vědomí genderové složení ve vyšších a středních úrovních vedení agentury, které tvoří 9 mužů (69 %) a 4 ženy (31 %) (stejné složení jako v roce 2021), přičemž správní rada je složena z 27 mužů (48 %) a 29 žen (52 %) (lepší rozdělení než v roce 2021) a mezi zaměstnanci celkem je 203 mužů (39 %) a 316 žen (61 %) (stejné rozdělení jako v roce 2021); s uznáním sleduje odhodlání agentury zahrnout do své připravované strategie lidských zdrojů opatření, která budou prioritně podporovat genderovou vyváženost a rozmanitost v agentuře a podporovat programy rozvoje manažerských schopností přizpůsobené začínajícím vedoucím pracovníkům;</w:t>
      </w:r>
    </w:p>
    <w:p w14:paraId="2237447A" w14:textId="77777777" w:rsidR="00C27D9C" w:rsidRPr="005160ED" w:rsidRDefault="00C27D9C" w:rsidP="004F0305">
      <w:pPr>
        <w:pStyle w:val="NormalHanging12a"/>
        <w:rPr>
          <w:szCs w:val="24"/>
        </w:rPr>
      </w:pPr>
      <w:r w:rsidRPr="005160ED">
        <w:t>13.</w:t>
      </w:r>
      <w:r w:rsidRPr="005160ED">
        <w:tab/>
        <w:t>bere na vědomí, že ke dni 31. prosince 2022 byl plán pracovních míst naplněn z 90 % (v roce 2021 to bylo z 87 %), přičemž z 371 míst dočasných zaměstnanců povolených v rozpočtu Unie (ve srovnání s 366 povolenými místy v roce 2021) jich bylo obsazeno 333; vítá opětovné zvýšení míry obsazenosti agentury; vyjadřuje politování nad tím, že došlo ke zvýšení fluktuace v rámci agentury ze 4,1 % v roce 2021 na 8,2 % v roce 2022; konstatuje, že v roce 2022 pro agenturu dále pracovalo 184 smluvních zaměstnanců a deset vyslaných národních odborníků; zdůrazňuje, že v souvislosti s válkou na Ukrajině a prováděním směrnice o dočasné ochraně poskytla Komise agentuře 90 krátkodobých pracovních míst pro smluvní zaměstnance na dobu dvou let; poznamenává, že v roce 2022 agentura zveřejnila 29 oznámení o volných pracovních místech a zveřejnila 138 nabídek práce pro dočasné a smluvní zaměstnance;</w:t>
      </w:r>
    </w:p>
    <w:p w14:paraId="3D4AC454" w14:textId="77777777" w:rsidR="00C27D9C" w:rsidRPr="005160ED" w:rsidRDefault="00C27D9C" w:rsidP="004F0305">
      <w:pPr>
        <w:pStyle w:val="NormalHanging12a"/>
        <w:rPr>
          <w:szCs w:val="24"/>
        </w:rPr>
      </w:pPr>
      <w:r w:rsidRPr="005160ED">
        <w:t>14.</w:t>
      </w:r>
      <w:r w:rsidRPr="005160ED">
        <w:tab/>
        <w:t>vítá politiku agentury týkající se ochrany důstojnosti osoby a předcházení psychickému a sexuálnímu obtěžování, provádění pravidel Komise pro vedení správních šetření a kárných řízení a interní pokyny týkající se žádostí o pomoc podle článku 24 služebního řádu úředníků; bere na vědomí, že – jak vyplývá z odpovědí agentury na písemné otázky Parlamentu – v roce 2022 byly agentuře nahlášeny tři případy obtěžování, z nichž dva byly zamítnuty, neboť nebyly předloženy žádné přímé důkazy o obtěžování, a uzavřeny bez dalších opatření, zatímco ve třetím případě bylo zahájeno správní šetření; vyzývá agenturu, aby orgán příslušný k udělení absolutoria o výsledku tohoto šetření informovala; s uspokojením konstatuje, že na základě doporučení Útvaru interního auditu Komise přijala agentura v dubnu 2023 pokyny pro správní vyšetřování a kárné řízení;</w:t>
      </w:r>
    </w:p>
    <w:p w14:paraId="785A9358" w14:textId="77777777" w:rsidR="00C27D9C" w:rsidRPr="005160ED" w:rsidRDefault="00C27D9C" w:rsidP="004F0305">
      <w:pPr>
        <w:pStyle w:val="NormalHanging12a"/>
        <w:rPr>
          <w:szCs w:val="24"/>
        </w:rPr>
      </w:pPr>
      <w:r w:rsidRPr="005160ED">
        <w:t>15.</w:t>
      </w:r>
      <w:r w:rsidRPr="005160ED">
        <w:tab/>
        <w:t>bere na vědomí, že – jak vyplývá z opatření agentury přijatých v návaznosti na horizontální připomínky Parlamentu v souvislosti s postupem udělování absolutoria za rok 2021, stejně jako z monitorovací zprávy agentury – agentura v posledních letech (od roku 2019) využívá při řešení případů údajného obtěžování (tj. v případě žádostí o pomoc podle článku 24 služebního řádu) služeb externí právní kanceláře (která se specializuje na právo Unie v oblasti veřejné služby); v této souvislosti poznamenává, že oddělení právních služeb agentury provádí hodnocení, zda je třeba požádat o podporu nebo poradenství externí právní kancelář, a že toto oddělení řídí příslušný postup a ve všech těchto případech spolupracuje s oddělením lidských zdrojů agentury; připomíná však závazek – jak vyplývá z usnesení Parlamentu o udělení absolutoria za rok 2017, kterým bylo bývalému výkonnému řediteli agentury odmítnuto udělení absolutoria za plnění rozpočtu v uvedeném roce –, jenž agentuře ukládá, aby ukončila využívání externího právního poradenství zřízením interní právní služby; vyzývá agenturu, aby orgán příslušný k udělení absolutoria informovala o tom, proč tento závazek nebyl dodržen;</w:t>
      </w:r>
    </w:p>
    <w:p w14:paraId="45D38616" w14:textId="77777777" w:rsidR="00C27D9C" w:rsidRPr="005160ED" w:rsidRDefault="00C27D9C" w:rsidP="004F0305">
      <w:pPr>
        <w:pStyle w:val="NormalHanging12a"/>
        <w:rPr>
          <w:szCs w:val="24"/>
        </w:rPr>
      </w:pPr>
      <w:r w:rsidRPr="005160ED">
        <w:t>16.</w:t>
      </w:r>
      <w:r w:rsidRPr="005160ED">
        <w:tab/>
        <w:t>připomíná zjištění Účetního dvora, že v roce 2020 měla agentura v plánu pracovních míst 16 neobsazených vedoucích míst, přičemž 10 z nich bylo obsazeno pracovníky, kteří vykonávali funkci dočasně déle než jeden rok, jakož i další problémy, jako je zastávání dvou funkcí zastupujícími vedoucími pracovníky; s uspokojením bere na vědomí – na základě monitorovací zprávy agentury – následná zmírňující opatření, která agentura přijala s cílem dodržet čl. 7 odst. 2 služebního řádu, a to nejprve tím, že na konci roku 2022 snížila počet dočasných jmenování vedoucích pracovníků na dobu delší než jeden rok na dvě, a následně je od roku 2023 zcela zrušila, takže nyní už na dočasné vedoucí pozici není žádný zaměstnanec déle než jeden rok; oceňuje zájem agentury o stanovení priorit pro nábor vedoucích pracovníků; oceňuje agenturu za pokrok dosažený v letech 2022 a 2023, pokud jde o postupy přijímání zaměstnanců na různé vedoucí pozice na střední a vyšší úrovni, včetně pozice zástupce výkonného ředitele, přičemž, jak vyplývá z monitorovací zprávy agentury, dvě výběrová řízení byla dokončena a devět výběrových řízení probíhalo nebo nebylo dokončeno; vyzývá agenturu, aby orgán příslušný k udělení absolutoria informovala o výsledcích všech těchto postupů; poznamenává, že – jak vyplývá z internetových stránek agentury – k 15. lednu 2024 je vedoucí administrativního střediska agentury jmenován dočasně a vedoucí střediska pro institucionální a horizontální záležitosti agentury vykonává funkci jako zastupující vedoucí;</w:t>
      </w:r>
    </w:p>
    <w:p w14:paraId="5ECBE237" w14:textId="77777777" w:rsidR="00C27D9C" w:rsidRPr="005160ED" w:rsidRDefault="00C27D9C" w:rsidP="004F0305">
      <w:pPr>
        <w:pStyle w:val="NormalHanging12a"/>
        <w:rPr>
          <w:szCs w:val="24"/>
        </w:rPr>
      </w:pPr>
      <w:r w:rsidRPr="005160ED">
        <w:t>17.</w:t>
      </w:r>
      <w:r w:rsidRPr="005160ED">
        <w:tab/>
        <w:t>zdůrazňuje, že zmírňující opatření, která agentura přijala s cílem dodržet čl. 7 odst. 2 služebního řádu, zjišťovací mise provedená Útvarem interního auditu v říjnu 2022, činnost Účetního dvora v terénu v rámci auditu za rozpočtový rok 2022, příslušné připomínky Parlamentu určené agentuře v usnesení Parlamentu o udělení absolutoria za rok 2021, jakož i (probíhající) vyšetřování, které zahájil Evropský úřad pro boj proti podvodům (OLAF) dne 24. listopadu 2022, jsou částečně výsledkem anonymního e-mailu, který obsahoval četná obvinění mimo jiné z nesrovnalostí týkajících se zaměstnanců, jež způsobil celý tým vrcholného vedení agentury; vyzývá agenturu k plné spolupráci s úřadem OLAF při probíhajícím vyšetřování; bere na vědomí, že – jak vyplývá z konsolidované výroční zprávy o činnosti agentury za rok 2022 – výpočet příplatků za dočasné obsazení vedoucích pracovních míst byl legální a správný, zatímco dočasné obsazení pracovních míst na dobu delší než jeden rok nebylo v souladu s předpisy, nevedlo však k neoprávněným platbám; vyzývá agenturu, aby informoval orgán příslušný k udělení absolutoria o průběhu a fázích vyšetřování;</w:t>
      </w:r>
    </w:p>
    <w:p w14:paraId="4EB24B38" w14:textId="77777777" w:rsidR="00C27D9C" w:rsidRPr="005160ED" w:rsidRDefault="00C27D9C" w:rsidP="004F0305">
      <w:pPr>
        <w:pStyle w:val="NormalHanging12a"/>
        <w:rPr>
          <w:szCs w:val="24"/>
        </w:rPr>
      </w:pPr>
      <w:r w:rsidRPr="005160ED">
        <w:t>18.</w:t>
      </w:r>
      <w:r w:rsidRPr="005160ED">
        <w:tab/>
        <w:t>připomíná, že v roce 2018 úřad OLAF ukončil další vyšetřování, které vedlo ke zjištěním spojeným např. s pochybeními při řízení lidských zdrojů, k odstoupení tehdejšího výkonného ředitele agentury a k přijetí akčního plánu řízení ze strany správní rady agentury, který měl za cíl obnovit důvěru v rámci agentury i vůči veřejnosti, posílit strukturu řízení a obnovit vnitřní kapacitu; konstatuje, že navzdory reorganizaci, kterou agentura v posledních letech provedla, se stále objevují problémy, které mohou vypovídat o existenci strukturálních problémů; v této souvislosti vyzývá Komisi, aby nalezla řešení pro provedení nezávislého posouzení nedávné reorganizace agentury s cílem zhodnotit, do jaké míry vykazuje současné organizační schéma agentury a rozdělení odpovědnosti mezi vedoucími pracovníky agentury na střední a vyšší úrovni náchylnost k rizikům neefektivity, pochybením při řízení lidských zdrojů a nedostatečné transparentnosti (mimo jiné i vůči správní radě agentury);</w:t>
      </w:r>
    </w:p>
    <w:p w14:paraId="28FC8B1F" w14:textId="77777777" w:rsidR="00C27D9C" w:rsidRPr="005160ED" w:rsidRDefault="00C27D9C" w:rsidP="004F0305">
      <w:pPr>
        <w:pStyle w:val="NormalHanging12a"/>
        <w:rPr>
          <w:szCs w:val="24"/>
        </w:rPr>
      </w:pPr>
      <w:r w:rsidRPr="005160ED">
        <w:t>19.</w:t>
      </w:r>
      <w:r w:rsidRPr="005160ED">
        <w:tab/>
        <w:t>se znepokojením konstatuje, že agentura nepřijala Chartu rozmanitosti a začleňování a ani nepodala zprávu o opatřeních přijatých za účelem integrace osob se zdravotním postižením; připomíná, že Listina základních práv Unie zakazuje diskriminaci na základě zdravotního postižení a uznává právo osob se zdravotním postižením využívat opatření zajišťující jejich nezávislost, začlenění do společnosti a zaměstnání a účast na životě společnosti; bere však na vědomí závazek agentury řešit tyto oblasti prostřednictvím opatření, která budou provedena, jakmile bude přijata připravovaná strategie v oblasti lidských zdrojů; dále poznamenává, že agentura přijala iniciativy a zavedla různá opatření za účelem zlepšení dobrých pracovních podmínek a rovnováhy mezi pracovním a soukromým životem svých zaměstnanců, jako jsou cílené vzdělávací kurzy, dohody o poskytování služeb s poskytovateli péče o děti a školami, služba psychologické a sociální podpory, osvětové kampaně a volnočasové aktivity;</w:t>
      </w:r>
    </w:p>
    <w:p w14:paraId="7B71EDB0" w14:textId="77777777" w:rsidR="00C27D9C" w:rsidRPr="005160ED" w:rsidRDefault="00C27D9C" w:rsidP="004F0305">
      <w:pPr>
        <w:pStyle w:val="NormalHanging12a"/>
        <w:rPr>
          <w:b/>
          <w:i/>
          <w:szCs w:val="24"/>
        </w:rPr>
      </w:pPr>
      <w:r w:rsidRPr="005160ED">
        <w:rPr>
          <w:b/>
          <w:i/>
        </w:rPr>
        <w:t>Zadávání veřejných zakázek</w:t>
      </w:r>
    </w:p>
    <w:p w14:paraId="5CB87970" w14:textId="77777777" w:rsidR="00C27D9C" w:rsidRPr="005160ED" w:rsidRDefault="00C27D9C" w:rsidP="004F0305">
      <w:pPr>
        <w:pStyle w:val="NormalHanging12a"/>
        <w:rPr>
          <w:szCs w:val="24"/>
        </w:rPr>
      </w:pPr>
      <w:r w:rsidRPr="005160ED">
        <w:t>20.</w:t>
      </w:r>
      <w:r w:rsidRPr="005160ED">
        <w:tab/>
        <w:t>znovu poukazuje na připomínky Účetního dvora za rozpočtové roky 2017 a 2020, podle nichž byla zadávací řízení na pronájem prostor na ostrově Lesbos a v Římě nesprávná z důvodu nedostatečného zajištění podmínek hospodářské soutěže a nedodržení zásady hospodárnosti; bere na vědomí, že – jak vyplývá ze zprávy Účetního dvora – všechny následné platby provedené v souvislosti s těmito řízeními jsou neoprávněné, včetně souvisejících plateb ve výši 281 095 EUR, které byly provedeny v roce 2022; s uspokojením bere na vědomí – na základě zprávy Účetního dvora – nápravná opatření přijatá agenturou, v jejichž důsledku skončila nájemní smlouva na prostory na ostrově Lesbos dne 30. dubna 2023 a na prostory v Římě dne 31. července 2023; bere na vědomí, že – jak vyplývá z konsolidované výroční zprávy o činnosti agentury za rok 2022 – se ve spolupráci s řeckými orgány hledá udržitelné řešení na pronájem prostor na ostrově Lesbos;</w:t>
      </w:r>
    </w:p>
    <w:p w14:paraId="2C17AB4F" w14:textId="77777777" w:rsidR="00C27D9C" w:rsidRPr="005160ED" w:rsidRDefault="00C27D9C" w:rsidP="004F0305">
      <w:pPr>
        <w:pStyle w:val="NormalHanging12a"/>
        <w:rPr>
          <w:szCs w:val="24"/>
        </w:rPr>
      </w:pPr>
      <w:r w:rsidRPr="005160ED">
        <w:t>21.</w:t>
      </w:r>
      <w:r w:rsidRPr="005160ED">
        <w:tab/>
        <w:t>bere na vědomí připomínku ze zprávy Účetního dvora, že agentura zakoupila vybavení IT z on-line katalogu poskytovatele, a nikoli z předem schváleného ceníku s finančními a technickými nabídkami, což mělo za následek, že kupní cena byla o 44 % (ekvivalent částky 49 224 EUR, kterou Účetní dvůr považoval za neoprávněnou platbu) vyšší, než kdyby vycházela z předem schváleného ceníku; bere na vědomí, že z odpovědi agentury vyplývá, že rozhodnutí o nákupu těchto položek vycházelo z provozních potřeb a bylo ovlivněno naléhavostí, jakož i omezenou dostupností vybavení IT na trhu, a že byly stanoveny vhodné kontrolní mechanismy, které poskytují přiměřenou jistotu, že v budoucnu budou nákupy náhradních položek z on-line katalogu omezeny na cenu odpovídající položky uvedené v původní nabídce dodavatele;</w:t>
      </w:r>
    </w:p>
    <w:p w14:paraId="2313C593" w14:textId="77777777" w:rsidR="00C27D9C" w:rsidRPr="005160ED" w:rsidRDefault="00C27D9C" w:rsidP="004F0305">
      <w:pPr>
        <w:spacing w:after="240"/>
        <w:ind w:left="567" w:hanging="567"/>
        <w:rPr>
          <w:szCs w:val="24"/>
        </w:rPr>
      </w:pPr>
      <w:r w:rsidRPr="005160ED">
        <w:rPr>
          <w:b/>
          <w:i/>
        </w:rPr>
        <w:t>Prevence a řešení střetů zájmů a transparentnost</w:t>
      </w:r>
    </w:p>
    <w:p w14:paraId="488F6401" w14:textId="77777777" w:rsidR="00C27D9C" w:rsidRPr="005160ED" w:rsidRDefault="00C27D9C" w:rsidP="004F0305">
      <w:pPr>
        <w:pStyle w:val="NormalHanging12a"/>
        <w:rPr>
          <w:szCs w:val="24"/>
        </w:rPr>
      </w:pPr>
      <w:r w:rsidRPr="005160ED">
        <w:t>22.</w:t>
      </w:r>
      <w:r w:rsidRPr="005160ED">
        <w:tab/>
        <w:t>oceňuje pokrok, kterého agentura v roce 2022 dosáhla v oblasti předcházení střetu zájmů a jeho řešení a etického poradenství prostřednictvím přípravných prací, které vedly k tomu, že v lednu 2023 bylo přijato jedno rozhodnutí vztahující se na členy správní rady agentury, jakož i na organizace a příslušné orgány, které jsou členy poradního fóra agentury, a dvě rozhodnutí vztahující se na zaměstnance agentury; vítá jmenování etického zpravodaje agentury, stejně jako závazek agentury uvádět na pozvánkách na schůze, kterých se účastní externí subjekty, standardní formulace týkající se prohlášení o střetu zájmů; s uspokojením konstatuje, že agentura vypracovala pokyny týkající se pravidel a postupů po skončení pracovního poměru, které se vztahují na zaměstnance odcházející z agentury;</w:t>
      </w:r>
    </w:p>
    <w:p w14:paraId="3FFC5EC4" w14:textId="77777777" w:rsidR="00C27D9C" w:rsidRPr="005160ED" w:rsidRDefault="00C27D9C" w:rsidP="004F0305">
      <w:pPr>
        <w:pStyle w:val="NormalHanging12a"/>
        <w:rPr>
          <w:szCs w:val="24"/>
        </w:rPr>
      </w:pPr>
      <w:r w:rsidRPr="005160ED">
        <w:t>23.</w:t>
      </w:r>
      <w:r w:rsidRPr="005160ED">
        <w:tab/>
        <w:t xml:space="preserve">bere na vědomí, že prohlášení o zájmech a životopisy členů správní rady jsou zveřejňovány na internetových stránkách agentury, stejně jako prohlášení o zájmech a životopisy vedoucích pracovníků agentury; podotýká však, že životopisy interních a externích odborníků na internetových stránkách agentury k dispozici nejsou; z odpovědí agentury na písemné otázky Parlamentu vyplývá, že v roce 2022 nebyly na úrovni agentury zaznamenány žádné otevřené, uzavřené ani probíhající případy střetu zájmů nebo whistleblowingu; oceňuje agenturu za to, že udržuje úzký dialog s příslušnými organizacemi občanské společnosti působícími v oblasti azylu prostřednictvím poradního fóra agentury, které bylo v červnu 2022 obnoveno (116 členů) na základě nového souboru pravidel vyplývajících z </w:t>
      </w:r>
      <w:r w:rsidRPr="005160ED">
        <w:rPr>
          <w:color w:val="000000" w:themeColor="text1"/>
        </w:rPr>
        <w:t>nařízení (EU) 2021/2303</w:t>
      </w:r>
      <w:r w:rsidRPr="005160ED">
        <w:t>;</w:t>
      </w:r>
    </w:p>
    <w:p w14:paraId="4FCC6E54" w14:textId="77777777" w:rsidR="00C27D9C" w:rsidRPr="005160ED" w:rsidRDefault="00C27D9C" w:rsidP="004F0305">
      <w:pPr>
        <w:spacing w:after="240"/>
        <w:ind w:left="567" w:hanging="567"/>
        <w:rPr>
          <w:b/>
          <w:i/>
          <w:szCs w:val="24"/>
        </w:rPr>
      </w:pPr>
      <w:r w:rsidRPr="005160ED">
        <w:rPr>
          <w:b/>
          <w:i/>
        </w:rPr>
        <w:t>Interní audit</w:t>
      </w:r>
    </w:p>
    <w:p w14:paraId="70B16048" w14:textId="77777777" w:rsidR="00C27D9C" w:rsidRPr="005160ED" w:rsidRDefault="00C27D9C" w:rsidP="004F0305">
      <w:pPr>
        <w:pStyle w:val="NormalHanging12a"/>
        <w:rPr>
          <w:szCs w:val="24"/>
        </w:rPr>
      </w:pPr>
      <w:r w:rsidRPr="005160ED">
        <w:t>24.</w:t>
      </w:r>
      <w:r w:rsidRPr="005160ED">
        <w:tab/>
        <w:t>bere na vědomí zjištění ze zprávy Účetního dvora, že tři případy dalšího pověření, které vyžadovaly opětovné potvrzení v dubnu 2021, byly znovu potvrzeny až v únoru 2022, kdy byla situace napravena, v důsledku čehož agentura porušila svá vnitřní pravidla, podle nichž mají být dále pověřené finanční pravomoci obnoveny, jakmile je jmenována nová pověřená schvalující osoba;</w:t>
      </w:r>
    </w:p>
    <w:p w14:paraId="5FC7AD34" w14:textId="77777777" w:rsidR="00C27D9C" w:rsidRPr="005160ED" w:rsidRDefault="00C27D9C" w:rsidP="004F0305">
      <w:pPr>
        <w:pStyle w:val="NormalHanging12a"/>
        <w:rPr>
          <w:szCs w:val="24"/>
        </w:rPr>
      </w:pPr>
      <w:r w:rsidRPr="005160ED">
        <w:t>25.</w:t>
      </w:r>
      <w:r w:rsidRPr="005160ED">
        <w:tab/>
        <w:t xml:space="preserve">vítá pokrok, kterého agentura dosáhla při řešení doporučení, která zůstala otevřená po předchozích auditech provedených Útvarem interního auditu a Účetním dvorem; bere na vědomí, že – jak vyplývá z konsolidované výroční zprávy o činnosti agentury za rok 2022 – některá doporučení v souvislosti s auditem Útvaru interního auditu z roku 2020 (Řízení lidských zdrojů a etika v úřadu EASO) a z roku 2021 (Správa informačních technologií a řízení projektů v oblasti informačních technologií) stále probíhají nebo jsou značně opožděná; dále bere na vědomí, že – jak vyplývá ze zprávy Účetního dvora – tři doporučení z minulých auditů provedených Účetním dvorem jsou stále otevřená: dvě doporučení týkající se nájemních smluv na prostory na ostrově Lesbos a v Římě, u nichž agentura očekává, že je Účetní dvůr uzná za uzavřené v roce 2024 poté, co byly v roce 2023 provedeny poslední související (neoprávněné) platby, a jedno doporučení týkající se zavedení účinných finančních kontrol </w:t>
      </w:r>
      <w:r w:rsidRPr="005160ED">
        <w:rPr>
          <w:i/>
          <w:iCs/>
        </w:rPr>
        <w:t>ex post</w:t>
      </w:r>
      <w:r w:rsidRPr="005160ED">
        <w:t xml:space="preserve"> ze strany agentury; v této souvislosti vyzývá agenturu, aby urychlila provádění nevyřešených nápravných opatření a průběžně informovala orgán příslušný k udělení absolutoria o pokroku dosaženém v tomto ohledu;</w:t>
      </w:r>
    </w:p>
    <w:p w14:paraId="0A4C9842" w14:textId="77777777" w:rsidR="00C27D9C" w:rsidRPr="005160ED" w:rsidRDefault="00C27D9C" w:rsidP="004F0305">
      <w:pPr>
        <w:pStyle w:val="NormalHanging12a"/>
        <w:rPr>
          <w:szCs w:val="24"/>
        </w:rPr>
      </w:pPr>
      <w:r w:rsidRPr="005160ED">
        <w:t>26.</w:t>
      </w:r>
      <w:r w:rsidRPr="005160ED">
        <w:tab/>
        <w:t xml:space="preserve">bere na vědomí, že agentura provedla sebehodnocení svého systému vnitřní kontroly (ICSA) pro rok 2022 a dospěla k závěru, že celkově zavedené kontroly fungují tak, jak mají, přičemž 10 zásad je plně účinných a 7 je účinných, zatímco na úrovni složek Kontrolní prostředí, Kontrolní činnosti a Monitorovací činnosti je třeba provést určitá zlepšení; dále zdůrazňuje, že v roce 2022 byla zavedena strategie pro finanční kontroly </w:t>
      </w:r>
      <w:r w:rsidRPr="005160ED">
        <w:rPr>
          <w:i/>
          <w:iCs/>
        </w:rPr>
        <w:t>ex post</w:t>
      </w:r>
      <w:r w:rsidRPr="005160ED">
        <w:t xml:space="preserve"> založená na rizicích, která prověřovala vybraný vzorek transakcí a operací zadávání veřejných zakázek a pokrývala dva rozpočtové roky (2020 a 2021); bere na vědomí, že – jak vyplývá z konsolidované výroční zprávy o činnosti agentury za rok 2022 – výsledky těchto kontrol zahrnovaly 44 připomínek a 122 návrhů nápravných opatření; bere na vědomí, že v rámci provádění svého systému vnitřní kontroly pro rok 2022 provedla agentura v prvním čtvrtletí roku 2023 kontroly stavu provádění těchto 122 (předem dohodnutých) nápravných opatření, z nichž pouze 45 nápravných opatření (40 %) bylo příslušnými vlastníky podniků provedeno včas a odpovídajícím způsobem; vyzývá agenturu, aby řešila veškerá nápravná opatření, která jsou nadále otevřená, a průběžně informovala orgán příslušný k udělení absolutoria o pokroku dosaženém v tomto ohledu; s uznáním poznamenává, že agentura transparentně informuje (příloha IX konsolidované výroční zprávy o činnosti agentury za rok 2022) o podrobnostech a aktuálním stavu zjištěných nedostatků a dohodnutých nápravných opatření, které vycházejí z různých zdrojů (řízení výjimek a případů nesouladu, kritéria monitorování vnitřní kontroly, systému vnitřní kontroly agentury, finanční kontroly </w:t>
      </w:r>
      <w:r w:rsidRPr="005160ED">
        <w:rPr>
          <w:i/>
          <w:iCs/>
        </w:rPr>
        <w:t>ex ante</w:t>
      </w:r>
      <w:r w:rsidRPr="005160ED">
        <w:t xml:space="preserve"> a </w:t>
      </w:r>
      <w:r w:rsidRPr="005160ED">
        <w:rPr>
          <w:i/>
          <w:iCs/>
        </w:rPr>
        <w:t>ex post</w:t>
      </w:r>
      <w:r w:rsidRPr="005160ED">
        <w:t>, zprávy o auditu, řízení rizik atd.);</w:t>
      </w:r>
    </w:p>
    <w:p w14:paraId="3779D2D3" w14:textId="77777777" w:rsidR="00C27D9C" w:rsidRPr="005160ED" w:rsidRDefault="00C27D9C" w:rsidP="004F0305">
      <w:pPr>
        <w:pStyle w:val="NormalHanging12a"/>
        <w:rPr>
          <w:szCs w:val="24"/>
        </w:rPr>
      </w:pPr>
      <w:r w:rsidRPr="005160ED">
        <w:t>27.</w:t>
      </w:r>
      <w:r w:rsidRPr="005160ED">
        <w:tab/>
        <w:t>připomíná, že v červenci 2020 byla přijata strategie agentury pro boj proti podvodům na období 2020–2022, která stanoví 25 prioritních opatření sledovaných prostřednictvím řady kontrolních činností; s uspokojením bere na vědomí, že v roce 2022 bylo 93 % kontrolních činností souvisejících s prováděním této strategie považováno za provedené; vítá úsilí agentury o zvyšování povědomí o záležitostech souvisejících s bojem proti podvodům, přičemž 56,7 % statutárních zaměstnanců agentury se zúčastnilo školení o prevenci podvodů a identifikaci rizik podvodů; s uspokojením bere na vědomí, že agentura transparentně informuje (příloha XII konsolidované výroční zprávy o činnosti agentury za rok 2022) o podrobnostech a stavu kontrolních činností v rámci své strategie boje proti podvodům;</w:t>
      </w:r>
    </w:p>
    <w:p w14:paraId="5799C0FE" w14:textId="77777777" w:rsidR="00C27D9C" w:rsidRPr="005160ED" w:rsidRDefault="00C27D9C" w:rsidP="004F0305">
      <w:pPr>
        <w:spacing w:after="240"/>
        <w:ind w:left="567" w:hanging="567"/>
        <w:rPr>
          <w:b/>
          <w:i/>
          <w:szCs w:val="24"/>
        </w:rPr>
      </w:pPr>
      <w:r w:rsidRPr="005160ED">
        <w:rPr>
          <w:b/>
          <w:i/>
        </w:rPr>
        <w:t>Další připomínky</w:t>
      </w:r>
    </w:p>
    <w:p w14:paraId="408DB008" w14:textId="77777777" w:rsidR="00C27D9C" w:rsidRPr="005160ED" w:rsidRDefault="00C27D9C" w:rsidP="004F0305">
      <w:pPr>
        <w:spacing w:after="240"/>
        <w:ind w:left="567" w:hanging="567"/>
        <w:rPr>
          <w:szCs w:val="24"/>
        </w:rPr>
      </w:pPr>
      <w:r w:rsidRPr="005160ED">
        <w:t>28.</w:t>
      </w:r>
      <w:r w:rsidRPr="005160ED">
        <w:tab/>
        <w:t>bere na vědomí, že agentura zavedla různá opatření za účelem posílení povědomí o přínosu u veřejnosti a posílení přítomnosti na internetu, např. spustila modernizované internetové stránky a zavedla novou vizuální identitu, zmodernizovala své portfolio sociálních médií se zaměřením na audiovizuální formáty a ve svých prostorách uvítala studentské skupiny;</w:t>
      </w:r>
    </w:p>
    <w:p w14:paraId="16A701FE" w14:textId="77777777" w:rsidR="00C27D9C" w:rsidRPr="005160ED" w:rsidRDefault="00C27D9C" w:rsidP="00C27D9C">
      <w:pPr>
        <w:pStyle w:val="NormalCenter12a"/>
      </w:pPr>
      <w:r w:rsidRPr="005160ED">
        <w:t>°</w:t>
      </w:r>
    </w:p>
    <w:p w14:paraId="20043402" w14:textId="77777777" w:rsidR="00C27D9C" w:rsidRPr="005160ED" w:rsidRDefault="00C27D9C" w:rsidP="00C27D9C">
      <w:pPr>
        <w:pStyle w:val="NormalCenter12a"/>
      </w:pPr>
      <w:r w:rsidRPr="005160ED">
        <w:t>°</w:t>
      </w:r>
      <w:r w:rsidRPr="005160ED">
        <w:tab/>
        <w:t>°</w:t>
      </w:r>
    </w:p>
    <w:p w14:paraId="5C4BF62F" w14:textId="77777777" w:rsidR="00C27D9C" w:rsidRPr="005160ED" w:rsidRDefault="00C27D9C" w:rsidP="00C27D9C">
      <w:pPr>
        <w:pStyle w:val="NormalHanging12a"/>
      </w:pPr>
      <w:r w:rsidRPr="005160ED">
        <w:t>29.</w:t>
      </w:r>
      <w:r w:rsidRPr="005160ED">
        <w:tab/>
        <w:t>pokud jde o další připomínky, které jsou připojeny k rozhodnutí o udělení absolutoria a jsou horizontální povahy, odkazuje na své usnesení ze dne […] 2024</w:t>
      </w:r>
      <w:r w:rsidRPr="005160ED">
        <w:rPr>
          <w:rStyle w:val="FootnoteReference"/>
        </w:rPr>
        <w:footnoteReference w:id="14"/>
      </w:r>
      <w:r w:rsidRPr="005160ED">
        <w:t xml:space="preserve"> o výkonnosti, finančním řízení a kontrole agentur.</w:t>
      </w:r>
    </w:p>
    <w:p w14:paraId="69305186" w14:textId="77777777" w:rsidR="00267A91" w:rsidRPr="005160ED" w:rsidRDefault="00267A91" w:rsidP="00267A91"/>
    <w:sectPr w:rsidR="00267A91" w:rsidRPr="005160ED" w:rsidSect="00267A91">
      <w:headerReference w:type="even" r:id="rId14"/>
      <w:headerReference w:type="default" r:id="rId15"/>
      <w:headerReference w:type="first" r:id="rId16"/>
      <w:footerReference w:type="first" r:id="rId17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F75429" w14:textId="77777777" w:rsidR="00A526A7" w:rsidRPr="005160ED" w:rsidRDefault="00A526A7">
      <w:r w:rsidRPr="005160ED">
        <w:separator/>
      </w:r>
    </w:p>
  </w:endnote>
  <w:endnote w:type="continuationSeparator" w:id="0">
    <w:p w14:paraId="2E0566D4" w14:textId="77777777" w:rsidR="00A526A7" w:rsidRPr="005160ED" w:rsidRDefault="00A526A7">
      <w:r w:rsidRPr="005160E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00000000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1B0689" w14:textId="5F94B928" w:rsidR="003F6D7C" w:rsidRPr="005160ED" w:rsidRDefault="003F6D7C" w:rsidP="003F6D7C">
    <w:pPr>
      <w:pStyle w:val="EPFooter"/>
    </w:pPr>
    <w:r w:rsidRPr="005160ED">
      <w:t>PE</w:t>
    </w:r>
    <w:r w:rsidRPr="005160ED">
      <w:rPr>
        <w:rStyle w:val="HideTWBExt"/>
      </w:rPr>
      <w:t>&lt;NoPE&gt;</w:t>
    </w:r>
    <w:r w:rsidRPr="005160ED">
      <w:t>753.532</w:t>
    </w:r>
    <w:r w:rsidRPr="005160ED">
      <w:rPr>
        <w:rStyle w:val="HideTWBExt"/>
      </w:rPr>
      <w:t>&lt;/NoPE&gt;&lt;Version&gt;</w:t>
    </w:r>
    <w:r w:rsidRPr="005160ED">
      <w:t>v01-00</w:t>
    </w:r>
    <w:r w:rsidRPr="005160ED">
      <w:rPr>
        <w:rStyle w:val="HideTWBExt"/>
      </w:rPr>
      <w:t>&lt;/Version&gt;</w:t>
    </w:r>
    <w:r w:rsidRPr="005160ED">
      <w:tab/>
    </w:r>
    <w:r w:rsidRPr="005160ED">
      <w:fldChar w:fldCharType="begin"/>
    </w:r>
    <w:r w:rsidRPr="005160ED">
      <w:instrText xml:space="preserve"> PAGE  \* MERGEFORMAT </w:instrText>
    </w:r>
    <w:r w:rsidRPr="005160ED">
      <w:fldChar w:fldCharType="separate"/>
    </w:r>
    <w:r w:rsidR="00C13C80">
      <w:rPr>
        <w:noProof/>
      </w:rPr>
      <w:t>2</w:t>
    </w:r>
    <w:r w:rsidRPr="005160ED">
      <w:fldChar w:fldCharType="end"/>
    </w:r>
    <w:r w:rsidRPr="005160ED">
      <w:t>/</w:t>
    </w:r>
    <w:fldSimple w:instr=" NUMPAGES  \* MERGEFORMAT ">
      <w:r w:rsidR="00C13C80">
        <w:rPr>
          <w:noProof/>
        </w:rPr>
        <w:t>15</w:t>
      </w:r>
    </w:fldSimple>
    <w:r w:rsidRPr="005160ED">
      <w:tab/>
    </w:r>
    <w:r w:rsidRPr="005160ED">
      <w:rPr>
        <w:rStyle w:val="HideTWBExt"/>
      </w:rPr>
      <w:t>&lt;PathFdR&gt;</w:t>
    </w:r>
    <w:r w:rsidRPr="005160ED">
      <w:t>PR\1286160CS.docx</w:t>
    </w:r>
    <w:r w:rsidRPr="005160ED">
      <w:rPr>
        <w:rStyle w:val="HideTWBExt"/>
      </w:rPr>
      <w:t>&lt;/PathFdR&gt;</w:t>
    </w:r>
  </w:p>
  <w:p w14:paraId="6DE4C25B" w14:textId="2512B536" w:rsidR="00267A91" w:rsidRPr="005160ED" w:rsidRDefault="003F6D7C" w:rsidP="003F6D7C">
    <w:pPr>
      <w:pStyle w:val="EPFooter2"/>
    </w:pPr>
    <w:r w:rsidRPr="005160ED">
      <w:t>CS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586DC3" w14:textId="28B9F601" w:rsidR="003F6D7C" w:rsidRPr="005160ED" w:rsidRDefault="003F6D7C" w:rsidP="003F6D7C">
    <w:pPr>
      <w:pStyle w:val="EPFooter"/>
    </w:pPr>
    <w:r w:rsidRPr="005160ED">
      <w:rPr>
        <w:rStyle w:val="HideTWBExt"/>
      </w:rPr>
      <w:t>&lt;PathFdR&gt;</w:t>
    </w:r>
    <w:r w:rsidRPr="005160ED">
      <w:t>PR\1286160CS.docx</w:t>
    </w:r>
    <w:r w:rsidRPr="005160ED">
      <w:rPr>
        <w:rStyle w:val="HideTWBExt"/>
      </w:rPr>
      <w:t>&lt;/PathFdR&gt;</w:t>
    </w:r>
    <w:r w:rsidRPr="005160ED">
      <w:tab/>
    </w:r>
    <w:r w:rsidRPr="005160ED">
      <w:fldChar w:fldCharType="begin"/>
    </w:r>
    <w:r w:rsidRPr="005160ED">
      <w:instrText xml:space="preserve"> PAGE  \* MERGEFORMAT </w:instrText>
    </w:r>
    <w:r w:rsidRPr="005160ED">
      <w:fldChar w:fldCharType="separate"/>
    </w:r>
    <w:r w:rsidR="00C13C80">
      <w:rPr>
        <w:noProof/>
      </w:rPr>
      <w:t>15</w:t>
    </w:r>
    <w:r w:rsidRPr="005160ED">
      <w:fldChar w:fldCharType="end"/>
    </w:r>
    <w:r w:rsidRPr="005160ED">
      <w:t>/</w:t>
    </w:r>
    <w:fldSimple w:instr=" NUMPAGES  \* MERGEFORMAT ">
      <w:r w:rsidR="00C13C80">
        <w:rPr>
          <w:noProof/>
        </w:rPr>
        <w:t>15</w:t>
      </w:r>
    </w:fldSimple>
    <w:r w:rsidRPr="005160ED">
      <w:tab/>
      <w:t>PE</w:t>
    </w:r>
    <w:r w:rsidRPr="005160ED">
      <w:rPr>
        <w:rStyle w:val="HideTWBExt"/>
      </w:rPr>
      <w:t>&lt;NoPE&gt;</w:t>
    </w:r>
    <w:r w:rsidRPr="005160ED">
      <w:t>753.532</w:t>
    </w:r>
    <w:r w:rsidRPr="005160ED">
      <w:rPr>
        <w:rStyle w:val="HideTWBExt"/>
      </w:rPr>
      <w:t>&lt;/NoPE&gt;&lt;Version&gt;</w:t>
    </w:r>
    <w:r w:rsidRPr="005160ED">
      <w:t>v01-00</w:t>
    </w:r>
    <w:r w:rsidRPr="005160ED">
      <w:rPr>
        <w:rStyle w:val="HideTWBExt"/>
      </w:rPr>
      <w:t>&lt;/Version&gt;</w:t>
    </w:r>
  </w:p>
  <w:p w14:paraId="6A424F74" w14:textId="72704EE7" w:rsidR="00267A91" w:rsidRPr="005160ED" w:rsidRDefault="003F6D7C" w:rsidP="003F6D7C">
    <w:pPr>
      <w:pStyle w:val="EPFooter2"/>
    </w:pPr>
    <w:r w:rsidRPr="005160ED">
      <w:tab/>
    </w:r>
    <w:r w:rsidRPr="005160ED">
      <w:tab/>
      <w:t>CS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85CC24" w14:textId="77777777" w:rsidR="003F6D7C" w:rsidRPr="005160ED" w:rsidRDefault="003F6D7C" w:rsidP="003F6D7C">
    <w:pPr>
      <w:pStyle w:val="EPFooter"/>
    </w:pPr>
    <w:r w:rsidRPr="005160ED">
      <w:rPr>
        <w:rStyle w:val="HideTWBExt"/>
      </w:rPr>
      <w:t>&lt;PathFdR&gt;</w:t>
    </w:r>
    <w:r w:rsidRPr="005160ED">
      <w:t>PR\1286160CS.docx</w:t>
    </w:r>
    <w:r w:rsidRPr="005160ED">
      <w:rPr>
        <w:rStyle w:val="HideTWBExt"/>
      </w:rPr>
      <w:t>&lt;/PathFdR&gt;</w:t>
    </w:r>
    <w:r w:rsidRPr="005160ED">
      <w:tab/>
    </w:r>
    <w:r w:rsidRPr="005160ED">
      <w:tab/>
      <w:t>PE</w:t>
    </w:r>
    <w:r w:rsidRPr="005160ED">
      <w:rPr>
        <w:rStyle w:val="HideTWBExt"/>
      </w:rPr>
      <w:t>&lt;NoPE&gt;</w:t>
    </w:r>
    <w:r w:rsidRPr="005160ED">
      <w:t>753.532</w:t>
    </w:r>
    <w:r w:rsidRPr="005160ED">
      <w:rPr>
        <w:rStyle w:val="HideTWBExt"/>
      </w:rPr>
      <w:t>&lt;/NoPE&gt;&lt;Version&gt;</w:t>
    </w:r>
    <w:r w:rsidRPr="005160ED">
      <w:t>v01-00</w:t>
    </w:r>
    <w:r w:rsidRPr="005160ED">
      <w:rPr>
        <w:rStyle w:val="HideTWBExt"/>
      </w:rPr>
      <w:t>&lt;/Version&gt;</w:t>
    </w:r>
  </w:p>
  <w:p w14:paraId="45246C94" w14:textId="64554D25" w:rsidR="00267A91" w:rsidRPr="005160ED" w:rsidRDefault="003F6D7C" w:rsidP="003F6D7C">
    <w:pPr>
      <w:pStyle w:val="EPFooter2"/>
    </w:pPr>
    <w:r w:rsidRPr="005160ED">
      <w:t>CS</w:t>
    </w:r>
    <w:r w:rsidRPr="005160ED">
      <w:tab/>
    </w:r>
    <w:r w:rsidRPr="005160ED">
      <w:rPr>
        <w:b w:val="0"/>
        <w:i/>
        <w:color w:val="C0C0C0"/>
        <w:sz w:val="22"/>
      </w:rPr>
      <w:t>Jednotná v rozmanitosti</w:t>
    </w:r>
    <w:r w:rsidRPr="005160ED">
      <w:tab/>
      <w:t>CS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E27C2E" w14:textId="1799C4FA" w:rsidR="00390068" w:rsidRPr="005160ED" w:rsidRDefault="00390068" w:rsidP="001A54A8">
    <w:pPr>
      <w:pStyle w:val="EPFooter"/>
    </w:pPr>
    <w:r w:rsidRPr="005160ED">
      <w:rPr>
        <w:rStyle w:val="HideTWBExt"/>
      </w:rPr>
      <w:t>&lt;PathFdR&gt;</w:t>
    </w:r>
    <w:r w:rsidR="005160ED" w:rsidRPr="005160ED">
      <w:t>PR\1286160CS.docx</w:t>
    </w:r>
    <w:r w:rsidRPr="005160ED">
      <w:rPr>
        <w:rStyle w:val="HideTWBExt"/>
      </w:rPr>
      <w:t>&lt;/PathFdR&gt;</w:t>
    </w:r>
    <w:r w:rsidRPr="005160ED">
      <w:tab/>
    </w:r>
    <w:r w:rsidRPr="005160ED">
      <w:tab/>
      <w:t>PE</w:t>
    </w:r>
    <w:r w:rsidRPr="005160ED">
      <w:rPr>
        <w:rStyle w:val="HideTWBExt"/>
      </w:rPr>
      <w:t>&lt;NoPE&gt;</w:t>
    </w:r>
    <w:r w:rsidR="00D17CE7" w:rsidRPr="005160ED">
      <w:t>753.532</w:t>
    </w:r>
    <w:r w:rsidRPr="005160ED">
      <w:rPr>
        <w:rStyle w:val="HideTWBExt"/>
      </w:rPr>
      <w:t>&lt;/NoPE&gt;&lt;Version&gt;</w:t>
    </w:r>
    <w:r w:rsidR="00A526A7" w:rsidRPr="005160ED">
      <w:t>v</w:t>
    </w:r>
    <w:r w:rsidR="00D17CE7" w:rsidRPr="005160ED">
      <w:t>01-00</w:t>
    </w:r>
    <w:r w:rsidRPr="005160ED">
      <w:rPr>
        <w:rStyle w:val="HideTWBExt"/>
      </w:rPr>
      <w:t>&lt;/Version&gt;</w:t>
    </w:r>
  </w:p>
  <w:p w14:paraId="0DC2DD23" w14:textId="1642204D" w:rsidR="00390068" w:rsidRPr="005160ED" w:rsidRDefault="009B1172" w:rsidP="00390068">
    <w:pPr>
      <w:pStyle w:val="EPFooter2"/>
      <w:tabs>
        <w:tab w:val="clear" w:pos="4535"/>
        <w:tab w:val="center" w:pos="4536"/>
      </w:tabs>
    </w:pPr>
    <w:fldSimple w:instr=" DOCPROPERTY &quot;&lt;Extension&gt;&quot; ">
      <w:r w:rsidR="00C13C80">
        <w:t>CS</w:t>
      </w:r>
    </w:fldSimple>
    <w:r w:rsidR="00390068" w:rsidRPr="005160ED">
      <w:tab/>
    </w:r>
    <w:r w:rsidR="00D17CE7" w:rsidRPr="005160ED">
      <w:rPr>
        <w:b w:val="0"/>
        <w:i/>
        <w:color w:val="C0C0C0"/>
        <w:sz w:val="22"/>
        <w:szCs w:val="22"/>
      </w:rPr>
      <w:t>United in diversity</w:t>
    </w:r>
    <w:r w:rsidR="00390068" w:rsidRPr="005160ED">
      <w:tab/>
    </w:r>
    <w:fldSimple w:instr=" DOCPROPERTY &quot;&lt;Extension&gt;&quot; ">
      <w:r w:rsidR="00C13C80">
        <w:t>CS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6B22B1" w14:textId="77777777" w:rsidR="00A526A7" w:rsidRPr="005160ED" w:rsidRDefault="00A526A7">
      <w:r w:rsidRPr="005160ED">
        <w:separator/>
      </w:r>
    </w:p>
  </w:footnote>
  <w:footnote w:type="continuationSeparator" w:id="0">
    <w:p w14:paraId="24480F38" w14:textId="77777777" w:rsidR="00A526A7" w:rsidRPr="005160ED" w:rsidRDefault="00A526A7">
      <w:r w:rsidRPr="005160ED">
        <w:continuationSeparator/>
      </w:r>
    </w:p>
  </w:footnote>
  <w:footnote w:id="1">
    <w:p w14:paraId="77A47487" w14:textId="77777777" w:rsidR="00267A91" w:rsidRPr="005160ED" w:rsidRDefault="00267A91" w:rsidP="00267A91">
      <w:pPr>
        <w:pStyle w:val="FootnoteText"/>
        <w:ind w:left="567" w:hanging="567"/>
      </w:pPr>
      <w:r w:rsidRPr="005160ED">
        <w:rPr>
          <w:rStyle w:val="FootnoteReference"/>
        </w:rPr>
        <w:footnoteRef/>
      </w:r>
      <w:r w:rsidRPr="005160ED">
        <w:t xml:space="preserve"> Úř. věst. C, C/2023/594, 27.10.2023.</w:t>
      </w:r>
    </w:p>
  </w:footnote>
  <w:footnote w:id="2">
    <w:p w14:paraId="7B175A86" w14:textId="77777777" w:rsidR="00267A91" w:rsidRPr="005160ED" w:rsidRDefault="00267A91" w:rsidP="00267A91">
      <w:pPr>
        <w:pStyle w:val="FootnoteText"/>
        <w:ind w:left="567" w:hanging="567"/>
      </w:pPr>
      <w:r w:rsidRPr="005160ED">
        <w:rPr>
          <w:rStyle w:val="FootnoteReference"/>
        </w:rPr>
        <w:footnoteRef/>
      </w:r>
      <w:r w:rsidRPr="005160ED">
        <w:t xml:space="preserve"> Úř. věst. C, C/2023/112, 12.10.2023.</w:t>
      </w:r>
    </w:p>
  </w:footnote>
  <w:footnote w:id="3">
    <w:p w14:paraId="49F8ADB5" w14:textId="77777777" w:rsidR="00267A91" w:rsidRPr="005160ED" w:rsidRDefault="00267A91" w:rsidP="00267A91">
      <w:pPr>
        <w:pStyle w:val="FootnoteText"/>
        <w:ind w:left="567" w:hanging="567"/>
      </w:pPr>
      <w:r w:rsidRPr="005160ED">
        <w:rPr>
          <w:rStyle w:val="FootnoteReference"/>
        </w:rPr>
        <w:footnoteRef/>
      </w:r>
      <w:r w:rsidRPr="005160ED">
        <w:t xml:space="preserve"> Úř. věst. L 193, 30.7.2018, s. 1.</w:t>
      </w:r>
    </w:p>
  </w:footnote>
  <w:footnote w:id="4">
    <w:p w14:paraId="642CC94D" w14:textId="77777777" w:rsidR="00267A91" w:rsidRPr="005160ED" w:rsidRDefault="00267A91" w:rsidP="00267A91">
      <w:pPr>
        <w:pStyle w:val="FootnoteText"/>
        <w:ind w:left="567" w:hanging="567"/>
      </w:pPr>
      <w:r w:rsidRPr="005160ED">
        <w:rPr>
          <w:rStyle w:val="FootnoteReference"/>
        </w:rPr>
        <w:footnoteRef/>
      </w:r>
      <w:r w:rsidRPr="005160ED">
        <w:t xml:space="preserve"> Úř. věst. L 132, 29.5.2010, s. 11.</w:t>
      </w:r>
    </w:p>
  </w:footnote>
  <w:footnote w:id="5">
    <w:p w14:paraId="253372EE" w14:textId="77777777" w:rsidR="00267A91" w:rsidRPr="005160ED" w:rsidRDefault="00267A91" w:rsidP="00267A91">
      <w:pPr>
        <w:pStyle w:val="FootnoteText"/>
        <w:ind w:left="567" w:hanging="567"/>
        <w:rPr>
          <w:sz w:val="24"/>
          <w:szCs w:val="24"/>
        </w:rPr>
      </w:pPr>
      <w:r w:rsidRPr="005160ED">
        <w:rPr>
          <w:rStyle w:val="FootnoteReference"/>
        </w:rPr>
        <w:footnoteRef/>
      </w:r>
      <w:r w:rsidRPr="005160ED">
        <w:t xml:space="preserve"> Úř. věst. L 468, 30.12.2021, s. 1.</w:t>
      </w:r>
    </w:p>
  </w:footnote>
  <w:footnote w:id="6">
    <w:p w14:paraId="41CCD3C7" w14:textId="77777777" w:rsidR="00267A91" w:rsidRPr="005160ED" w:rsidRDefault="00267A91" w:rsidP="00267A91">
      <w:pPr>
        <w:pStyle w:val="FootnoteText"/>
        <w:ind w:left="567" w:hanging="567"/>
      </w:pPr>
      <w:r w:rsidRPr="005160ED">
        <w:rPr>
          <w:rStyle w:val="FootnoteReference"/>
        </w:rPr>
        <w:footnoteRef/>
      </w:r>
      <w:r w:rsidRPr="005160ED">
        <w:t xml:space="preserve"> Úř. věst. L 122, 10.5.2019, s. 1.</w:t>
      </w:r>
    </w:p>
  </w:footnote>
  <w:footnote w:id="7">
    <w:p w14:paraId="69E53F6C" w14:textId="77777777" w:rsidR="00267A91" w:rsidRPr="005160ED" w:rsidRDefault="00267A91" w:rsidP="00267A91">
      <w:pPr>
        <w:pStyle w:val="FootnoteText"/>
        <w:ind w:left="567" w:hanging="567"/>
      </w:pPr>
      <w:r w:rsidRPr="005160ED">
        <w:rPr>
          <w:rStyle w:val="FootnoteReference"/>
        </w:rPr>
        <w:footnoteRef/>
      </w:r>
      <w:r w:rsidRPr="005160ED">
        <w:t xml:space="preserve"> Úř. věst. C, C/2023/594, 27.10.2023.</w:t>
      </w:r>
    </w:p>
  </w:footnote>
  <w:footnote w:id="8">
    <w:p w14:paraId="1ABF130A" w14:textId="77777777" w:rsidR="00267A91" w:rsidRPr="005160ED" w:rsidRDefault="00267A91" w:rsidP="00267A91">
      <w:pPr>
        <w:pStyle w:val="FootnoteText"/>
        <w:ind w:left="567" w:hanging="567"/>
      </w:pPr>
      <w:r w:rsidRPr="005160ED">
        <w:rPr>
          <w:rStyle w:val="FootnoteReference"/>
        </w:rPr>
        <w:footnoteRef/>
      </w:r>
      <w:r w:rsidRPr="005160ED">
        <w:t xml:space="preserve"> Úř. věst. C, C/2023/112, 12.10.2023.</w:t>
      </w:r>
    </w:p>
  </w:footnote>
  <w:footnote w:id="9">
    <w:p w14:paraId="2F4A2353" w14:textId="77777777" w:rsidR="00267A91" w:rsidRPr="005160ED" w:rsidRDefault="00267A91" w:rsidP="00267A91">
      <w:pPr>
        <w:pStyle w:val="FootnoteText"/>
        <w:ind w:left="567" w:hanging="567"/>
      </w:pPr>
      <w:r w:rsidRPr="005160ED">
        <w:rPr>
          <w:rStyle w:val="FootnoteReference"/>
        </w:rPr>
        <w:footnoteRef/>
      </w:r>
      <w:r w:rsidRPr="005160ED">
        <w:t xml:space="preserve"> Úř. věst. L 193, 30.7.2018, s. 1.</w:t>
      </w:r>
    </w:p>
  </w:footnote>
  <w:footnote w:id="10">
    <w:p w14:paraId="4A3A05F0" w14:textId="77777777" w:rsidR="00267A91" w:rsidRPr="005160ED" w:rsidRDefault="00267A91" w:rsidP="00267A91">
      <w:pPr>
        <w:pStyle w:val="FootnoteText"/>
        <w:ind w:left="567" w:hanging="567"/>
      </w:pPr>
      <w:r w:rsidRPr="005160ED">
        <w:rPr>
          <w:rStyle w:val="FootnoteReference"/>
        </w:rPr>
        <w:footnoteRef/>
      </w:r>
      <w:r w:rsidRPr="005160ED">
        <w:t xml:space="preserve"> Úř. věst. L 132, 29.5.2010, s. 11.</w:t>
      </w:r>
    </w:p>
  </w:footnote>
  <w:footnote w:id="11">
    <w:p w14:paraId="2F029969" w14:textId="77777777" w:rsidR="00267A91" w:rsidRPr="005160ED" w:rsidRDefault="00267A91" w:rsidP="00267A91">
      <w:pPr>
        <w:pStyle w:val="FootnoteText"/>
        <w:ind w:left="567" w:hanging="567"/>
      </w:pPr>
      <w:r w:rsidRPr="005160ED">
        <w:rPr>
          <w:rStyle w:val="FootnoteReference"/>
        </w:rPr>
        <w:footnoteRef/>
      </w:r>
      <w:r w:rsidRPr="005160ED">
        <w:t xml:space="preserve"> Úř. věst. L 468, 30.12.2021, s. 1.</w:t>
      </w:r>
    </w:p>
  </w:footnote>
  <w:footnote w:id="12">
    <w:p w14:paraId="11C42717" w14:textId="77777777" w:rsidR="00267A91" w:rsidRPr="005160ED" w:rsidRDefault="00267A91" w:rsidP="00267A91">
      <w:pPr>
        <w:pStyle w:val="FootnoteText"/>
        <w:ind w:left="567" w:hanging="567"/>
        <w:rPr>
          <w:sz w:val="24"/>
          <w:szCs w:val="24"/>
        </w:rPr>
      </w:pPr>
      <w:r w:rsidRPr="005160ED">
        <w:rPr>
          <w:rStyle w:val="FootnoteReference"/>
        </w:rPr>
        <w:footnoteRef/>
      </w:r>
      <w:r w:rsidRPr="005160ED">
        <w:t xml:space="preserve"> Úř. věst. L 122, 10.5.2019, s. 1.</w:t>
      </w:r>
    </w:p>
  </w:footnote>
  <w:footnote w:id="13">
    <w:p w14:paraId="2D1C5DF2" w14:textId="77777777" w:rsidR="00C27D9C" w:rsidRPr="005160ED" w:rsidRDefault="00C27D9C" w:rsidP="00C27D9C">
      <w:pPr>
        <w:pStyle w:val="FootnoteText"/>
        <w:ind w:left="567" w:hanging="567"/>
        <w:rPr>
          <w:sz w:val="24"/>
        </w:rPr>
      </w:pPr>
      <w:r w:rsidRPr="005160ED">
        <w:rPr>
          <w:sz w:val="24"/>
          <w:vertAlign w:val="superscript"/>
        </w:rPr>
        <w:footnoteRef/>
      </w:r>
      <w:r w:rsidRPr="005160ED">
        <w:rPr>
          <w:sz w:val="24"/>
        </w:rPr>
        <w:t xml:space="preserve"> </w:t>
      </w:r>
      <w:r w:rsidRPr="005160ED">
        <w:t>Úř. věst. C 38, 31.01.2023, s.180.</w:t>
      </w:r>
    </w:p>
  </w:footnote>
  <w:footnote w:id="14">
    <w:p w14:paraId="344CD66B" w14:textId="77777777" w:rsidR="00C27D9C" w:rsidRPr="005160ED" w:rsidRDefault="00C27D9C" w:rsidP="00C27D9C">
      <w:pPr>
        <w:pStyle w:val="FootnoteText"/>
      </w:pPr>
      <w:r w:rsidRPr="005160ED">
        <w:rPr>
          <w:rStyle w:val="FootnoteReference"/>
        </w:rPr>
        <w:footnoteRef/>
      </w:r>
      <w:r w:rsidRPr="005160ED">
        <w:t xml:space="preserve"> Přijaté texty, P9_TA(2024)0000.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5B3DD0" w14:textId="77777777" w:rsidR="00511149" w:rsidRDefault="0051114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393A74" w14:textId="77777777" w:rsidR="00511149" w:rsidRDefault="0051114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6E7658" w14:textId="77777777" w:rsidR="00511149" w:rsidRDefault="00511149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244FAE" w14:textId="77777777" w:rsidR="00D17CE7" w:rsidRDefault="00D17CE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66EDB5" w14:textId="77777777" w:rsidR="00D17CE7" w:rsidRDefault="00D17CE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D5B500" w14:textId="77777777" w:rsidR="00D17CE7" w:rsidRDefault="00D17CE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9091318"/>
    <w:multiLevelType w:val="hybridMultilevel"/>
    <w:tmpl w:val="143224D2"/>
    <w:lvl w:ilvl="0" w:tplc="4A68EB94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D00DDCC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96B047CA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8EEC75CE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EA56AC02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3CACEC60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E1448754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450A0F68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6074C6CE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462D6E49"/>
    <w:multiLevelType w:val="hybridMultilevel"/>
    <w:tmpl w:val="78B8CEFC"/>
    <w:lvl w:ilvl="0" w:tplc="C2A02D4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32A7B0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A84257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1B8FE5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CE0212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3121A7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EC4615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3A219C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4B0294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1"/>
  </w:num>
  <w:num w:numId="4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481"/>
  </w:hdrShapeDefaults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ECISIONMNU" w:val=" 3"/>
    <w:docVar w:name="FN1DT" w:val="..."/>
    <w:docVar w:name="FN2DT" w:val="..."/>
    <w:docVar w:name="LastEditedSection" w:val=" 1"/>
    <w:docVar w:name="LETTERSMNU" w:val=" 3"/>
    <w:docVar w:name="OBSERVATIONSMNU" w:val=" 1"/>
    <w:docVar w:name="OPIN1KEY" w:val="LIBE"/>
    <w:docVar w:name="OPINIONSMNU" w:val=" 1"/>
    <w:docVar w:name="POSITIONSMNU" w:val=" 3"/>
    <w:docVar w:name="STOREDT" w:val="..."/>
    <w:docVar w:name="strSubDir" w:val="1286"/>
    <w:docVar w:name="TITLEMNU" w:val=" 25"/>
    <w:docVar w:name="TXTBUDYEAR" w:val="2022"/>
    <w:docVar w:name="TXTFN1" w:val="…"/>
    <w:docVar w:name="TXTFN2" w:val="…"/>
    <w:docVar w:name="TXTLANGUE" w:val="CS"/>
    <w:docVar w:name="TXTLANGUEMIN" w:val="cs"/>
    <w:docVar w:name="TXTNRC" w:val="0000/2024"/>
    <w:docVar w:name="TXTNRCOUNC" w:val="00000/2024"/>
    <w:docVar w:name="TXTNRDEC" w:val="2023/2164"/>
    <w:docVar w:name="TXTNRPE" w:val="753.532"/>
    <w:docVar w:name="TXTNRTA" w:val="(2024)0000"/>
    <w:docVar w:name="TXTPEorAP" w:val="PE"/>
    <w:docVar w:name="TXTPG1" w:val="…"/>
    <w:docVar w:name="TXTPG2" w:val="…"/>
    <w:docVar w:name="TXTROUTE" w:val="PR\1286160CS.docx"/>
    <w:docVar w:name="TXTVERSION" w:val="01-00"/>
  </w:docVars>
  <w:rsids>
    <w:rsidRoot w:val="00A526A7"/>
    <w:rsid w:val="00002C51"/>
    <w:rsid w:val="00064DFF"/>
    <w:rsid w:val="00090E0B"/>
    <w:rsid w:val="0009615B"/>
    <w:rsid w:val="000A05D5"/>
    <w:rsid w:val="000A48E0"/>
    <w:rsid w:val="000B47E5"/>
    <w:rsid w:val="000D6658"/>
    <w:rsid w:val="00104CB9"/>
    <w:rsid w:val="001150DB"/>
    <w:rsid w:val="00116CB4"/>
    <w:rsid w:val="00143F35"/>
    <w:rsid w:val="00150EC1"/>
    <w:rsid w:val="0017746B"/>
    <w:rsid w:val="001A54A8"/>
    <w:rsid w:val="001B4494"/>
    <w:rsid w:val="001E1032"/>
    <w:rsid w:val="00202D84"/>
    <w:rsid w:val="00205C76"/>
    <w:rsid w:val="002377CC"/>
    <w:rsid w:val="002421F7"/>
    <w:rsid w:val="002443C0"/>
    <w:rsid w:val="002502C8"/>
    <w:rsid w:val="00253648"/>
    <w:rsid w:val="00256BE3"/>
    <w:rsid w:val="00267A91"/>
    <w:rsid w:val="00276092"/>
    <w:rsid w:val="002D1E60"/>
    <w:rsid w:val="002D6EA9"/>
    <w:rsid w:val="0031254A"/>
    <w:rsid w:val="00320A9A"/>
    <w:rsid w:val="003315AF"/>
    <w:rsid w:val="00336524"/>
    <w:rsid w:val="003369E3"/>
    <w:rsid w:val="00381864"/>
    <w:rsid w:val="00390068"/>
    <w:rsid w:val="003D353C"/>
    <w:rsid w:val="003E25A9"/>
    <w:rsid w:val="003E735B"/>
    <w:rsid w:val="003E7C73"/>
    <w:rsid w:val="003F0E64"/>
    <w:rsid w:val="003F229D"/>
    <w:rsid w:val="003F6D7C"/>
    <w:rsid w:val="00413713"/>
    <w:rsid w:val="004532FF"/>
    <w:rsid w:val="004651E1"/>
    <w:rsid w:val="004749EC"/>
    <w:rsid w:val="004A10A5"/>
    <w:rsid w:val="004A34BF"/>
    <w:rsid w:val="004A480C"/>
    <w:rsid w:val="004C6C3F"/>
    <w:rsid w:val="004C70BD"/>
    <w:rsid w:val="004D13BA"/>
    <w:rsid w:val="004F0305"/>
    <w:rsid w:val="0050312B"/>
    <w:rsid w:val="00511149"/>
    <w:rsid w:val="005160ED"/>
    <w:rsid w:val="005477C9"/>
    <w:rsid w:val="00550863"/>
    <w:rsid w:val="00550E6B"/>
    <w:rsid w:val="00564DB0"/>
    <w:rsid w:val="005A3D7F"/>
    <w:rsid w:val="005A6CAE"/>
    <w:rsid w:val="005B2950"/>
    <w:rsid w:val="005C689E"/>
    <w:rsid w:val="005D3E9F"/>
    <w:rsid w:val="005E6A67"/>
    <w:rsid w:val="005E7E89"/>
    <w:rsid w:val="005F6B87"/>
    <w:rsid w:val="00611C37"/>
    <w:rsid w:val="0063324A"/>
    <w:rsid w:val="00643EBE"/>
    <w:rsid w:val="0066045F"/>
    <w:rsid w:val="00671F88"/>
    <w:rsid w:val="006835EB"/>
    <w:rsid w:val="00686BB9"/>
    <w:rsid w:val="00693FF3"/>
    <w:rsid w:val="0069786A"/>
    <w:rsid w:val="006B0ED0"/>
    <w:rsid w:val="006D37D7"/>
    <w:rsid w:val="006D5743"/>
    <w:rsid w:val="006E740E"/>
    <w:rsid w:val="00706383"/>
    <w:rsid w:val="007240CE"/>
    <w:rsid w:val="0074734C"/>
    <w:rsid w:val="00784758"/>
    <w:rsid w:val="007A4AC9"/>
    <w:rsid w:val="007C3B7E"/>
    <w:rsid w:val="007C7DE0"/>
    <w:rsid w:val="007D1E61"/>
    <w:rsid w:val="007E2834"/>
    <w:rsid w:val="007F713D"/>
    <w:rsid w:val="0081446A"/>
    <w:rsid w:val="00837B2B"/>
    <w:rsid w:val="00841D8C"/>
    <w:rsid w:val="00895F7F"/>
    <w:rsid w:val="008A23A3"/>
    <w:rsid w:val="008D2063"/>
    <w:rsid w:val="008D264A"/>
    <w:rsid w:val="00916826"/>
    <w:rsid w:val="009347E5"/>
    <w:rsid w:val="0093713E"/>
    <w:rsid w:val="009378F5"/>
    <w:rsid w:val="00947D32"/>
    <w:rsid w:val="0096767B"/>
    <w:rsid w:val="009807D1"/>
    <w:rsid w:val="009A1AE4"/>
    <w:rsid w:val="009B1172"/>
    <w:rsid w:val="009B566F"/>
    <w:rsid w:val="009B6E2F"/>
    <w:rsid w:val="009C06C9"/>
    <w:rsid w:val="009C4C82"/>
    <w:rsid w:val="009F1C87"/>
    <w:rsid w:val="009F2DD4"/>
    <w:rsid w:val="00A273FA"/>
    <w:rsid w:val="00A332BE"/>
    <w:rsid w:val="00A35902"/>
    <w:rsid w:val="00A526A7"/>
    <w:rsid w:val="00A84FF1"/>
    <w:rsid w:val="00A92249"/>
    <w:rsid w:val="00A95064"/>
    <w:rsid w:val="00AB4789"/>
    <w:rsid w:val="00AD2ADD"/>
    <w:rsid w:val="00AD2ECC"/>
    <w:rsid w:val="00AD47D4"/>
    <w:rsid w:val="00B11618"/>
    <w:rsid w:val="00B553CB"/>
    <w:rsid w:val="00B6540D"/>
    <w:rsid w:val="00B75AA6"/>
    <w:rsid w:val="00B844BC"/>
    <w:rsid w:val="00BA46FB"/>
    <w:rsid w:val="00BB09B0"/>
    <w:rsid w:val="00BB3008"/>
    <w:rsid w:val="00BD13C4"/>
    <w:rsid w:val="00BE0DC4"/>
    <w:rsid w:val="00BF0771"/>
    <w:rsid w:val="00C03C2E"/>
    <w:rsid w:val="00C0769E"/>
    <w:rsid w:val="00C13C80"/>
    <w:rsid w:val="00C1531C"/>
    <w:rsid w:val="00C27D9C"/>
    <w:rsid w:val="00C36B81"/>
    <w:rsid w:val="00C46F6A"/>
    <w:rsid w:val="00C47621"/>
    <w:rsid w:val="00C56953"/>
    <w:rsid w:val="00C607B5"/>
    <w:rsid w:val="00C63401"/>
    <w:rsid w:val="00CB6B29"/>
    <w:rsid w:val="00CD1E8A"/>
    <w:rsid w:val="00CF07EC"/>
    <w:rsid w:val="00CF0C21"/>
    <w:rsid w:val="00D05CBA"/>
    <w:rsid w:val="00D13DD1"/>
    <w:rsid w:val="00D17CE7"/>
    <w:rsid w:val="00D46466"/>
    <w:rsid w:val="00D52EA4"/>
    <w:rsid w:val="00D74CC3"/>
    <w:rsid w:val="00DA5269"/>
    <w:rsid w:val="00DF7BA5"/>
    <w:rsid w:val="00E31C35"/>
    <w:rsid w:val="00E44A07"/>
    <w:rsid w:val="00E50576"/>
    <w:rsid w:val="00E80CE4"/>
    <w:rsid w:val="00E8604D"/>
    <w:rsid w:val="00EB31C4"/>
    <w:rsid w:val="00ED335B"/>
    <w:rsid w:val="00EE334B"/>
    <w:rsid w:val="00F017D4"/>
    <w:rsid w:val="00F02E0E"/>
    <w:rsid w:val="00F0381D"/>
    <w:rsid w:val="00F21C7F"/>
    <w:rsid w:val="00F71101"/>
    <w:rsid w:val="00F9531F"/>
    <w:rsid w:val="00FD18F9"/>
    <w:rsid w:val="00FE62F7"/>
    <w:rsid w:val="00FF5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,"/>
  <w:listSeparator w:val=";"/>
  <w14:docId w14:val="5E0B392B"/>
  <w15:chartTrackingRefBased/>
  <w15:docId w15:val="{80CDD2DD-20E3-4A40-A1D9-637C65B00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3" w:uiPriority="39"/>
    <w:lsdException w:name="footnote text" w:uiPriority="99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48E0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2421F7"/>
    <w:pPr>
      <w:spacing w:before="480" w:after="240"/>
    </w:pPr>
  </w:style>
  <w:style w:type="paragraph" w:styleId="TOC1">
    <w:name w:val="toc 1"/>
    <w:basedOn w:val="Normal"/>
    <w:next w:val="Normal"/>
    <w:autoRedefine/>
    <w:uiPriority w:val="39"/>
    <w:rsid w:val="007C7DE0"/>
    <w:pPr>
      <w:spacing w:after="240"/>
    </w:pPr>
    <w:rPr>
      <w:noProof/>
    </w:rPr>
  </w:style>
  <w:style w:type="paragraph" w:styleId="TOCHeading">
    <w:name w:val="TOC Heading"/>
    <w:basedOn w:val="Normal"/>
    <w:next w:val="TOCPage"/>
    <w:rsid w:val="00706383"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rsid w:val="00706383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Pr>
      <w:b/>
    </w:rPr>
  </w:style>
  <w:style w:type="paragraph" w:customStyle="1" w:styleId="NormalHanging12a">
    <w:name w:val="NormalHanging12a"/>
    <w:basedOn w:val="Normal"/>
    <w:link w:val="NormalHanging12aChar"/>
    <w:pPr>
      <w:spacing w:after="240"/>
      <w:ind w:left="567" w:hanging="567"/>
    </w:pPr>
  </w:style>
  <w:style w:type="paragraph" w:customStyle="1" w:styleId="EPName">
    <w:name w:val="EPName"/>
    <w:basedOn w:val="Normal"/>
    <w:rsid w:val="00D46466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1A54A8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NormalCenter12a">
    <w:name w:val="NormalCenter12a"/>
    <w:basedOn w:val="Normal"/>
    <w:rsid w:val="009B6E2F"/>
    <w:pPr>
      <w:spacing w:after="240"/>
      <w:jc w:val="center"/>
    </w:pPr>
  </w:style>
  <w:style w:type="paragraph" w:customStyle="1" w:styleId="CoverReference">
    <w:name w:val="CoverReference"/>
    <w:basedOn w:val="Normal"/>
    <w:rsid w:val="00671F88"/>
    <w:pPr>
      <w:spacing w:before="1080"/>
      <w:jc w:val="right"/>
    </w:pPr>
    <w:rPr>
      <w:rFonts w:ascii="Arial" w:hAnsi="Arial" w:cs="Arial"/>
      <w:b/>
    </w:rPr>
  </w:style>
  <w:style w:type="paragraph" w:customStyle="1" w:styleId="CoverDocType24a">
    <w:name w:val="CoverDocType24a"/>
    <w:basedOn w:val="Normal"/>
    <w:rsid w:val="005E6A67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semiHidden/>
    <w:rsid w:val="00E31C35"/>
    <w:pPr>
      <w:tabs>
        <w:tab w:val="center" w:pos="4513"/>
        <w:tab w:val="right" w:pos="9026"/>
      </w:tabs>
    </w:pPr>
  </w:style>
  <w:style w:type="paragraph" w:styleId="TOC2">
    <w:name w:val="toc 2"/>
    <w:basedOn w:val="Normal"/>
    <w:next w:val="Normal"/>
    <w:semiHidden/>
    <w:pPr>
      <w:ind w:left="227"/>
    </w:pPr>
  </w:style>
  <w:style w:type="table" w:styleId="TableGrid">
    <w:name w:val="Table Grid"/>
    <w:basedOn w:val="TableNormal"/>
    <w:rsid w:val="003900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3">
    <w:name w:val="toc 3"/>
    <w:basedOn w:val="Normal"/>
    <w:next w:val="Normal"/>
    <w:uiPriority w:val="39"/>
    <w:semiHidden/>
    <w:rsid w:val="00FD18F9"/>
    <w:pPr>
      <w:spacing w:after="240"/>
    </w:pPr>
  </w:style>
  <w:style w:type="paragraph" w:customStyle="1" w:styleId="EPBody">
    <w:name w:val="EPBody"/>
    <w:basedOn w:val="Normal"/>
    <w:rsid w:val="00390068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39006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390068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D46466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D46466"/>
    <w:pPr>
      <w:jc w:val="right"/>
    </w:pPr>
  </w:style>
  <w:style w:type="paragraph" w:customStyle="1" w:styleId="EPFooter">
    <w:name w:val="EPFooter"/>
    <w:basedOn w:val="Normal"/>
    <w:rsid w:val="001A54A8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E31C35"/>
    <w:rPr>
      <w:sz w:val="24"/>
    </w:rPr>
  </w:style>
  <w:style w:type="paragraph" w:styleId="FootnoteText">
    <w:name w:val="footnote text"/>
    <w:basedOn w:val="Normal"/>
    <w:link w:val="FootnoteTextChar"/>
    <w:uiPriority w:val="99"/>
    <w:rsid w:val="00D17CE7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D17CE7"/>
  </w:style>
  <w:style w:type="character" w:styleId="FootnoteReference">
    <w:name w:val="footnote reference"/>
    <w:basedOn w:val="DefaultParagraphFont"/>
    <w:rsid w:val="00D17CE7"/>
    <w:rPr>
      <w:vertAlign w:val="superscript"/>
    </w:rPr>
  </w:style>
  <w:style w:type="paragraph" w:styleId="Footer">
    <w:name w:val="footer"/>
    <w:basedOn w:val="Normal"/>
    <w:link w:val="FooterChar"/>
    <w:semiHidden/>
    <w:rsid w:val="00D17CE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D17CE7"/>
    <w:rPr>
      <w:sz w:val="24"/>
    </w:rPr>
  </w:style>
  <w:style w:type="character" w:customStyle="1" w:styleId="NormalHanging12aChar">
    <w:name w:val="NormalHanging12a Char"/>
    <w:link w:val="NormalHanging12a"/>
    <w:locked/>
    <w:rsid w:val="00C27D9C"/>
    <w:rPr>
      <w:sz w:val="24"/>
    </w:rPr>
  </w:style>
  <w:style w:type="character" w:customStyle="1" w:styleId="Normal12HangingChar">
    <w:name w:val="Normal12Hanging Char"/>
    <w:link w:val="Normal12Hanging"/>
    <w:locked/>
    <w:rsid w:val="00C27D9C"/>
    <w:rPr>
      <w:sz w:val="24"/>
    </w:rPr>
  </w:style>
  <w:style w:type="paragraph" w:customStyle="1" w:styleId="Normal12Hanging">
    <w:name w:val="Normal12Hanging"/>
    <w:basedOn w:val="Normal"/>
    <w:link w:val="Normal12HangingChar"/>
    <w:rsid w:val="00C27D9C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15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9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7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4.xml"/><Relationship Id="rId2" Type="http://schemas.openxmlformats.org/officeDocument/2006/relationships/styles" Target="styles.xml"/><Relationship Id="rId16" Type="http://schemas.openxmlformats.org/officeDocument/2006/relationships/header" Target="header6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5137</Words>
  <Characters>29491</Characters>
  <Application>Microsoft Office Word</Application>
  <DocSecurity>0</DocSecurity>
  <Lines>491</Lines>
  <Paragraphs>124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PR_Dec_Agencies</vt:lpstr>
    </vt:vector>
  </TitlesOfParts>
  <Company/>
  <LinksUpToDate>false</LinksUpToDate>
  <CharactersWithSpaces>34504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PR_Dec_Agencies</dc:title>
  <dc:subject/>
  <dc:creator>GISBRECHT Evelyna</dc:creator>
  <cp:keywords/>
  <dc:description/>
  <cp:lastModifiedBy>SOCHOROVA Lenka</cp:lastModifiedBy>
  <cp:revision>2</cp:revision>
  <cp:lastPrinted>2004-12-08T15:27:00Z</cp:lastPrinted>
  <dcterms:created xsi:type="dcterms:W3CDTF">2024-01-29T06:27:00Z</dcterms:created>
  <dcterms:modified xsi:type="dcterms:W3CDTF">2024-01-29T06:27:00Z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Created with">
    <vt:lpwstr>9.14.1 Build [20230315]</vt:lpwstr>
  </property>
  <property fmtid="{D5CDD505-2E9C-101B-9397-08002B2CF9AE}" pid="4" name="LastEdited with">
    <vt:lpwstr>9.17.1 Build [20240101]</vt:lpwstr>
  </property>
  <property fmtid="{D5CDD505-2E9C-101B-9397-08002B2CF9AE}" pid="5" name="&lt;FdR&gt;">
    <vt:lpwstr>1286160</vt:lpwstr>
  </property>
  <property fmtid="{D5CDD505-2E9C-101B-9397-08002B2CF9AE}" pid="6" name="&lt;Type&gt;">
    <vt:lpwstr>PR</vt:lpwstr>
  </property>
  <property fmtid="{D5CDD505-2E9C-101B-9397-08002B2CF9AE}" pid="7" name="&lt;ModelCod&gt;">
    <vt:lpwstr>\\eiciBRUpr1\pdocep$\DocEP\DOCS\General\PR\PR_BUD\DEC\PR_DEC_Agencies.dotx(13/10/2022 07:29:28)</vt:lpwstr>
  </property>
  <property fmtid="{D5CDD505-2E9C-101B-9397-08002B2CF9AE}" pid="8" name="&lt;ModelTra&gt;">
    <vt:lpwstr>\\eiciBRUpr1\pdocep$\DocEP\TRANSFIL\EN\PR_DEC_Agencies.EN(25/09/2023 08:37:04)</vt:lpwstr>
  </property>
  <property fmtid="{D5CDD505-2E9C-101B-9397-08002B2CF9AE}" pid="9" name="&lt;Model&gt;">
    <vt:lpwstr>PR_DEC_Agencies</vt:lpwstr>
  </property>
  <property fmtid="{D5CDD505-2E9C-101B-9397-08002B2CF9AE}" pid="10" name="FooterPath">
    <vt:lpwstr>PR\1286160CS.docx</vt:lpwstr>
  </property>
  <property fmtid="{D5CDD505-2E9C-101B-9397-08002B2CF9AE}" pid="11" name="PE number">
    <vt:lpwstr>753.532</vt:lpwstr>
  </property>
  <property fmtid="{D5CDD505-2E9C-101B-9397-08002B2CF9AE}" pid="12" name="SendToEpades">
    <vt:lpwstr>OK - 2024/01/15 19:50</vt:lpwstr>
  </property>
  <property fmtid="{D5CDD505-2E9C-101B-9397-08002B2CF9AE}" pid="13" name="Bookout">
    <vt:lpwstr>OK - 2024/01/29 07:26</vt:lpwstr>
  </property>
</Properties>
</file>