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44405" w:rsidRPr="007F78B1" w14:paraId="71B80772" w14:textId="77777777" w:rsidTr="00C85D0F">
        <w:trPr>
          <w:trHeight w:hRule="exact" w:val="1418"/>
        </w:trPr>
        <w:tc>
          <w:tcPr>
            <w:tcW w:w="6804" w:type="dxa"/>
            <w:shd w:val="clear" w:color="auto" w:fill="auto"/>
            <w:vAlign w:val="center"/>
          </w:tcPr>
          <w:p w14:paraId="2E0C4ED4" w14:textId="77777777" w:rsidR="009D1D8B" w:rsidRPr="007F78B1" w:rsidRDefault="0005728C" w:rsidP="00C85D0F">
            <w:pPr>
              <w:pStyle w:val="EPName"/>
            </w:pPr>
            <w:r w:rsidRPr="007F78B1">
              <w:t>Europa-Parlamentet</w:t>
            </w:r>
          </w:p>
          <w:p w14:paraId="2938F7DA" w14:textId="77777777" w:rsidR="009D1D8B" w:rsidRPr="007F78B1" w:rsidRDefault="0005728C" w:rsidP="00DC3829">
            <w:pPr>
              <w:pStyle w:val="EPTerm"/>
            </w:pPr>
            <w:r w:rsidRPr="007F78B1">
              <w:t>2024-2029</w:t>
            </w:r>
          </w:p>
        </w:tc>
        <w:tc>
          <w:tcPr>
            <w:tcW w:w="2268" w:type="dxa"/>
            <w:shd w:val="clear" w:color="auto" w:fill="auto"/>
          </w:tcPr>
          <w:p w14:paraId="09894210" w14:textId="77777777" w:rsidR="009D1D8B" w:rsidRPr="007F78B1" w:rsidRDefault="0005728C" w:rsidP="00C85D0F">
            <w:pPr>
              <w:pStyle w:val="EPLogo"/>
            </w:pPr>
            <w:r w:rsidRPr="007F78B1">
              <w:rPr>
                <w:noProof/>
              </w:rPr>
              <w:drawing>
                <wp:inline distT="0" distB="0" distL="0" distR="0" wp14:anchorId="68095CCF" wp14:editId="4A3A4C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C02A3FD" w14:textId="77777777" w:rsidR="00540DB0" w:rsidRPr="007F78B1" w:rsidRDefault="00540DB0" w:rsidP="00540DB0">
      <w:pPr>
        <w:pStyle w:val="LineTop"/>
      </w:pPr>
    </w:p>
    <w:p w14:paraId="4C59F940" w14:textId="77777777" w:rsidR="00540DB0" w:rsidRPr="007F78B1" w:rsidRDefault="0005728C" w:rsidP="00540DB0">
      <w:pPr>
        <w:pStyle w:val="EPBody"/>
      </w:pPr>
      <w:r w:rsidRPr="007F78B1">
        <w:rPr>
          <w:rStyle w:val="HideTWBExt"/>
        </w:rPr>
        <w:t>&lt;</w:t>
      </w:r>
      <w:r w:rsidRPr="007F78B1">
        <w:rPr>
          <w:rStyle w:val="HideTWBExt"/>
          <w:i w:val="0"/>
        </w:rPr>
        <w:t>Commission</w:t>
      </w:r>
      <w:r w:rsidRPr="007F78B1">
        <w:rPr>
          <w:rStyle w:val="HideTWBExt"/>
        </w:rPr>
        <w:t>&gt;</w:t>
      </w:r>
      <w:r w:rsidRPr="007F78B1">
        <w:rPr>
          <w:rStyle w:val="HideTWBInt"/>
          <w:i w:val="0"/>
          <w:color w:val="auto"/>
        </w:rPr>
        <w:t>{CONT}</w:t>
      </w:r>
      <w:r w:rsidRPr="007F78B1">
        <w:t>Budgetkontroludvalget</w:t>
      </w:r>
      <w:r w:rsidRPr="007F78B1">
        <w:rPr>
          <w:rStyle w:val="HideTWBExt"/>
        </w:rPr>
        <w:t>&lt;/</w:t>
      </w:r>
      <w:r w:rsidRPr="007F78B1">
        <w:rPr>
          <w:rStyle w:val="HideTWBExt"/>
          <w:i w:val="0"/>
        </w:rPr>
        <w:t>Commission</w:t>
      </w:r>
      <w:r w:rsidRPr="007F78B1">
        <w:rPr>
          <w:rStyle w:val="HideTWBExt"/>
        </w:rPr>
        <w:t>&gt;</w:t>
      </w:r>
    </w:p>
    <w:p w14:paraId="32BBEC02" w14:textId="77777777" w:rsidR="00540DB0" w:rsidRPr="007F78B1" w:rsidRDefault="00540DB0" w:rsidP="00540DB0">
      <w:pPr>
        <w:pStyle w:val="LineBottom"/>
      </w:pPr>
    </w:p>
    <w:p w14:paraId="6E59E7CF" w14:textId="77777777" w:rsidR="00C1531C" w:rsidRPr="007F78B1" w:rsidRDefault="0005728C">
      <w:pPr>
        <w:pStyle w:val="CoverReference"/>
      </w:pPr>
      <w:r w:rsidRPr="007F78B1">
        <w:rPr>
          <w:rStyle w:val="HideTWBExt"/>
          <w:b w:val="0"/>
        </w:rPr>
        <w:t>&lt;RefProc&gt;</w:t>
      </w:r>
      <w:r w:rsidRPr="007F78B1">
        <w:t>2025/2153</w:t>
      </w:r>
      <w:r w:rsidRPr="007F78B1">
        <w:rPr>
          <w:rStyle w:val="HideTWBExt"/>
          <w:b w:val="0"/>
        </w:rPr>
        <w:t>&lt;/RefProc&gt;&lt;RefTypeProc&gt;</w:t>
      </w:r>
      <w:r w:rsidRPr="007F78B1">
        <w:t>(DEC)</w:t>
      </w:r>
      <w:r w:rsidRPr="007F78B1">
        <w:rPr>
          <w:rStyle w:val="HideTWBExt"/>
          <w:b w:val="0"/>
        </w:rPr>
        <w:t>&lt;/RefTypeProc&gt;</w:t>
      </w:r>
    </w:p>
    <w:p w14:paraId="0A1EDD4C" w14:textId="77777777" w:rsidR="00C1531C" w:rsidRPr="007F78B1" w:rsidRDefault="0005728C">
      <w:pPr>
        <w:pStyle w:val="CoverDate"/>
      </w:pPr>
      <w:r w:rsidRPr="007F78B1">
        <w:rPr>
          <w:rStyle w:val="HideTWBExt"/>
        </w:rPr>
        <w:t>&lt;Date&gt;</w:t>
      </w:r>
      <w:r w:rsidRPr="007F78B1">
        <w:rPr>
          <w:rStyle w:val="HideTWBInt"/>
          <w:color w:val="auto"/>
        </w:rPr>
        <w:t>{15/12/2025}</w:t>
      </w:r>
      <w:r w:rsidRPr="007F78B1">
        <w:t>15.12.2025</w:t>
      </w:r>
      <w:r w:rsidRPr="007F78B1">
        <w:rPr>
          <w:rStyle w:val="HideTWBExt"/>
        </w:rPr>
        <w:t>&lt;/Date&gt;</w:t>
      </w:r>
    </w:p>
    <w:p w14:paraId="5D1C7211" w14:textId="77777777" w:rsidR="00C1531C" w:rsidRPr="007F78B1" w:rsidRDefault="0005728C">
      <w:pPr>
        <w:pStyle w:val="CoverDocType24a"/>
      </w:pPr>
      <w:r w:rsidRPr="007F78B1">
        <w:rPr>
          <w:rStyle w:val="HideTWBExt"/>
          <w:b w:val="0"/>
        </w:rPr>
        <w:t>&lt;TitreType&gt;</w:t>
      </w:r>
      <w:r w:rsidRPr="007F78B1">
        <w:t>UDKAST TIL BETÆNKNING</w:t>
      </w:r>
      <w:r w:rsidRPr="007F78B1">
        <w:rPr>
          <w:rStyle w:val="HideTWBExt"/>
          <w:b w:val="0"/>
        </w:rPr>
        <w:t>&lt;/TitreType&gt;</w:t>
      </w:r>
    </w:p>
    <w:p w14:paraId="2750DEA1" w14:textId="77777777" w:rsidR="00C1531C" w:rsidRPr="007F78B1" w:rsidRDefault="0005728C">
      <w:pPr>
        <w:pStyle w:val="CoverNormal"/>
      </w:pPr>
      <w:r w:rsidRPr="007F78B1">
        <w:rPr>
          <w:rStyle w:val="HideTWBExt"/>
        </w:rPr>
        <w:t>&lt;Titre&gt;</w:t>
      </w:r>
      <w:r w:rsidRPr="007F78B1">
        <w:t xml:space="preserve">om decharge for </w:t>
      </w:r>
      <w:r w:rsidRPr="007F78B1">
        <w:t>gennemførelsen af Den Europæiske Unions almindelige budget for regnskabsåret 2024, Sektion VIII – Den Europæiske Ombudsmand</w:t>
      </w:r>
      <w:r w:rsidRPr="007F78B1">
        <w:rPr>
          <w:rStyle w:val="HideTWBExt"/>
        </w:rPr>
        <w:t>&lt;/Titre&gt;</w:t>
      </w:r>
    </w:p>
    <w:p w14:paraId="647981E8" w14:textId="77777777" w:rsidR="00C1531C" w:rsidRPr="007F78B1" w:rsidRDefault="0005728C" w:rsidP="008A4DC4">
      <w:pPr>
        <w:pStyle w:val="CoverNormal24a"/>
      </w:pPr>
      <w:r w:rsidRPr="007F78B1">
        <w:rPr>
          <w:rStyle w:val="HideTWBExt"/>
        </w:rPr>
        <w:t>&lt;DocRef&gt;</w:t>
      </w:r>
      <w:r w:rsidRPr="007F78B1">
        <w:t>(2025/2153(DEC))</w:t>
      </w:r>
      <w:r w:rsidRPr="007F78B1">
        <w:rPr>
          <w:rStyle w:val="HideTWBExt"/>
        </w:rPr>
        <w:t>&lt;/DocRef&gt;</w:t>
      </w:r>
    </w:p>
    <w:p w14:paraId="24797CB2" w14:textId="77777777" w:rsidR="00C1531C" w:rsidRPr="007F78B1" w:rsidRDefault="0005728C">
      <w:pPr>
        <w:pStyle w:val="CoverNormal24a"/>
      </w:pPr>
      <w:r w:rsidRPr="007F78B1">
        <w:rPr>
          <w:rStyle w:val="HideTWBExt"/>
        </w:rPr>
        <w:t>&lt;Commission&gt;</w:t>
      </w:r>
      <w:r w:rsidRPr="007F78B1">
        <w:rPr>
          <w:rStyle w:val="HideTWBInt"/>
          <w:color w:val="auto"/>
        </w:rPr>
        <w:t>{CONT}</w:t>
      </w:r>
      <w:r w:rsidRPr="007F78B1">
        <w:t>Budgetkontroludvalget</w:t>
      </w:r>
      <w:r w:rsidRPr="007F78B1">
        <w:rPr>
          <w:rStyle w:val="HideTWBExt"/>
        </w:rPr>
        <w:t>&lt;/Commission&gt;</w:t>
      </w:r>
    </w:p>
    <w:p w14:paraId="63B18337" w14:textId="77777777" w:rsidR="007B23DE" w:rsidRPr="007F78B1" w:rsidRDefault="0005728C" w:rsidP="00AA0B08">
      <w:pPr>
        <w:pStyle w:val="CoverNormal24a"/>
      </w:pPr>
      <w:r w:rsidRPr="007F78B1">
        <w:t xml:space="preserve">Ordfører: </w:t>
      </w:r>
      <w:r w:rsidRPr="007F78B1">
        <w:rPr>
          <w:rStyle w:val="HideTWBExt"/>
        </w:rPr>
        <w:t>&lt;Depute&gt;</w:t>
      </w:r>
      <w:r w:rsidRPr="007F78B1">
        <w:t xml:space="preserve">Pasquale </w:t>
      </w:r>
      <w:r w:rsidRPr="007F78B1">
        <w:t>Tridico</w:t>
      </w:r>
      <w:r w:rsidRPr="007F78B1">
        <w:rPr>
          <w:rStyle w:val="HideTWBExt"/>
        </w:rPr>
        <w:t>&lt;/Depute&gt;</w:t>
      </w:r>
    </w:p>
    <w:p w14:paraId="2C03CAEB" w14:textId="77777777" w:rsidR="00C1531C" w:rsidRPr="007F78B1" w:rsidRDefault="0005728C" w:rsidP="003B5094">
      <w:pPr>
        <w:widowControl/>
        <w:tabs>
          <w:tab w:val="center" w:pos="4677"/>
        </w:tabs>
      </w:pPr>
      <w:r w:rsidRPr="007F78B1">
        <w:br w:type="page"/>
      </w:r>
      <w:r w:rsidRPr="007F78B1">
        <w:lastRenderedPageBreak/>
        <w:t>PR_DEC_Other</w:t>
      </w:r>
    </w:p>
    <w:p w14:paraId="288C6F77" w14:textId="77777777" w:rsidR="00C1531C" w:rsidRPr="007F78B1" w:rsidRDefault="0005728C">
      <w:pPr>
        <w:pStyle w:val="TOCHeading"/>
      </w:pPr>
      <w:r w:rsidRPr="007F78B1">
        <w:t>INDHOLD</w:t>
      </w:r>
    </w:p>
    <w:p w14:paraId="2E9CF6C2" w14:textId="77777777" w:rsidR="00BD7AAA" w:rsidRPr="007F78B1" w:rsidRDefault="0005728C" w:rsidP="00BD7AAA">
      <w:pPr>
        <w:pStyle w:val="TOCPage"/>
      </w:pPr>
      <w:r w:rsidRPr="007F78B1">
        <w:t>Side</w:t>
      </w:r>
    </w:p>
    <w:p w14:paraId="39AE5941" w14:textId="7E561DC0" w:rsidR="0005728C" w:rsidRDefault="0005728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F78B1">
        <w:rPr>
          <w:b/>
        </w:rPr>
        <w:fldChar w:fldCharType="begin"/>
      </w:r>
      <w:r w:rsidRPr="007F78B1">
        <w:rPr>
          <w:b/>
        </w:rPr>
        <w:instrText xml:space="preserve"> TOC \t "PageHeading</w:instrText>
      </w:r>
      <w:r w:rsidR="00D9590C" w:rsidRPr="007F78B1">
        <w:rPr>
          <w:b/>
        </w:rPr>
        <w:instrText>;</w:instrText>
      </w:r>
      <w:r w:rsidRPr="007F78B1">
        <w:rPr>
          <w:b/>
        </w:rPr>
        <w:instrText xml:space="preserve">1" </w:instrText>
      </w:r>
      <w:r w:rsidRPr="007F78B1">
        <w:rPr>
          <w:b/>
        </w:rPr>
        <w:fldChar w:fldCharType="separate"/>
      </w:r>
      <w:r>
        <w:rPr>
          <w:noProof/>
        </w:rPr>
        <w:t>1. FORSLAG TIL EUROPA-PARLAMENTETS AFGØRELSE</w:t>
      </w:r>
      <w:r>
        <w:rPr>
          <w:noProof/>
        </w:rPr>
        <w:tab/>
      </w:r>
      <w:r>
        <w:rPr>
          <w:noProof/>
        </w:rPr>
        <w:fldChar w:fldCharType="begin"/>
      </w:r>
      <w:r>
        <w:rPr>
          <w:noProof/>
        </w:rPr>
        <w:instrText xml:space="preserve"> PAGEREF _Toc219186467 \h </w:instrText>
      </w:r>
      <w:r>
        <w:rPr>
          <w:noProof/>
        </w:rPr>
      </w:r>
      <w:r>
        <w:rPr>
          <w:noProof/>
        </w:rPr>
        <w:fldChar w:fldCharType="separate"/>
      </w:r>
      <w:r>
        <w:rPr>
          <w:noProof/>
        </w:rPr>
        <w:t>3</w:t>
      </w:r>
      <w:r>
        <w:rPr>
          <w:noProof/>
        </w:rPr>
        <w:fldChar w:fldCharType="end"/>
      </w:r>
    </w:p>
    <w:p w14:paraId="70A2D825" w14:textId="15904DBB" w:rsidR="0005728C" w:rsidRDefault="0005728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2. FORSLAG TIL EUROPA-PARLAMENTETS BESLUTNING</w:t>
      </w:r>
      <w:r>
        <w:rPr>
          <w:noProof/>
        </w:rPr>
        <w:tab/>
      </w:r>
      <w:r>
        <w:rPr>
          <w:noProof/>
        </w:rPr>
        <w:fldChar w:fldCharType="begin"/>
      </w:r>
      <w:r>
        <w:rPr>
          <w:noProof/>
        </w:rPr>
        <w:instrText xml:space="preserve"> PAGEREF _Toc219186468 \h </w:instrText>
      </w:r>
      <w:r>
        <w:rPr>
          <w:noProof/>
        </w:rPr>
      </w:r>
      <w:r>
        <w:rPr>
          <w:noProof/>
        </w:rPr>
        <w:fldChar w:fldCharType="separate"/>
      </w:r>
      <w:r>
        <w:rPr>
          <w:noProof/>
        </w:rPr>
        <w:t>5</w:t>
      </w:r>
      <w:r>
        <w:rPr>
          <w:noProof/>
        </w:rPr>
        <w:fldChar w:fldCharType="end"/>
      </w:r>
    </w:p>
    <w:p w14:paraId="03AF0757" w14:textId="324AF2DC" w:rsidR="00C1531C" w:rsidRPr="007F78B1" w:rsidRDefault="0005728C" w:rsidP="00D9590C">
      <w:pPr>
        <w:pStyle w:val="PageHeading"/>
      </w:pPr>
      <w:r w:rsidRPr="007F78B1">
        <w:fldChar w:fldCharType="end"/>
      </w:r>
      <w:r w:rsidRPr="007F78B1">
        <w:br w:type="page"/>
      </w:r>
      <w:bookmarkStart w:id="0" w:name="_Toc26759888"/>
      <w:bookmarkStart w:id="1" w:name="_Toc86200285"/>
      <w:bookmarkStart w:id="2" w:name="_Toc219186467"/>
      <w:r w:rsidRPr="007F78B1">
        <w:lastRenderedPageBreak/>
        <w:t>1. FORSLAG TIL EUROPA-PARLAMENTETS AFGØRELSE</w:t>
      </w:r>
      <w:bookmarkEnd w:id="2"/>
    </w:p>
    <w:p w14:paraId="6CB934AC" w14:textId="77777777" w:rsidR="00C1531C" w:rsidRPr="007F78B1" w:rsidRDefault="0005728C">
      <w:pPr>
        <w:pStyle w:val="NormalBold"/>
      </w:pPr>
      <w:r w:rsidRPr="007F78B1">
        <w:t>om decharge for gennemførelsen af Den Europæiske Unions almindelige budget for regnskabsåret 2024, Sektion VIII – Den Europæiske Ombudsmand</w:t>
      </w:r>
    </w:p>
    <w:p w14:paraId="1826A0CD" w14:textId="77777777" w:rsidR="00C1531C" w:rsidRPr="007F78B1" w:rsidRDefault="0005728C" w:rsidP="00267483">
      <w:pPr>
        <w:pStyle w:val="NormalBold"/>
      </w:pPr>
      <w:r w:rsidRPr="007F78B1">
        <w:t>(2025/2153(DEC))</w:t>
      </w:r>
    </w:p>
    <w:p w14:paraId="1CF384C2" w14:textId="77777777" w:rsidR="00C1531C" w:rsidRPr="007F78B1" w:rsidRDefault="0005728C">
      <w:pPr>
        <w:pStyle w:val="EPComma"/>
      </w:pPr>
      <w:r w:rsidRPr="007F78B1">
        <w:rPr>
          <w:i/>
          <w:iCs/>
        </w:rPr>
        <w:t>Europa-Parlamentet,</w:t>
      </w:r>
    </w:p>
    <w:p w14:paraId="4538C75D" w14:textId="77777777" w:rsidR="00C1531C" w:rsidRPr="007F78B1" w:rsidRDefault="0005728C">
      <w:pPr>
        <w:pStyle w:val="NormalHanging12a"/>
      </w:pPr>
      <w:r w:rsidRPr="007F78B1">
        <w:t>–</w:t>
      </w:r>
      <w:r w:rsidRPr="007F78B1">
        <w:tab/>
        <w:t>der henviser til Den Europæiske Unions almindelige budget for regnskabsåret 2024</w:t>
      </w:r>
      <w:r w:rsidRPr="007F78B1">
        <w:rPr>
          <w:rStyle w:val="FootnoteReference"/>
        </w:rPr>
        <w:footnoteReference w:id="1"/>
      </w:r>
      <w:r w:rsidRPr="007F78B1">
        <w:t>,</w:t>
      </w:r>
    </w:p>
    <w:p w14:paraId="2E45202A" w14:textId="77777777" w:rsidR="00C1531C" w:rsidRPr="007F78B1" w:rsidRDefault="0005728C">
      <w:pPr>
        <w:pStyle w:val="NormalHanging12a"/>
      </w:pPr>
      <w:r w:rsidRPr="007F78B1">
        <w:t>–</w:t>
      </w:r>
      <w:r w:rsidRPr="007F78B1">
        <w:tab/>
        <w:t>der henviser til Den Europæiske Unions konsoliderede årsregnskab for regnskabsåret 2024 (COM(2025)0359 – C10</w:t>
      </w:r>
      <w:r w:rsidRPr="007F78B1">
        <w:noBreakHyphen/>
        <w:t>0153/2025)</w:t>
      </w:r>
      <w:r w:rsidRPr="007F78B1">
        <w:rPr>
          <w:rStyle w:val="FootnoteReference"/>
        </w:rPr>
        <w:footnoteReference w:id="2"/>
      </w:r>
      <w:r w:rsidRPr="007F78B1">
        <w:t>,</w:t>
      </w:r>
    </w:p>
    <w:p w14:paraId="2CEFBBE2" w14:textId="77777777" w:rsidR="00DC3829" w:rsidRPr="007F78B1" w:rsidRDefault="0005728C">
      <w:pPr>
        <w:pStyle w:val="NormalHanging12a"/>
      </w:pPr>
      <w:r w:rsidRPr="007F78B1">
        <w:t>–</w:t>
      </w:r>
      <w:r w:rsidRPr="007F78B1">
        <w:tab/>
        <w:t>der henviser til Den Europæiske Ombudsmands årlige aktivitetsrapport for 2024 og hendes beretning om den budgetmæssige og økonomiske forvaltning i regnskabsåret 2024,</w:t>
      </w:r>
    </w:p>
    <w:p w14:paraId="040791AA" w14:textId="77777777" w:rsidR="00C1531C" w:rsidRPr="007F78B1" w:rsidRDefault="0005728C">
      <w:pPr>
        <w:pStyle w:val="NormalHanging12a"/>
      </w:pPr>
      <w:r w:rsidRPr="007F78B1">
        <w:t>–</w:t>
      </w:r>
      <w:r w:rsidRPr="007F78B1">
        <w:tab/>
        <w:t>der henviser til Revisionsrettens årsberetning om budgetgennemførelsen i regnskabsåret 2024, med institutionernes svar</w:t>
      </w:r>
      <w:r w:rsidRPr="007F78B1">
        <w:rPr>
          <w:rStyle w:val="FootnoteReference"/>
        </w:rPr>
        <w:footnoteReference w:id="3"/>
      </w:r>
      <w:r w:rsidRPr="007F78B1">
        <w:t>,</w:t>
      </w:r>
    </w:p>
    <w:p w14:paraId="316BE1F4" w14:textId="77777777" w:rsidR="00C1531C" w:rsidRPr="007F78B1" w:rsidRDefault="0005728C">
      <w:pPr>
        <w:pStyle w:val="NormalHanging12a"/>
      </w:pPr>
      <w:r w:rsidRPr="007F78B1">
        <w:t>–</w:t>
      </w:r>
      <w:r w:rsidRPr="007F78B1">
        <w:tab/>
        <w:t>der henviser til Revisionsrettens erklæring</w:t>
      </w:r>
      <w:r w:rsidRPr="007F78B1">
        <w:rPr>
          <w:rStyle w:val="FootnoteReference"/>
        </w:rPr>
        <w:footnoteReference w:id="4"/>
      </w:r>
      <w:r w:rsidRPr="007F78B1">
        <w:t xml:space="preserve"> for regnskabsåret 2024 om regnskabernes rigtighed og de underliggende transaktioners lovlighed og formelle rigtighed, jf. artikel 287 i traktaten om Den Europæiske Unions funktionsmåde,</w:t>
      </w:r>
    </w:p>
    <w:p w14:paraId="12C81427" w14:textId="77777777" w:rsidR="00C1531C" w:rsidRPr="007F78B1" w:rsidRDefault="0005728C">
      <w:pPr>
        <w:pStyle w:val="NormalHanging12a"/>
      </w:pPr>
      <w:r w:rsidRPr="007F78B1">
        <w:t>–</w:t>
      </w:r>
      <w:r w:rsidRPr="007F78B1">
        <w:tab/>
        <w:t>der henviser til artikel 314, stk. 10, og artikel 317, 318 og 319 i traktaten om Den Europæiske Unions funktionsmåde,</w:t>
      </w:r>
    </w:p>
    <w:p w14:paraId="20B9CCB9" w14:textId="77777777" w:rsidR="00764C1D" w:rsidRPr="007F78B1" w:rsidRDefault="0005728C" w:rsidP="00764C1D">
      <w:pPr>
        <w:pStyle w:val="NormalHanging12a"/>
      </w:pPr>
      <w:r w:rsidRPr="007F78B1">
        <w:t>–</w:t>
      </w:r>
      <w:r w:rsidRPr="007F78B1">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7F78B1">
        <w:rPr>
          <w:rStyle w:val="FootnoteReference"/>
        </w:rPr>
        <w:footnoteReference w:id="5"/>
      </w:r>
      <w:r w:rsidRPr="007F78B1">
        <w:t>, særlig artikel 59, 118, 260, 261 og 262,</w:t>
      </w:r>
    </w:p>
    <w:p w14:paraId="12EFA3A9" w14:textId="77777777" w:rsidR="00DC3829" w:rsidRPr="007F78B1" w:rsidRDefault="0005728C" w:rsidP="00DC3829">
      <w:pPr>
        <w:pStyle w:val="NormalHanging12a"/>
      </w:pPr>
      <w:r w:rsidRPr="007F78B1">
        <w:t>–</w:t>
      </w:r>
      <w:r w:rsidRPr="007F78B1">
        <w:tab/>
        <w:t>der henviser til Europa-Parlamentets og Rådets forordning (EU, Euratom) 2024/2509 af 23. september 2024 om de finansielle regler vedrørende Unionens almindelige budget</w:t>
      </w:r>
      <w:r w:rsidRPr="007F78B1">
        <w:rPr>
          <w:rStyle w:val="FootnoteReference"/>
        </w:rPr>
        <w:footnoteReference w:id="6"/>
      </w:r>
      <w:r w:rsidRPr="007F78B1">
        <w:t>, særlig artikel 59, 118, 266, 267 og 268,</w:t>
      </w:r>
    </w:p>
    <w:p w14:paraId="0E6644B1" w14:textId="77777777" w:rsidR="00C1531C" w:rsidRPr="007F78B1" w:rsidRDefault="0005728C" w:rsidP="00DC3829">
      <w:pPr>
        <w:pStyle w:val="NormalHanging12a"/>
      </w:pPr>
      <w:r w:rsidRPr="007F78B1">
        <w:t>–</w:t>
      </w:r>
      <w:r w:rsidRPr="007F78B1">
        <w:tab/>
        <w:t>der henviser til forretningsordenens artikel 102 og bilag V,</w:t>
      </w:r>
    </w:p>
    <w:p w14:paraId="0465F9EB" w14:textId="77777777" w:rsidR="00337B15" w:rsidRPr="007F78B1" w:rsidRDefault="0005728C" w:rsidP="00337B15">
      <w:pPr>
        <w:pStyle w:val="NormalHanging12a"/>
      </w:pPr>
      <w:r w:rsidRPr="007F78B1">
        <w:t>–</w:t>
      </w:r>
      <w:r w:rsidRPr="007F78B1">
        <w:tab/>
        <w:t>der henviser til betænkning fra Budgetkontroludvalget (A10</w:t>
      </w:r>
      <w:r w:rsidRPr="007F78B1">
        <w:noBreakHyphen/>
        <w:t>0000/2026),</w:t>
      </w:r>
    </w:p>
    <w:p w14:paraId="57316803" w14:textId="77777777" w:rsidR="00C1531C" w:rsidRPr="007F78B1" w:rsidRDefault="0005728C">
      <w:pPr>
        <w:pStyle w:val="NormalHanging12a"/>
      </w:pPr>
      <w:r w:rsidRPr="007F78B1">
        <w:t>1.</w:t>
      </w:r>
      <w:r w:rsidRPr="007F78B1">
        <w:tab/>
        <w:t xml:space="preserve">meddeler Den Europæiske Ombudsmand decharge for gennemførelsen af budgettet for </w:t>
      </w:r>
      <w:r w:rsidRPr="007F78B1">
        <w:lastRenderedPageBreak/>
        <w:t>regnskabsåret 2024 / udsætter sin afgørelse om decharge til Den Europæiske Ombudsmand for gennemførelsen af budgettet for regnskabsåret 2024;</w:t>
      </w:r>
    </w:p>
    <w:p w14:paraId="1D702B69" w14:textId="77777777" w:rsidR="00C1531C" w:rsidRPr="007F78B1" w:rsidRDefault="0005728C">
      <w:pPr>
        <w:pStyle w:val="NormalHanging12a"/>
      </w:pPr>
      <w:r w:rsidRPr="007F78B1">
        <w:t>2.</w:t>
      </w:r>
      <w:r w:rsidRPr="007F78B1">
        <w:tab/>
        <w:t>fremsætter sine bemærkninger i nedenstående beslutning;</w:t>
      </w:r>
    </w:p>
    <w:p w14:paraId="733E1955" w14:textId="77777777" w:rsidR="00266373" w:rsidRPr="007F78B1" w:rsidRDefault="0005728C" w:rsidP="00AA0B08">
      <w:pPr>
        <w:pStyle w:val="NormalHanging12a"/>
      </w:pPr>
      <w:r w:rsidRPr="007F78B1">
        <w:t>3.</w:t>
      </w:r>
      <w:r w:rsidRPr="007F78B1">
        <w:tab/>
        <w:t xml:space="preserve">pålægger sin formand at sende denne afgørelse og beslutningen, der er en integrerende del heraf, til Den Europæiske Ombudsmand, Det Europæiske Råd, Rådet, Kommissionen og Revisionsretten samt til Den Europæiske Unions Domstol, Den Europæiske Tilsynsførende for Databeskyttelse og Tjenesten for EU's Optræden Udadtil, og drage omsorg for, at de offentliggøres i </w:t>
      </w:r>
      <w:r w:rsidRPr="007F78B1">
        <w:rPr>
          <w:i/>
        </w:rPr>
        <w:t>Den Europæiske Unions Tidende</w:t>
      </w:r>
      <w:r w:rsidRPr="007F78B1">
        <w:t xml:space="preserve"> (L-udgaven).</w:t>
      </w:r>
    </w:p>
    <w:p w14:paraId="305EC8F1" w14:textId="77777777" w:rsidR="00AA0B08" w:rsidRPr="007F78B1" w:rsidRDefault="00AA0B08" w:rsidP="00AA0B08">
      <w:pPr>
        <w:pStyle w:val="NormalHanging12a"/>
      </w:pPr>
    </w:p>
    <w:p w14:paraId="3F4F9127" w14:textId="77777777" w:rsidR="00266373" w:rsidRPr="007F78B1" w:rsidRDefault="00266373" w:rsidP="004D13BA">
      <w:pPr>
        <w:pStyle w:val="PageHeading"/>
        <w:sectPr w:rsidR="00266373" w:rsidRPr="007F78B1" w:rsidSect="007F78B1">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6A806992" w14:textId="77777777" w:rsidR="00C1531C" w:rsidRPr="007F78B1" w:rsidRDefault="0005728C" w:rsidP="004D13BA">
      <w:pPr>
        <w:pStyle w:val="PageHeading"/>
      </w:pPr>
      <w:bookmarkStart w:id="3" w:name="_Toc219186468"/>
      <w:bookmarkEnd w:id="0"/>
      <w:bookmarkEnd w:id="1"/>
      <w:r w:rsidRPr="007F78B1">
        <w:lastRenderedPageBreak/>
        <w:t xml:space="preserve">2. FORSLAG TIL </w:t>
      </w:r>
      <w:r w:rsidRPr="007F78B1">
        <w:t>EUROPA-PARLAMENTETS BESLUTNING</w:t>
      </w:r>
      <w:bookmarkEnd w:id="3"/>
    </w:p>
    <w:p w14:paraId="5B5EEF2A" w14:textId="77777777" w:rsidR="00C1531C" w:rsidRPr="007F78B1" w:rsidRDefault="0005728C">
      <w:pPr>
        <w:pStyle w:val="NormalBold"/>
      </w:pPr>
      <w:r w:rsidRPr="007F78B1">
        <w:t>med bemærkninger, der er en integrerende del af afgørelsen om decharge for gennemførelsen af Den Europæiske Unions almindelige budget for regnskabsåret 2024, Sektion VIII – Den Europæiske Ombudsmand</w:t>
      </w:r>
    </w:p>
    <w:p w14:paraId="6409F207" w14:textId="77777777" w:rsidR="00C1531C" w:rsidRPr="007F78B1" w:rsidRDefault="0005728C" w:rsidP="00267483">
      <w:pPr>
        <w:pStyle w:val="NormalBold"/>
      </w:pPr>
      <w:r w:rsidRPr="007F78B1">
        <w:t>(2025/2153(DEC))</w:t>
      </w:r>
    </w:p>
    <w:p w14:paraId="6C96D33A" w14:textId="77777777" w:rsidR="00C16DCB" w:rsidRPr="007F78B1" w:rsidRDefault="0005728C" w:rsidP="00C16DCB">
      <w:pPr>
        <w:pStyle w:val="EPComma"/>
      </w:pPr>
      <w:r w:rsidRPr="007F78B1">
        <w:rPr>
          <w:i/>
          <w:iCs/>
        </w:rPr>
        <w:t>Europa-Parlamentet,</w:t>
      </w:r>
    </w:p>
    <w:p w14:paraId="71324C5B" w14:textId="77777777" w:rsidR="00C16DCB" w:rsidRPr="007F78B1" w:rsidRDefault="0005728C" w:rsidP="00C16DCB">
      <w:pPr>
        <w:pStyle w:val="NormalHanging12a"/>
      </w:pPr>
      <w:r w:rsidRPr="007F78B1">
        <w:t>–</w:t>
      </w:r>
      <w:r w:rsidRPr="007F78B1">
        <w:tab/>
        <w:t>der henviser til sin afgørelse om decharge for gennemførelsen af Den Europæiske Unions almindelige budget for regnskabsåret 2024, Sektion VIII – Den Europæiske Ombudsmand,</w:t>
      </w:r>
    </w:p>
    <w:p w14:paraId="31A83BAA" w14:textId="77777777" w:rsidR="00C16DCB" w:rsidRPr="007F78B1" w:rsidRDefault="0005728C" w:rsidP="00C16DCB">
      <w:pPr>
        <w:pStyle w:val="NormalHanging12a"/>
      </w:pPr>
      <w:r w:rsidRPr="007F78B1">
        <w:t>–</w:t>
      </w:r>
      <w:r w:rsidRPr="007F78B1">
        <w:tab/>
        <w:t>der henviser til forretningsordenens artikel 102 og bilag V,</w:t>
      </w:r>
    </w:p>
    <w:p w14:paraId="1E05C54C" w14:textId="77777777" w:rsidR="00C16DCB" w:rsidRPr="007F78B1" w:rsidRDefault="0005728C" w:rsidP="00C16DCB">
      <w:pPr>
        <w:pStyle w:val="NormalHanging12a"/>
      </w:pPr>
      <w:r w:rsidRPr="007F78B1">
        <w:t>–</w:t>
      </w:r>
      <w:r w:rsidRPr="007F78B1">
        <w:tab/>
        <w:t>der henviser til betænkning fra Budgetkontroludvalget (A10</w:t>
      </w:r>
      <w:r w:rsidRPr="007F78B1">
        <w:noBreakHyphen/>
        <w:t>0000/2026),</w:t>
      </w:r>
    </w:p>
    <w:p w14:paraId="5E6EB499" w14:textId="77777777" w:rsidR="00C16DCB" w:rsidRPr="007F78B1" w:rsidRDefault="0005728C" w:rsidP="006314A1">
      <w:pPr>
        <w:pStyle w:val="NormalHanging12a"/>
      </w:pPr>
      <w:r w:rsidRPr="007F78B1">
        <w:t>A.</w:t>
      </w:r>
      <w:r w:rsidRPr="007F78B1">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præstationsbaseret budgettering og god forvaltning af menneskelige ressourcer;</w:t>
      </w:r>
    </w:p>
    <w:p w14:paraId="58133011" w14:textId="77777777" w:rsidR="00C16DCB" w:rsidRPr="007F78B1" w:rsidRDefault="0005728C" w:rsidP="006314A1">
      <w:pPr>
        <w:pStyle w:val="NormalHanging12a"/>
      </w:pPr>
      <w:r w:rsidRPr="007F78B1">
        <w:t>B.</w:t>
      </w:r>
      <w:r w:rsidRPr="007F78B1">
        <w:tab/>
        <w:t>der henviser til, at Europa-Parlamentet i henhold til artikel 228 i traktaten om Den Europæiske Unions funktionsmåde skal vælge en europæisk ombudsmand (herefter "Ombudsmanden"), der er beføjet til at modtage klager fra enhver unionsborger eller enhver fysisk eller juridisk person med bopæl eller hjemsted i en medlemsstat over tilfælde af fejl eller forsømmelser i forbindelse med handlinger foretaget af Unionens institutioner, organer, kontorer og agenturer med undtagelse af Den Europæiske Unions Domstol u</w:t>
      </w:r>
      <w:r w:rsidRPr="007F78B1">
        <w:t>nder udøvelsen af dens domstolsfunktioner samt til at undersøge klager og aflægge beretning herom;</w:t>
      </w:r>
    </w:p>
    <w:p w14:paraId="7327D7E3" w14:textId="77777777" w:rsidR="00C16DCB" w:rsidRPr="007F78B1" w:rsidRDefault="0005728C" w:rsidP="006314A1">
      <w:pPr>
        <w:pStyle w:val="NormalHanging12a"/>
      </w:pPr>
      <w:r w:rsidRPr="007F78B1">
        <w:t>C.</w:t>
      </w:r>
      <w:r w:rsidRPr="007F78B1">
        <w:tab/>
        <w:t>der henviser til, at Europa-Parlamentets forordning (EU, Euratom) 2021/1163 af 24. juni 2021</w:t>
      </w:r>
      <w:r w:rsidRPr="007F78B1">
        <w:rPr>
          <w:rStyle w:val="FootnoteReference"/>
        </w:rPr>
        <w:footnoteReference w:id="7"/>
      </w:r>
      <w:r w:rsidRPr="007F78B1">
        <w:t xml:space="preserve"> fastlægger Ombudsmandens statut og de almindelige betingelser for udøvelsen af dennes hverv (Den Europæiske Ombudsmands statut);</w:t>
      </w:r>
    </w:p>
    <w:p w14:paraId="5A9205E4" w14:textId="77777777" w:rsidR="00C16DCB" w:rsidRPr="007F78B1" w:rsidRDefault="0005728C" w:rsidP="006314A1">
      <w:pPr>
        <w:pStyle w:val="NormalHanging12a"/>
      </w:pPr>
      <w:r w:rsidRPr="007F78B1">
        <w:t>D.</w:t>
      </w:r>
      <w:r w:rsidRPr="007F78B1">
        <w:tab/>
        <w:t>der henviser til, at den nye ombudsmand efter at være blevet valgt af Parlamentet den 17. december 2024 blev taget i ed den 27. februar 2025, hvilket sikrede kontinuitet og effektiv opfyldelse af Ombudsmandens mandat til at fremme gennemsigtighed, god forvaltning og borgernes rettigheder i EU-institutionerne;</w:t>
      </w:r>
    </w:p>
    <w:p w14:paraId="2EF8E15B" w14:textId="77777777" w:rsidR="00C16DCB" w:rsidRPr="007F78B1" w:rsidRDefault="0005728C" w:rsidP="006314A1">
      <w:pPr>
        <w:pStyle w:val="NormalHanging12a"/>
      </w:pPr>
      <w:r w:rsidRPr="007F78B1">
        <w:t>E.</w:t>
      </w:r>
      <w:r w:rsidRPr="007F78B1">
        <w:tab/>
        <w:t>der henviser til, at Ombudsmanden efter vedtagelsen af forordning (EU, Euratom) 2021/1163 vedtog sine reviderede gennemførelsesbestemmelser</w:t>
      </w:r>
      <w:r w:rsidRPr="007F78B1">
        <w:rPr>
          <w:rStyle w:val="FootnoteReference"/>
        </w:rPr>
        <w:footnoteReference w:id="8"/>
      </w:r>
      <w:r w:rsidRPr="007F78B1">
        <w:t xml:space="preserve"> den 21. juni 2023;</w:t>
      </w:r>
    </w:p>
    <w:p w14:paraId="1CEA3E9F" w14:textId="77777777" w:rsidR="00C16DCB" w:rsidRPr="007F78B1" w:rsidRDefault="0005728C" w:rsidP="00BA4EBA">
      <w:pPr>
        <w:pStyle w:val="NormalHanging12a"/>
      </w:pPr>
      <w:r w:rsidRPr="007F78B1">
        <w:t>1.</w:t>
      </w:r>
      <w:r w:rsidRPr="007F78B1">
        <w:tab/>
        <w:t xml:space="preserve">bemærker, at Ombudsmandens budget falder ind under FFR-udgiftsområde 7, "Europæisk offentlig forvaltning", som i 2024 beløb sig til i alt 13,3 mia. EUR eller </w:t>
      </w:r>
      <w:r w:rsidRPr="007F78B1">
        <w:lastRenderedPageBreak/>
        <w:t>6,9 % af Unionens udgifter; bemærker, at Ombudsmandens budget udgjorde 0,10 % af bevillingerne under FFR-udgiftsområde 7;</w:t>
      </w:r>
    </w:p>
    <w:p w14:paraId="61711614" w14:textId="77777777" w:rsidR="00C16DCB" w:rsidRPr="007F78B1" w:rsidRDefault="0005728C" w:rsidP="00BA4EBA">
      <w:pPr>
        <w:pStyle w:val="NormalHanging12a"/>
      </w:pPr>
      <w:r w:rsidRPr="007F78B1">
        <w:t>2.</w:t>
      </w:r>
      <w:r w:rsidRPr="007F78B1">
        <w:tab/>
        <w:t xml:space="preserve">bemærker, at </w:t>
      </w:r>
      <w:r w:rsidRPr="007F78B1">
        <w:t>Revisionsretten i sin årsberetning for regnskabsåret 2024 undersøgte en stikprøve på 70 transaktioner under udgiftsområde "Administration", hvilket er det samme antal som i 2023; bemærker, at Revisionsretten endvidere anfører, at administrationsudgifter omfatter udgifter til menneskelige ressourcer, herunder udgifter til pensioner, som i 2024 tegnede sig for ca. 69 % af de samlede administrationsudgifter, samt udgifter til bygninger, udstyr, energi, kommunikation og informationsteknologi (IT), og at dens re</w:t>
      </w:r>
      <w:r w:rsidRPr="007F78B1">
        <w:t>visioner gennem mange år viser, at der generelt kun er lav risiko forbundet med disse udgifter;</w:t>
      </w:r>
    </w:p>
    <w:p w14:paraId="4A68DF92" w14:textId="77777777" w:rsidR="00C16DCB" w:rsidRPr="007F78B1" w:rsidRDefault="0005728C" w:rsidP="00BA4EBA">
      <w:pPr>
        <w:pStyle w:val="NormalHanging12a"/>
      </w:pPr>
      <w:r w:rsidRPr="007F78B1">
        <w:t>3.</w:t>
      </w:r>
      <w:r w:rsidRPr="007F78B1">
        <w:tab/>
        <w:t>bemærker, at 16 (23 %) af de 70 transaktioner var behæftet med fejl, men at Revisionsretten på grundlag af de tre fejl, der blev kvantificeret, anslår, at fejlforekomsten er under væsentlighedstærsklen; bemærker, at Revisionsrettens beretning ikke konstaterede nogen specifikke problemer vedrørende Ombudsmanden;</w:t>
      </w:r>
    </w:p>
    <w:p w14:paraId="3455C9DE" w14:textId="77777777" w:rsidR="00C16DCB" w:rsidRPr="007F78B1" w:rsidRDefault="0005728C" w:rsidP="00C27C90">
      <w:pPr>
        <w:pStyle w:val="NormalHanging12a"/>
        <w:ind w:left="0" w:firstLine="0"/>
        <w:rPr>
          <w:b/>
          <w:i/>
        </w:rPr>
      </w:pPr>
      <w:r w:rsidRPr="007F78B1">
        <w:rPr>
          <w:b/>
          <w:i/>
        </w:rPr>
        <w:t>Budgetmæssig og økonomisk forvaltning</w:t>
      </w:r>
    </w:p>
    <w:p w14:paraId="5A2E1DB7" w14:textId="77777777" w:rsidR="00C16DCB" w:rsidRPr="007F78B1" w:rsidRDefault="0005728C" w:rsidP="00BA4EBA">
      <w:pPr>
        <w:pStyle w:val="NormalHanging12a"/>
      </w:pPr>
      <w:r w:rsidRPr="007F78B1">
        <w:t>4.</w:t>
      </w:r>
      <w:r w:rsidRPr="007F78B1">
        <w:tab/>
        <w:t>bemærker, at Ombudsmandens budget beløb sig til 13 843 160 EUR i 2024, hvilket svarer til en stigning på 630 713 EUR (dvs. + 4,77 %) i forhold til 2023; noterer sig på baggrund af Ombudsmandens svar på spørgeskemaet fra Budgetkontroludvalget i forbindelse med meddelelsen af decharge for budgettet for 2024 (herefter "spørgeskemaet"), at denne stigning hovedsagelig skyldes løntilpasninger;</w:t>
      </w:r>
    </w:p>
    <w:p w14:paraId="3636EE0A" w14:textId="77777777" w:rsidR="00C16DCB" w:rsidRPr="007F78B1" w:rsidRDefault="0005728C" w:rsidP="00BA4EBA">
      <w:pPr>
        <w:pStyle w:val="NormalHanging12a"/>
      </w:pPr>
      <w:r w:rsidRPr="007F78B1">
        <w:t>5.</w:t>
      </w:r>
      <w:r w:rsidRPr="007F78B1">
        <w:tab/>
        <w:t>noterer sig, at budgetovervågningsindsatsen i regnskabsåret 2024 resulterede i en budgetgennemførelsesgrad på 97,55 %, hvilket svarer til en stigning på 2,16 % i forhold til 2023; bemærker, at denne gennemførelsesgrad omfatter bevillinger, der blev fremført fra 2024 til 2025; bemærker, at udnyttelsesgraden for betalingsbevillingerne i det pågældende år var på 97,08 %, svarende til et fald på 0,50 % i forhold til 2023; bemærker en stigning på 29,60 % i de fremførte bevillinger (C8-bevillinger), nemlig fra 3</w:t>
      </w:r>
      <w:r w:rsidRPr="007F78B1">
        <w:t>04 550 EUR i 2023 til 394 667 EUR i 2024; bemærker en forbedring i udnyttelsesgraden for de automatiske fremførsler af bevillinger fra det foregående år, som i 2024 var på 76,59 % sammenlignet med 73,27 % i 2023;</w:t>
      </w:r>
    </w:p>
    <w:p w14:paraId="7456D96F" w14:textId="77777777" w:rsidR="00C16DCB" w:rsidRPr="007F78B1" w:rsidRDefault="0005728C" w:rsidP="00BA4EBA">
      <w:pPr>
        <w:pStyle w:val="NormalHanging12a"/>
      </w:pPr>
      <w:r w:rsidRPr="007F78B1">
        <w:t>6.</w:t>
      </w:r>
      <w:r w:rsidRPr="007F78B1">
        <w:tab/>
        <w:t>bemærker, at Ombudsmanden i løbet af 2024 foretog fire budgetoverførsler i henhold til finansforordningens artikel 29, svarende til i alt 280 500 EUR eller 2,02 % af det pågældende regnskabsårs bevillinger, i forhold til 1,8 % i 2023; bemærker, at disse overførsler var nødvendige for at forhøje forskellige budgetposter vedrørende f.eks. rengøring, vedligeholdelse og energiforbrug (+ 41 %), tjenesterejseudgifter (+ 38,60 %) og informationsteknologi (+ 24,80 %);  bemærker, at Ombudsmanden i 2024 nedbragte si</w:t>
      </w:r>
      <w:r w:rsidRPr="007F78B1">
        <w:t>ne udgifter til oversættelse betydeligt efter den vellykkede integration af kunstig intelligens (AI) i oversættelsesprocesserne for Ombudsmandens websted; bemærker, at de derved opnåede besparelser blev anvendt til at styrke andre områder via budgetoverførsler;</w:t>
      </w:r>
    </w:p>
    <w:p w14:paraId="42E0756E" w14:textId="77777777" w:rsidR="00C16DCB" w:rsidRPr="007F78B1" w:rsidRDefault="0005728C" w:rsidP="00BA4EBA">
      <w:pPr>
        <w:pStyle w:val="NormalHanging12a"/>
      </w:pPr>
      <w:r w:rsidRPr="007F78B1">
        <w:t>7.</w:t>
      </w:r>
      <w:r w:rsidRPr="007F78B1">
        <w:tab/>
        <w:t xml:space="preserve">bemærker med tilfredshed på baggrund af Ombudsmandens årlige aktivitetsrapport for 2024, at alle betalinger i 2024 blev foretaget inden for den lovbestemte frist på 30 dage; bemærker endvidere, at den gennemsnitlige betalingstid for fakturaer var 13,20 dage, hvilket er en forbedring i forhold til 2023 (13,50 dage); bemærker for så vidt angår Ombudsmandens overgang til et nyt finans- og regnskabssystem (SUMMA), at </w:t>
      </w:r>
      <w:r w:rsidRPr="007F78B1">
        <w:lastRenderedPageBreak/>
        <w:t xml:space="preserve">Ombudsmanden anmodes om at betale 200 000 EUR for adgangsrettighederne hertil, hvilket er det </w:t>
      </w:r>
      <w:r w:rsidRPr="007F78B1">
        <w:t>samme beløb, som andre, meget større EU-institutioner anmodes om at betale; bemærker, at dette beløb er dobbelt så stort som Ombudsmandens budget til denne type tjenesteydelser; tilskynder Kommissionen til at finde en løsning, hvor Ombudsmanden kan få adgang til SUMMA til en pris, der står i et rimeligt forhold til Ombudsmandens størrelse;</w:t>
      </w:r>
    </w:p>
    <w:p w14:paraId="3805CB69" w14:textId="77777777" w:rsidR="00C16DCB" w:rsidRPr="007F78B1" w:rsidRDefault="0005728C" w:rsidP="00BA4EBA">
      <w:pPr>
        <w:pStyle w:val="NormalHanging12a"/>
      </w:pPr>
      <w:r w:rsidRPr="007F78B1">
        <w:t>8.</w:t>
      </w:r>
      <w:r w:rsidRPr="007F78B1">
        <w:tab/>
        <w:t>bemærker, at virkningerne af Ruslands angrebskrig mod Ukraine fortsat satte Ombudsmandens budget under pres i 2024; bemærker, at Ombudsmanden var den, der blev hårdest ramt af stigningen i energiomkostningerne; bemærker i den forbindelse, at det faste beløb, som Ombudsmanden betalte Parlamentet i leje, måtte genberegnes for at blive tilpasset de faktiske omkostninger; bemærker, at Ombudsmandens faktiske energiudgifter i 2024 som følge heraf steg med 75 % fra 168 900 EUR i 2023 til 295 400 EUR i 2024; noter</w:t>
      </w:r>
      <w:r w:rsidRPr="007F78B1">
        <w:t>er sig på baggrund af spørgeskemaet Ombudsmandens synspunkt om, at den kumulative virkning af inflationspresset samt begrænsningen af de ikkelønrelaterede udgifter til højst 2 % i forhold til det foregående år påvirker den langsigtede holdbarhed af Ombudsmandens budget; anerkender behovet for, at alle EU-institutioner forbedrer deres budgetforvaltning ved også at tage højde for prisudsving, navnlig i energisektoren, når de indgår kontrakter med tjenesteudbydere;</w:t>
      </w:r>
    </w:p>
    <w:p w14:paraId="51595BCD" w14:textId="77777777" w:rsidR="00C16DCB" w:rsidRPr="007F78B1" w:rsidRDefault="0005728C" w:rsidP="00BA4EBA">
      <w:pPr>
        <w:pStyle w:val="NormalHanging12a"/>
      </w:pPr>
      <w:r w:rsidRPr="007F78B1">
        <w:t>9.</w:t>
      </w:r>
      <w:r w:rsidRPr="007F78B1">
        <w:tab/>
        <w:t>bemærker, at budgettet til personalets tjenesterejser var på 120 000 EUR i 2024 (samme beløb som for 2023); bemærker ikke desto mindre, at der i 2024 blev foretaget en forhøjelse af budgetartiklen for tjenesterejser på + 38,60 % ved hjælp af interne overførsler; noterer sig Ombudsmandens forklaring om, at denne forhøjelse var nødvendig på grund af inflation og stigende indkvarteringsomkostninger, et stigende antal nødvendige tjenesterejser fra Ombudsmandens side samt budgetoverslag baseret på tjenesterejse</w:t>
      </w:r>
      <w:r w:rsidRPr="007F78B1">
        <w:t>r i de foregående år, hvor rejseaktiviteten var begrænset på grund af covid-19-pandemien; bemærker, at Ombudsmandens oprindelige budget til tjenesterejser forblev det samme i 2023 som i de foregående år (2022 og 2023), dvs. 35 000 EUR; bemærker, at de faktiske udgifter til hendes tjenesterejser, efter at budgettet var blevet forhøjet via interne overførsler, beløb sig til i alt 41 326 EUR i 2024</w:t>
      </w:r>
      <w:r w:rsidRPr="007F78B1">
        <w:rPr>
          <w:rStyle w:val="FootnoteReference"/>
        </w:rPr>
        <w:footnoteReference w:id="9"/>
      </w:r>
      <w:r w:rsidRPr="007F78B1">
        <w:t xml:space="preserve">; </w:t>
      </w:r>
    </w:p>
    <w:p w14:paraId="6C23AD73" w14:textId="77777777" w:rsidR="00C16DCB" w:rsidRPr="007F78B1" w:rsidRDefault="0005728C" w:rsidP="00C27C90">
      <w:pPr>
        <w:pStyle w:val="NormalHanging12a"/>
        <w:ind w:left="0" w:firstLine="0"/>
        <w:rPr>
          <w:b/>
          <w:i/>
        </w:rPr>
      </w:pPr>
      <w:r w:rsidRPr="007F78B1">
        <w:rPr>
          <w:b/>
          <w:i/>
        </w:rPr>
        <w:t xml:space="preserve">Intern </w:t>
      </w:r>
      <w:r w:rsidRPr="007F78B1">
        <w:rPr>
          <w:b/>
          <w:i/>
        </w:rPr>
        <w:t>forvaltning, præstation og intern kontrol</w:t>
      </w:r>
    </w:p>
    <w:p w14:paraId="2FC1F6C9" w14:textId="77777777" w:rsidR="00C16DCB" w:rsidRPr="007F78B1" w:rsidRDefault="0005728C" w:rsidP="00BA4EBA">
      <w:pPr>
        <w:pStyle w:val="NormalHanging12a"/>
      </w:pPr>
      <w:r w:rsidRPr="007F78B1">
        <w:t>10.</w:t>
      </w:r>
      <w:r w:rsidRPr="007F78B1">
        <w:tab/>
        <w:t xml:space="preserve">bemærker, at Ombudsmanden til sine overordnede mål i sin "Hen imod 2024"-strategi har knyttet ni centrale resultatindikatorer (KPI'er) bestående af 17 komponenter som fastsat i Ombudsmandens årlige forvaltningsplan for 2024; bemærker, at 13 af disse KPI-komponenter blev nået eller overgået i 2024; </w:t>
      </w:r>
    </w:p>
    <w:p w14:paraId="3F2546F9" w14:textId="77777777" w:rsidR="00C16DCB" w:rsidRPr="007F78B1" w:rsidRDefault="0005728C" w:rsidP="00BA4EBA">
      <w:pPr>
        <w:pStyle w:val="NormalHanging12a"/>
      </w:pPr>
      <w:r w:rsidRPr="007F78B1">
        <w:t>11.</w:t>
      </w:r>
      <w:r w:rsidRPr="007F78B1">
        <w:tab/>
        <w:t>bemærker at Ombudsmanden i 2024 behandlede 2 264 nye klager (2 392 i 2023), indledte 411 undersøgelser (392 i 2023), herunder 49 undersøgelser af offentlig betydning (56 i 2023), afsluttede 421 undersøgelser (372 i 2023) og behandlede et stort antal klager om aktindsigt, som steg fra 167 i 2023 til et (nyt) rekordstort antal på 212 i 2024 (hvoraf 160 blev fulgt op med undersøgelser, og 193 blev afsluttet);</w:t>
      </w:r>
    </w:p>
    <w:p w14:paraId="1420A304" w14:textId="77777777" w:rsidR="00C16DCB" w:rsidRPr="007F78B1" w:rsidRDefault="0005728C" w:rsidP="00BA4EBA">
      <w:pPr>
        <w:pStyle w:val="NormalHanging12a"/>
      </w:pPr>
      <w:r w:rsidRPr="007F78B1">
        <w:t>12.</w:t>
      </w:r>
      <w:r w:rsidRPr="007F78B1">
        <w:tab/>
        <w:t xml:space="preserve">roser Ombudsmanden for at have reduceret den tid, det tager at behandle sager på de </w:t>
      </w:r>
      <w:r w:rsidRPr="007F78B1">
        <w:lastRenderedPageBreak/>
        <w:t xml:space="preserve">forskellige stadier i proceduren, såsom den gennemsnitlige sagsbehandlingstid for klager (fra 39 dage i 2023 til 36 dage i 2024) og for behandling af en klage inden for mandatet (fra 91 dage i 2023 til 86 dage i 2024); bemærker ikke desto mindre en betydelig stigning i </w:t>
      </w:r>
      <w:bookmarkStart w:id="4" w:name="_Hlk215072273"/>
      <w:r w:rsidRPr="007F78B1">
        <w:t>den gennemsnitlige tid, det tog at afslutte sager vedrørende aktindsigt, fra 42 dage i 2023 til 85 arbejdsdage i 2024</w:t>
      </w:r>
      <w:bookmarkEnd w:id="4"/>
      <w:r w:rsidRPr="007F78B1">
        <w:t xml:space="preserve">; bemærker, at Ombudsmanden overgik sit </w:t>
      </w:r>
      <w:r w:rsidRPr="007F78B1">
        <w:t>mål (100 %) for afslutningsgraden (dvs. afsluttede sager sammenlignet med nye sager, der blev registreret i løbet af året); beklager imidlertid, at den gennemsnitlige behandlingstid (168 dage) for en undersøgelse forblev høj i 2024 (en stigning fra 165 dage i 2023), hvilket er et godt stykke over det fastlagte mål på 150 dage; bemærker i den forbindelse med tilfredshed, på baggrund af Ombudsmandens beretning til Parlamentet om opfølgningen på decharge for regnskabsåret 2023 ("opfølgningsrapporten"), at et a</w:t>
      </w:r>
      <w:r w:rsidRPr="007F78B1">
        <w:t xml:space="preserve">f den nyvalgte Ombudsmands vigtigste strategiske mål er at styrke samarbejdet og dialogen med EU-institutionerne, </w:t>
      </w:r>
      <w:r w:rsidRPr="007F78B1">
        <w:noBreakHyphen/>
        <w:t xml:space="preserve">organerne og </w:t>
      </w:r>
      <w:r w:rsidRPr="007F78B1">
        <w:noBreakHyphen/>
        <w:t xml:space="preserve">agenturerne med henblik på i sidste ende at reducere den tid, det tager at behandle undersøgelser; </w:t>
      </w:r>
    </w:p>
    <w:p w14:paraId="431A7ACA" w14:textId="77777777" w:rsidR="00C16DCB" w:rsidRPr="007F78B1" w:rsidRDefault="0005728C" w:rsidP="00BA4EBA">
      <w:pPr>
        <w:pStyle w:val="NormalHanging12a"/>
      </w:pPr>
      <w:r w:rsidRPr="007F78B1">
        <w:t>13.</w:t>
      </w:r>
      <w:r w:rsidRPr="007F78B1">
        <w:tab/>
        <w:t>bemærker for så vidt angår konklusionerne, at Ombudsmanden i 2024 fremsatte forslag til en løsning i 14 sager samt henstillinger i tre sager vedrørende aktindsigt; bemærker en forbedring med hensyn til EU-institutionernes positive svar på Ombudsmandens forslag om at forbedre deres administrative praksis med en samlet grad af accept på 82 % i 2024 (sammenlignet med 81 % i 2023), hvilket inkluderer sager, som blev afsluttet i 2023; anmoder Ombudsmanden om fortsat at arbejde på at sikre en høj grad af efterle</w:t>
      </w:r>
      <w:r w:rsidRPr="007F78B1">
        <w:t>velse af sine konklusioner, henstillinger og forslag;</w:t>
      </w:r>
    </w:p>
    <w:p w14:paraId="69E562E9" w14:textId="77777777" w:rsidR="00C16DCB" w:rsidRPr="007F78B1" w:rsidRDefault="0005728C" w:rsidP="00BA4EBA">
      <w:pPr>
        <w:pStyle w:val="NormalHanging12a"/>
      </w:pPr>
      <w:r w:rsidRPr="007F78B1">
        <w:t>14.</w:t>
      </w:r>
      <w:r w:rsidRPr="007F78B1">
        <w:tab/>
        <w:t>glæder sig over, at Ombudsmanden i 2024 fortsat bestræbte sig på at øge borgernes bevidsthed om og forståelse af Ombudsmanden mandat; bemærker i den forbindelse med tilfredshed, at andelen af klager inden for mandatet er steget fra 33 % i 2022 og 37 % i 2023 til 39 % i 2024; bemærker endvidere på baggrund af opfølgningsrapporten, at et af Ombudsmandens nye strategiske mål er at iværksætte målrettede kommunikationsaktiviteter for at sikre, at borgere, der måtte få brug for Ombudsmanden, er bevidste om deres</w:t>
      </w:r>
      <w:r w:rsidRPr="007F78B1">
        <w:t xml:space="preserve"> rettigheder og brugen af dens tjenester; bemærker i den forbindelse, at der som følge heraf forventes en stigning i antallet af klager, hvilket vil medføre et behov for at revidere og tilpasse arbejdsmetoderne og øge anvendelsen af digitale værktøjer, navnlig AI, med henblik på at strømline klagebehandlingsprocessen yderligere; anmoder Ombudsmanden om at holde dechargemyndigheden underrettet om de fremskridt, der gøres på dette område;</w:t>
      </w:r>
    </w:p>
    <w:p w14:paraId="20106215" w14:textId="77777777" w:rsidR="00C16DCB" w:rsidRPr="007F78B1" w:rsidRDefault="0005728C" w:rsidP="00BA4EBA">
      <w:pPr>
        <w:pStyle w:val="NormalHanging12a"/>
      </w:pPr>
      <w:r w:rsidRPr="007F78B1">
        <w:t>15.</w:t>
      </w:r>
      <w:r w:rsidRPr="007F78B1">
        <w:tab/>
        <w:t xml:space="preserve">anerkender Ombudsmandens indsats for og positive indvirkning på etik, gennemsigtighed og ansvarlighed i 2024, navnlig som følge af undersøgelser vedrørende forskellige EU-institutioner, </w:t>
      </w:r>
      <w:r w:rsidRPr="007F78B1">
        <w:noBreakHyphen/>
        <w:t xml:space="preserve">organer eller </w:t>
      </w:r>
      <w:r w:rsidRPr="007F78B1">
        <w:noBreakHyphen/>
        <w:t>agenturer; bemærker, at langt størstedelen af disse undersøgelser (65 %) i 2025 vedrørte Kommissionen;</w:t>
      </w:r>
    </w:p>
    <w:p w14:paraId="2F8F8683" w14:textId="77777777" w:rsidR="00C16DCB" w:rsidRPr="007F78B1" w:rsidRDefault="0005728C" w:rsidP="00BA4EBA">
      <w:pPr>
        <w:pStyle w:val="NormalHanging12a"/>
      </w:pPr>
      <w:bookmarkStart w:id="5" w:name="_Hlk215843998"/>
      <w:r w:rsidRPr="007F78B1">
        <w:t>16.</w:t>
      </w:r>
      <w:r w:rsidRPr="007F78B1">
        <w:tab/>
        <w:t>noterer sig navnlig Ombudsmandens undersøgelser om: (i) hvordan Rådet og Kommissionen håndterer anmodninger om aktindsigt i lovgivningsdokumenter (navnlig om undtagelser til at give afslag herpå), mens Ombudsmanden konkluderede, at de to institutioner i mange tilfælde anvendte undtagelserne i henhold til EU-retten om aktindsigt for bredt, på grundlag af et ræsonnement, der allerede er blevet afvist af Den Europæiske Unions Domstol, ii) Kommissionens afslag på at give aktindsigt i dokumenter vedrørende revi</w:t>
      </w:r>
      <w:r w:rsidRPr="007F78B1">
        <w:t xml:space="preserve">sionen af EU-reglerne om fødevareinformation til forbrugerne og vedrørende interessenters og medlemsstaters input om Unionens </w:t>
      </w:r>
      <w:r w:rsidRPr="007F78B1">
        <w:lastRenderedPageBreak/>
        <w:t>"forordning om naturgenopretning" samt iii) Kommissionens undladelse af at udpege dokumenter, der indeholder udvekslinger med medlemsstater eller interne udvekslinger vedrørende forberedelsen af møder på højt plan om aftalememorandummet mellem EU og Tunesien;</w:t>
      </w:r>
    </w:p>
    <w:bookmarkEnd w:id="5"/>
    <w:p w14:paraId="302822FC" w14:textId="77777777" w:rsidR="00C16DCB" w:rsidRPr="007F78B1" w:rsidRDefault="0005728C" w:rsidP="00BA4EBA">
      <w:pPr>
        <w:pStyle w:val="NormalHanging12a"/>
      </w:pPr>
      <w:r w:rsidRPr="007F78B1">
        <w:t>17.</w:t>
      </w:r>
      <w:r w:rsidRPr="007F78B1">
        <w:tab/>
        <w:t>glæder sig over Ombudsmandens undersøgelser i 2024 om etiske spørgsmål; bemærker navnlig en svingdørssag vedrørende to tidligere ansatte i Den Europæiske Unions Agentur for Retshåndhævelsessamarbejde, en undersøgelse baseret på en traktatbrudsklage vedrørende en påstået interessekonflikt, der involverer kommissæren med ansvar for landbrug, samt en undersøgelse af, hvordan Kommissionen sikrer, at der ikke er interessekonflikter med de eksperter, der bistår Kommissionen med at vurdere forslag, der skal finan</w:t>
      </w:r>
      <w:r w:rsidRPr="007F78B1">
        <w:t>sieres inden for rammerne af Den Europæiske Forsvarsfond;</w:t>
      </w:r>
    </w:p>
    <w:p w14:paraId="0ED2FDC2" w14:textId="77777777" w:rsidR="00C16DCB" w:rsidRPr="007F78B1" w:rsidRDefault="0005728C" w:rsidP="00BA4EBA">
      <w:pPr>
        <w:pStyle w:val="NormalHanging12a"/>
      </w:pPr>
      <w:r w:rsidRPr="007F78B1">
        <w:t>18.</w:t>
      </w:r>
      <w:r w:rsidRPr="007F78B1">
        <w:tab/>
        <w:t>bemærker på baggrund af opfølgningsrapporten, at Ombudsmanden fortsatte med at overvåge problemer med gennemsigtighed og ansvarlighed i forbindelse med genopretnings- og resiliensfaciliteten inden for rammerne af behandlingen af klager vedrørende aktindsigt, hovedsagelig vedrørende forhandlingerne om de nationale genopretnings- og resiliensplaner; bemærker blandt disse problemer de betydelige forsinkelser, som Kommissionen er stødt på i forbindelse med besvarelse af anmodninger om aktindsigt, samt omfanget</w:t>
      </w:r>
      <w:r w:rsidRPr="007F78B1">
        <w:t xml:space="preserve"> af den bevilgede aktindsigt; glæder sig over, at Kommissionen i en sag vedrørende den nederlandske genopretnings- og resiliensplan efter Ombudsmandens forslag til en løsning gav øget aktindsigt i 172 dokumenter; fordømmer imidlertid på det kraftigste, at Kommissionen var 21 måneder om at besvare klagerens (som er journalist) genfremsatte begæring, dvs. i juli 2024, hvor den bevilgede aktindsigt ikke længere havde nytteværdi i forhold til det tilsigtede formål; er enigt i, at der vedrørende spørgsmål af væs</w:t>
      </w:r>
      <w:r w:rsidRPr="007F78B1">
        <w:t>entlig offentlig interesse såsom genopretnings- og resiliensfaciliteten ikke bør være forsinkelser, når det gælder om at bevilge aktindsigt; tilslutter sig Ombudsmandens synspunkt om, at Kommissionen nøje bør overveje, om der foreligger en mere tungtvejende offentlig interesse, når den anvender undtagelserne fra at give aktindsigt i henhold til forordning (EF) nr. 1049/2001</w:t>
      </w:r>
      <w:r w:rsidRPr="007F78B1">
        <w:rPr>
          <w:rStyle w:val="FootnoteReference"/>
        </w:rPr>
        <w:footnoteReference w:id="10"/>
      </w:r>
      <w:r w:rsidRPr="007F78B1">
        <w:t>;</w:t>
      </w:r>
    </w:p>
    <w:p w14:paraId="4F5DB7A5" w14:textId="77777777" w:rsidR="00C16DCB" w:rsidRPr="007F78B1" w:rsidRDefault="0005728C" w:rsidP="00BA4EBA">
      <w:pPr>
        <w:pStyle w:val="NormalHanging12a"/>
        <w:rPr>
          <w:szCs w:val="24"/>
        </w:rPr>
      </w:pPr>
      <w:r w:rsidRPr="007F78B1">
        <w:t>19.</w:t>
      </w:r>
      <w:r w:rsidRPr="007F78B1">
        <w:tab/>
        <w:t>minder om, at indskrænkninger af aktindsigt, navnlig i lovgivningsmæssige dokumenter, ifølge Ombudsmanden skal være undtagelsen og begrænses til det absolut nødvendige; minder også om, at enhver afgørelse, der giver afslag på aktindsigt, skal være baseret på klare og nøje definerede juridiske undtagelser og ledsaget af en saglig og specifik begrundelse, der giver borgeren mulighed for at forstå afslaget på aktindsigt og for effektivt at gøre brug af de tilgængelige retsmidler; mener, at en mere proaktiv ti</w:t>
      </w:r>
      <w:r w:rsidRPr="007F78B1">
        <w:t>lgang vil bidrage til at sikre effektiv gennemsigtighed og forhindre dyre og besværlige retstvister mellem borgere og institutioner</w:t>
      </w:r>
      <w:r w:rsidRPr="007F78B1">
        <w:rPr>
          <w:szCs w:val="24"/>
          <w:vertAlign w:val="superscript"/>
        </w:rPr>
        <w:footnoteReference w:id="11"/>
      </w:r>
      <w:r w:rsidRPr="007F78B1">
        <w:t>;</w:t>
      </w:r>
    </w:p>
    <w:p w14:paraId="595B094F" w14:textId="77777777" w:rsidR="00C16DCB" w:rsidRPr="007F78B1" w:rsidRDefault="0005728C" w:rsidP="00BA4EBA">
      <w:pPr>
        <w:pStyle w:val="NormalHanging12a"/>
        <w:rPr>
          <w:b/>
          <w:bCs/>
        </w:rPr>
      </w:pPr>
      <w:r w:rsidRPr="007F78B1">
        <w:t>20.</w:t>
      </w:r>
      <w:r w:rsidRPr="007F78B1">
        <w:tab/>
        <w:t xml:space="preserve">minder om, at den interne revisor foretog en gennemgang af Ombudsmandens risikostyringsramme med en handlingsplan med ni punkter, som efter planen skulle gennemføres inden udgangen af 2024; bemærker på baggrund af spørgeskemaet og opfølgningsrapporten, at alle foranstaltninger er blevet gennemført, herunder </w:t>
      </w:r>
      <w:r w:rsidRPr="007F78B1">
        <w:lastRenderedPageBreak/>
        <w:t>vedtagelsen af en ny risikovurderingsmetode; opfordrer Ombudsmanden til at holde dechargemyndigheden underrettet om resultatet af den interne revisors gennemgang af gennemførelsen af denne handlingsplan</w:t>
      </w:r>
      <w:r w:rsidRPr="007F78B1">
        <w:t>; anmoder Ombudsmanden om også at holde dechargemyndigheden underrettet om opfølgningen på henstillingerne i de interne revisionsberetninger 20/04 (om IT-sikkerhed), 21/03 (om databeskyttelsesrammen) og 22/03 (om den etiske ramme);</w:t>
      </w:r>
    </w:p>
    <w:p w14:paraId="148109C6" w14:textId="77777777" w:rsidR="00C16DCB" w:rsidRPr="007F78B1" w:rsidRDefault="0005728C" w:rsidP="00BA4EBA">
      <w:pPr>
        <w:pStyle w:val="NormalHanging12a"/>
        <w:ind w:left="0"/>
        <w:rPr>
          <w:b/>
          <w:i/>
        </w:rPr>
      </w:pPr>
      <w:r w:rsidRPr="007F78B1">
        <w:rPr>
          <w:b/>
          <w:i/>
        </w:rPr>
        <w:t>Menneskelige ressourcer, ligestilling og personalets trivsel</w:t>
      </w:r>
    </w:p>
    <w:p w14:paraId="35609DE3" w14:textId="77777777" w:rsidR="00C16DCB" w:rsidRPr="007F78B1" w:rsidRDefault="0005728C" w:rsidP="00BA4EBA">
      <w:pPr>
        <w:pStyle w:val="NormalHanging12a"/>
      </w:pPr>
      <w:r w:rsidRPr="007F78B1">
        <w:t>21.</w:t>
      </w:r>
      <w:r w:rsidRPr="007F78B1">
        <w:tab/>
        <w:t>bemærker et fald på 4,90 % i Ombudsmandens samlede personaletal fra 82 i 2023 til 78 i 2024; bemærker endvidere, at der i 2024 var 46 tjenestemænd ansat ved Ombudsmanden, mens der i 2023 var 40, samt 9 kontraktansatte, hvilket er det samme som i 2023; bemærker en svag stigning i den andel af personalet, der arbejder med Ombudsmandens kerneaktiviteter (klager og undersøgelser), fra 42,68 % i 2023 til 42,30 % i 2024; bemærker desuden, at besættelsesgraden steg fra 95 % i 2023 til 97 % i 2024, og at personale</w:t>
      </w:r>
      <w:r w:rsidRPr="007F78B1">
        <w:t>omsætningen steg fra 5,20 % i 2023 til 6,40 % i 2024;</w:t>
      </w:r>
      <w:bookmarkStart w:id="6" w:name="_Hlk215163299"/>
      <w:r w:rsidRPr="007F78B1">
        <w:t xml:space="preserve"> minder om betydningen af at tilbyde tidsubegrænsede ansættelseskontrakter med henblik på at opretholde kompetencer, kontinuitet og et produktivt arbejdsmiljø;</w:t>
      </w:r>
    </w:p>
    <w:p w14:paraId="5695E6B4" w14:textId="77777777" w:rsidR="00C16DCB" w:rsidRPr="007F78B1" w:rsidRDefault="0005728C" w:rsidP="00BA4EBA">
      <w:pPr>
        <w:pStyle w:val="NormalHanging12a"/>
      </w:pPr>
      <w:r w:rsidRPr="007F78B1">
        <w:t>22.</w:t>
      </w:r>
      <w:r w:rsidRPr="007F78B1">
        <w:tab/>
        <w:t xml:space="preserve">minder om, at stillingen som </w:t>
      </w:r>
      <w:r w:rsidRPr="007F78B1">
        <w:t xml:space="preserve">generalsekretær for Ombudsmanden har været ubesat i mere end to år, siden den 1. september 2022; bemærker, at Ombudsmanden iværksatte en interinstitutionel procedure for ansættelsen af sin nye generalsekretær ved at offentliggøre en indkaldelse af interessetilkendegivelser (nr. OMB/2/2025) den 30. juni 2025, hvilket resulterede i 14 ansøgninger, som opfyldte betingelserne; bemærker endvidere, at udvælgelsesproceduren blev afsluttet i 2025, og at der er blevet valgt en ny generalsekretær til tiltrædelse den </w:t>
      </w:r>
      <w:r w:rsidRPr="007F78B1">
        <w:t>1. januar 2026; bemærker, at udvælgelseskomitéen i dette tilfælde bestod af tre personer, heriblandt Ombudsmanden selv, som var involveret i vurderingen af, om ansøgningerne opfyldte betingelserne, og i samtalerne; mener, at den omstændighed, at den valgte generalsekretær tidligere har været kabinetschef for den nuværende ombudsmand, der var formand for udvælgelseskomitéen, giver anledning til bekymring for mulig favorisering i udvælgelsesprocessen, også selv om denne blev gennemført på lovlig vis;</w:t>
      </w:r>
      <w:bookmarkEnd w:id="6"/>
    </w:p>
    <w:p w14:paraId="4FC06E0B" w14:textId="77777777" w:rsidR="00C16DCB" w:rsidRPr="007F78B1" w:rsidRDefault="0005728C" w:rsidP="00BA4EBA">
      <w:pPr>
        <w:pStyle w:val="NormalHanging12a"/>
      </w:pPr>
      <w:bookmarkStart w:id="7" w:name="_Hlk215830609"/>
      <w:r w:rsidRPr="007F78B1">
        <w:t>23.</w:t>
      </w:r>
      <w:r w:rsidRPr="007F78B1">
        <w:tab/>
        <w:t>bemærker, at medlemmerne af Parlamentets Budgetkontroludvalg efter høringen af Ombudsmanden på mødet i Parlamentets Budgetkontroludvalg den 6. november 2025 forelagde en række skriftlige opfølgende spørgsmål om udvælgelsen af den nye generalsekretær (OMB/2/2025) den 18. november 2025, som Ombudsmanden besvarede den 21. november 2025; ser i den forbindelse anderledes på Ombudsmandens synspunkt om, at retspraksis i Meronisagen (C-9/56 og C-10/56) finder anvendelse, fordi denne retspraksis ikke vedrører deleg</w:t>
      </w:r>
      <w:r w:rsidRPr="007F78B1">
        <w:t>ation af beføjelser på personaleområdet (såsom udvælgelse af en ny medarbejder), men drejer sig om delegation af skønsbeføjelser til eksterne/private organer; understreger endvidere, at Parlamentet ikke kræver, at Ombudsmanden delegerer sine rettigheder og forpligtelser som ansættelsesmyndighed, og sætter samtidig spørgsmålstegn ved Ombudsmandens tilstedeværelse i udvælgelseskomitéen, eftersom artikel 3 i bilag III til personalevedtægten udtrykkeligt fastslår, at "Udvælgelseskomitéen består af en formand, d</w:t>
      </w:r>
      <w:r w:rsidRPr="007F78B1">
        <w:t xml:space="preserve">er udpeges af ansættelsesmyndigheden, og af medlemmer, hvoraf et lige stort antal udpeges af ansættelsesmyndigheden og af Personaleudvalget", hvilket vil sige, at EU-retten ikke pålægger ansættelsesmyndigheden at være medlem af udvælgelseskomitéen; understreger, at ansættelsesmyndigheden ved at træffe en endelig </w:t>
      </w:r>
      <w:r w:rsidRPr="007F78B1">
        <w:lastRenderedPageBreak/>
        <w:t>afgørelse, hvilket er ansættelsesmyndighedens opgave, også bekræfter, at hele udvælgelsesproceduren har været lovlig, herunder ansøgerens opfyldelse af alle antageligheds- og adgangskriterier, og at</w:t>
      </w:r>
      <w:r w:rsidRPr="007F78B1">
        <w:t xml:space="preserve"> denne opgave ville blive ren formalia, hvis ansættelsesmyndigheden også har været formand for udvælgelseskomitéen i de tidligere faser af proceduren/udvælgelsesprøven, hvilket netop er tilfældet i den aktuelle procedure; bemærker endvidere Ombudsmandens afslag på at forelægge dechargemyndigheden alle dokumenter vedrørende kontrollen af, om adgangsbetingelserne er opfyldt, vurderingen af ansøgningerne, de faktiske samtaler mellem de udvalgte ansøgere og udvælgelseskomitéen samt samtalen på tomandshånd med O</w:t>
      </w:r>
      <w:r w:rsidRPr="007F78B1">
        <w:t>mbudsmanden, idet hun bl.a. henviser til "grænserne for den retlige ramme for fortrolighed" for at undgå "risikoen for at underminere udvælgelsesprocessens uafhængighed og integritet", hvis sådanne dokumenter skulle offentliggøres; minder om, at Parlamentet har ret til at anmode om alle fornødne oplysninger i henhold til artikel 319, stk. 2, i traktaten om Den Europæiske Unions funktionsmåde; understreger, at fremsendelse af oplysninger til Parlamentet med henblik på decharge ikke er ensbetydende med, at op</w:t>
      </w:r>
      <w:r w:rsidRPr="007F78B1">
        <w:t>lysningerne offentliggøres; understreger endvidere, at Parlamentet har indført et omfattende sæt sikkerhedsregler, som overholder de samme principper og standarder som i andre EU-institutioner, herunder sikkerhedsgodkendelse, need to know-princippet, sikre områder og læseværelser, sanktioner for overtrædelser osv.; opfordrer i lyset af ovenstående indtrængende Ombudsmanden til at forelægge dechargemyndigheden alle dokumenter vedrørende kontrollen af, om adgangsbetingelserne er opfyldt, vurderingen af ansøgn</w:t>
      </w:r>
      <w:r w:rsidRPr="007F78B1">
        <w:t>ingerne, de faktiske samtaler mellem de udvalgte ansøgere og udvælgelseskomitéen samt samtalen på tomandshånd med Ombudsmanden i forbindelse med proceduren for udvælgelse af Ombudsmandens generalsekretær (OMB/2/2025);</w:t>
      </w:r>
    </w:p>
    <w:bookmarkEnd w:id="7"/>
    <w:p w14:paraId="244A6FFE" w14:textId="77777777" w:rsidR="00C16DCB" w:rsidRPr="007F78B1" w:rsidRDefault="0005728C" w:rsidP="00BA4EBA">
      <w:pPr>
        <w:pStyle w:val="NormalHanging12a"/>
      </w:pPr>
      <w:r w:rsidRPr="007F78B1">
        <w:t>24.</w:t>
      </w:r>
      <w:r w:rsidRPr="007F78B1">
        <w:tab/>
        <w:t xml:space="preserve">understreger, at Ombudsmanden har til opgave at fremme god forvaltning, herunder ved at sikre, at alle EU-institutioner, </w:t>
      </w:r>
      <w:r w:rsidRPr="007F78B1">
        <w:noBreakHyphen/>
        <w:t xml:space="preserve">organer og </w:t>
      </w:r>
      <w:r w:rsidRPr="007F78B1">
        <w:noBreakHyphen/>
        <w:t xml:space="preserve">agenturer har en solid etisk ramme, der kan sikre gennemsigtighed og ansvarlighed; er af den faste overbevisning, at alle EU-institutioner, </w:t>
      </w:r>
      <w:r w:rsidRPr="007F78B1">
        <w:noBreakHyphen/>
        <w:t xml:space="preserve">organer og </w:t>
      </w:r>
      <w:r w:rsidRPr="007F78B1">
        <w:noBreakHyphen/>
        <w:t>agenturer, navnlig Ombudsmanden, bør undgå alt, hvad der kan opfattes som favorisering eller interessekonflikter, da alene den omstændighed, at der kan sættes spørgsmålstegn ved, om dette forekommer, vil kunne undergrave ins</w:t>
      </w:r>
      <w:r w:rsidRPr="007F78B1">
        <w:t>titutionernes integritet og opgave og få negativ indvirkning på EU-borgernes tillid;</w:t>
      </w:r>
    </w:p>
    <w:p w14:paraId="56B72E80" w14:textId="77777777" w:rsidR="00C16DCB" w:rsidRPr="007F78B1" w:rsidRDefault="0005728C" w:rsidP="00BA4EBA">
      <w:pPr>
        <w:pStyle w:val="NormalHanging12a"/>
      </w:pPr>
      <w:r w:rsidRPr="007F78B1">
        <w:t>25.</w:t>
      </w:r>
      <w:r w:rsidRPr="007F78B1">
        <w:tab/>
        <w:t xml:space="preserve">bemærker, at Ombudsmandens kontor trods institutionens ringe størrelse havde hele 19 nationaliteter repræsenteret blandt sit personale i 2024, hvilket er samme antal som i 2023; bemærker imidlertid, at visse nationaliteter var overrepræsenteret (idet mere end 30 % af Ombudsmandens personale havde samme nationalitet); opfordrer indtrængende Ombudsmanden til at intensivere sine bestræbelser på at opnå en mere afbalanceret geografisk fordeling blandt sit personale, med statsborgere fra så mange medlemsstater </w:t>
      </w:r>
      <w:r w:rsidRPr="007F78B1">
        <w:t>som muligt;</w:t>
      </w:r>
    </w:p>
    <w:p w14:paraId="4C7FCC6D" w14:textId="77777777" w:rsidR="00C16DCB" w:rsidRPr="007F78B1" w:rsidRDefault="0005728C" w:rsidP="00BA4EBA">
      <w:pPr>
        <w:pStyle w:val="NormalHanging12a"/>
      </w:pPr>
      <w:r w:rsidRPr="007F78B1">
        <w:t>26.</w:t>
      </w:r>
      <w:r w:rsidRPr="007F78B1">
        <w:tab/>
        <w:t>bemærker, at Ombudsmanden, når det gælder kønsbalance, beskæftiger flere kvinder end mænd i alle personalekategorier, navnlig på ledelsesniveau, hvor alle stillinger er besat af kvinder; bemærker, at personalet samlet set består af 68 % kvinder og 32 % mænd, mens det i 2023 bestod af 67 % kvinder og 33 % mænd; opfordrer Ombudsmanden til at tilstræbe en mere ligelig kønsfordeling blandt sit personale;</w:t>
      </w:r>
    </w:p>
    <w:p w14:paraId="5DD248F6" w14:textId="77777777" w:rsidR="00C16DCB" w:rsidRPr="007F78B1" w:rsidRDefault="0005728C" w:rsidP="00BA4EBA">
      <w:pPr>
        <w:pStyle w:val="NormalHanging12a"/>
      </w:pPr>
      <w:r w:rsidRPr="007F78B1">
        <w:t>27.</w:t>
      </w:r>
      <w:r w:rsidRPr="007F78B1">
        <w:tab/>
        <w:t xml:space="preserve">bemærker, at Ombudsmanden gør en indsats for at sikre sit personales fysiske og mentale trivsel på arbejdspladsen og har fokus på at styrke samarbejdsånden; bemærker </w:t>
      </w:r>
      <w:r w:rsidRPr="007F78B1">
        <w:lastRenderedPageBreak/>
        <w:t>i den forbindelse, at Ombudsmanden i 2024 tilrettelagde kurser, hvoraf nogle var obligatoriske, om konfliktløsning, om at give og modtage feedback, om handicap og inklusion samt om førstehjælp; noterer sig, at Ombudsmanden vedtog en politik for forældreorlov i 2024, som sammenholdt med dens politik for arbejdstid og hybridarbejde, der blev ved</w:t>
      </w:r>
      <w:r w:rsidRPr="007F78B1">
        <w:t>taget i 2021, giver mulighed for fleksible arbejdsordninger, som personalet benytter sig af og værdsætter; bemærker, at Parlamentets lægetjeneste i 2024 ikke underrettede Ombudsmanden om nogen langtidssygemeldinger, der skyldtes udbrændthed;</w:t>
      </w:r>
    </w:p>
    <w:p w14:paraId="6745FDA0" w14:textId="77777777" w:rsidR="00C16DCB" w:rsidRPr="007F78B1" w:rsidRDefault="0005728C" w:rsidP="00BA4EBA">
      <w:pPr>
        <w:pStyle w:val="NormalHanging12a"/>
      </w:pPr>
      <w:r w:rsidRPr="007F78B1">
        <w:t>28.</w:t>
      </w:r>
      <w:r w:rsidRPr="007F78B1">
        <w:tab/>
        <w:t xml:space="preserve">noterer sig med tilfredshed ud fra spørgeskemaet, at der ikke blev indberettet nogen chikanesager i 2024; anerkender Ombudsmandens indsats for at sikre et arbejdsmiljø uden seksuel og psykisk chikane, navnlig gennem bevidstgørelse og uddannelse; bemærker endvidere, at Ombudsmanden gennemførte en undersøgelse med fokus på personalets bevidsthed om etiske spørgsmål, som viste en høj grad af bevidsthed blandt personalet vedrørende Ombudsmandens politik og retningslinjer for psykisk og seksuel chikane; </w:t>
      </w:r>
    </w:p>
    <w:p w14:paraId="031FD16C" w14:textId="77777777" w:rsidR="00C16DCB" w:rsidRPr="007F78B1" w:rsidRDefault="0005728C" w:rsidP="00BA4EBA">
      <w:pPr>
        <w:pStyle w:val="NormalHanging12a"/>
      </w:pPr>
      <w:r w:rsidRPr="007F78B1">
        <w:t>29.</w:t>
      </w:r>
      <w:r w:rsidRPr="007F78B1">
        <w:tab/>
        <w:t>bemærker, at Ombudsmanden tog imod 18 lønnede praktikanter i 2024 (samme antal som i 2023), hvoraf én blev udvalgt som led i Ombudsmandens prisværdige praktikprogram for ansøgere med handicap; betoner endnu en gang, at praktikophold bør aflønnes i overensstemmelse med Parlamentets beslutning af 14. juni 2023 om praktikophold af høj kvalitet i Unionen (2020/2005(INL), hvori der opfordres til, at alle praktikophold i Unionen aflønnes;</w:t>
      </w:r>
    </w:p>
    <w:p w14:paraId="76B1DE18" w14:textId="77777777" w:rsidR="00C16DCB" w:rsidRPr="007F78B1" w:rsidRDefault="0005728C" w:rsidP="00C27C90">
      <w:pPr>
        <w:pStyle w:val="NormalHanging12a"/>
        <w:ind w:left="0" w:firstLine="0"/>
        <w:rPr>
          <w:b/>
          <w:i/>
        </w:rPr>
      </w:pPr>
      <w:r w:rsidRPr="007F78B1">
        <w:rPr>
          <w:b/>
          <w:i/>
        </w:rPr>
        <w:t>Etisk ramme og gennemsigtighed</w:t>
      </w:r>
    </w:p>
    <w:p w14:paraId="20A231F7" w14:textId="77777777" w:rsidR="00C16DCB" w:rsidRPr="007F78B1" w:rsidRDefault="0005728C" w:rsidP="00BA4EBA">
      <w:pPr>
        <w:pStyle w:val="NormalHanging12a"/>
      </w:pPr>
      <w:r w:rsidRPr="007F78B1">
        <w:t>30.</w:t>
      </w:r>
      <w:r w:rsidRPr="007F78B1">
        <w:tab/>
        <w:t>glæder sig over Ombudsmandens fortsatte bestræbelser på at styrke og øge bevidstheden om institutionens etiske ramme; bemærker, at Ombudsmanden tilrettelagde kurser i etiske spørgsmål for Ombudsmandens nyudnævnte fortrolige rådgivere og medlemmerne af forligsudvalget samt obligatoriske skræddersyede kurser i konfliktløsning for samtlige medarbejdere; bemærker, at Ombudsmanden i 2024 omarbejdede og i 2025 vedtog en revideret politik for etik og god adfærd for at præcisere arbejdsgangene for godkendelse og a</w:t>
      </w:r>
      <w:r w:rsidRPr="007F78B1">
        <w:t>utorisation samt afhjælpe mangler i gennemførelsen af etiske regler; glæder sig over indførelsen af en IT-løsning, som sætter alle medarbejdere med ansvar for undersøgelser i stand til at kontrollere, at der ikke er interessekonflikter i sager, de er blevet tildelt; bemærker endvidere, at alle Ombudsmandens medarbejdere, herunder ledende medarbejdere, anmodes om hvert år at gennemgå deres erklæringer om deres ægtefællers/partneres erhvervsmæssige aktiviteter samt deres egne erklæringer om interessekonflikte</w:t>
      </w:r>
      <w:r w:rsidRPr="007F78B1">
        <w:t>r;</w:t>
      </w:r>
    </w:p>
    <w:p w14:paraId="096382DC" w14:textId="77777777" w:rsidR="00C16DCB" w:rsidRPr="007F78B1" w:rsidRDefault="0005728C" w:rsidP="00BA4EBA">
      <w:pPr>
        <w:pStyle w:val="NormalHanging12a"/>
      </w:pPr>
      <w:r w:rsidRPr="007F78B1">
        <w:t>31.</w:t>
      </w:r>
      <w:r w:rsidRPr="007F78B1">
        <w:tab/>
        <w:t>bemærker for så vidt angår den interne revision (beretning 22/03) om Ombudsmandens etiske ramme, at der ved udgangen af 2024 var blevet gennemført fem af de seks fremsatte anbefalinger, mens én var i gang; bemærker i den forbindelse, at Ombudsmanden for at styrke sin etiske ramme yderligere har oprettet et disciplinærråd og vedtaget en politik for bekæmpelse af svig, der også finder anvendelse på udstationerede nationale eksperter, praktikanter og eksterne kontrahenter;</w:t>
      </w:r>
    </w:p>
    <w:p w14:paraId="499FF941" w14:textId="77777777" w:rsidR="00C16DCB" w:rsidRPr="007F78B1" w:rsidRDefault="0005728C" w:rsidP="00BA4EBA">
      <w:pPr>
        <w:pStyle w:val="NormalHanging12a"/>
      </w:pPr>
      <w:r w:rsidRPr="007F78B1">
        <w:t>32.</w:t>
      </w:r>
      <w:r w:rsidRPr="007F78B1">
        <w:tab/>
        <w:t>bemærker med tilfredshed, at der ikke blev indberettet tilfælde af hverken interessekonflikter eller whistleblowing i 2024;</w:t>
      </w:r>
    </w:p>
    <w:p w14:paraId="192A0975" w14:textId="77777777" w:rsidR="00C16DCB" w:rsidRPr="007F78B1" w:rsidRDefault="0005728C" w:rsidP="00BA4EBA">
      <w:pPr>
        <w:pStyle w:val="NormalHanging12a"/>
      </w:pPr>
      <w:r w:rsidRPr="007F78B1">
        <w:t>33.</w:t>
      </w:r>
      <w:r w:rsidRPr="007F78B1">
        <w:tab/>
        <w:t xml:space="preserve">bemærker på baggrund af spørgeskemaet, at Ombudsmanden ikke formelt har tilsluttet </w:t>
      </w:r>
      <w:r w:rsidRPr="007F78B1">
        <w:lastRenderedPageBreak/>
        <w:t>sig EU's åbenhedsregister (oprettet ved den interinstitutionelle aftale af 20. maj 2021 mellem Parlamentet, Rådet og Kommissionen om et obligatorisk åbenhedsregister) for at sikre, at Ombudsmanden også har mulighed for at undersøge potentielle klager vedrørende sekretariatet for dette åbenhedsregister; bemærker imidlertid, at Ombudsmanden har tilpasset sin praksis til principperne i åbenhedsregistret ved at kontrollere, at t</w:t>
      </w:r>
      <w:r w:rsidRPr="007F78B1">
        <w:t>alere eller samtalepartnere ved arrangementer eller møder arrangeret af Ombudsmanden er registreret deri; glæder sig over den høje grad af gennemsigtighed, som Ombudsmanden har opnået ved på sit websted at offentliggøre oplysninger om undersøgelser, tjenesterejser (og dermed forbundne udgifter), møder og arrangementer, som Ombudsmanden deltager i, samt vurderingen af anmodninger fra den øverste ledelse eller fra kabinetsmedlemmer om at udøve erhvervsvirksomhed efter at have forladt deres stilling ved Ombuds</w:t>
      </w:r>
      <w:r w:rsidRPr="007F78B1">
        <w:t>manden;</w:t>
      </w:r>
    </w:p>
    <w:p w14:paraId="7CB994FB" w14:textId="77777777" w:rsidR="00C16DCB" w:rsidRPr="007F78B1" w:rsidRDefault="0005728C" w:rsidP="00C27C90">
      <w:pPr>
        <w:pStyle w:val="NormalHanging12a"/>
        <w:ind w:left="0" w:firstLine="0"/>
        <w:rPr>
          <w:b/>
          <w:i/>
        </w:rPr>
      </w:pPr>
      <w:r w:rsidRPr="007F78B1">
        <w:rPr>
          <w:b/>
          <w:i/>
        </w:rPr>
        <w:t>Bygninger</w:t>
      </w:r>
    </w:p>
    <w:p w14:paraId="76956C53" w14:textId="77777777" w:rsidR="00C16DCB" w:rsidRPr="007F78B1" w:rsidRDefault="0005728C" w:rsidP="00010791">
      <w:pPr>
        <w:pStyle w:val="NormalHanging12a"/>
      </w:pPr>
      <w:r w:rsidRPr="007F78B1">
        <w:t>34.</w:t>
      </w:r>
      <w:r w:rsidRPr="007F78B1">
        <w:tab/>
        <w:t>bemærker, at Ombudsmandens endelige budget (efter overførsler) til bygninger og omkostninger i forbindelse hermed steg med ca. 13,60 % fra 1 373 000 EUR i 2023 til 1 560 709 EUR i 2024; bemærker, at bevillingerne til leje steg med ca. 7 % fra 1 866 100 EUR i 2023 til 1 926 620 EUR i 2024; bemærker, at gennemførelsesgraden for betalinger er på næsten 100 % i begge år;</w:t>
      </w:r>
    </w:p>
    <w:p w14:paraId="5D6991D4" w14:textId="77777777" w:rsidR="00C16DCB" w:rsidRPr="007F78B1" w:rsidRDefault="0005728C" w:rsidP="00BA4EBA">
      <w:pPr>
        <w:pStyle w:val="NormalHanging12a"/>
      </w:pPr>
      <w:r w:rsidRPr="007F78B1">
        <w:t>35.</w:t>
      </w:r>
      <w:r w:rsidRPr="007F78B1">
        <w:tab/>
        <w:t>bemærker på baggrund af spørgeskemaet, at der ikke blev foretaget ændringer af de vilkår for Ombudsmandens individuelle kontorer, som dechargemyndigheden tidligere var blevet gjort opmærksom på; bemærker med tilfredshed, at Havelbygningen i Strasbourg er fuldt tilgængelig for personer med nedsat mobilitet eller andre handicap; støtter ombudsmandsinstitutionen i dens bestræbelser på at forbedre tilgængeligheden i de lokaler, den lejer i Bruxelles;</w:t>
      </w:r>
    </w:p>
    <w:p w14:paraId="360C5E96" w14:textId="77777777" w:rsidR="00C16DCB" w:rsidRPr="007F78B1" w:rsidRDefault="0005728C" w:rsidP="00C27C90">
      <w:pPr>
        <w:pStyle w:val="NormalHanging12a"/>
        <w:ind w:left="0" w:firstLine="0"/>
        <w:rPr>
          <w:b/>
          <w:bCs/>
          <w:i/>
          <w:iCs/>
        </w:rPr>
      </w:pPr>
      <w:r w:rsidRPr="007F78B1">
        <w:rPr>
          <w:b/>
          <w:i/>
        </w:rPr>
        <w:t>Digitalisering, cybersikkerhed og databeskyttelse</w:t>
      </w:r>
      <w:bookmarkStart w:id="8" w:name="_Hlk215320147"/>
    </w:p>
    <w:p w14:paraId="139581E7" w14:textId="77777777" w:rsidR="00C16DCB" w:rsidRPr="007F78B1" w:rsidRDefault="0005728C" w:rsidP="00BA4EBA">
      <w:pPr>
        <w:spacing w:after="240"/>
        <w:ind w:left="567" w:hanging="567"/>
      </w:pPr>
      <w:r w:rsidRPr="007F78B1">
        <w:t>36.</w:t>
      </w:r>
      <w:r w:rsidRPr="007F78B1">
        <w:tab/>
        <w:t>roser Ombudsmanden for i 2024 at have afsluttet et vigtigt projekt vedrørende digitalisering af sine historiske arkiver, inden de overføres til Unionens historiske arkiver i Firenze; bemærker med tilfredshed, at Ombudsmandens arkiver nu bevares og er tilgængelige for kommende generationer;</w:t>
      </w:r>
    </w:p>
    <w:p w14:paraId="69A5337D" w14:textId="77777777" w:rsidR="00C16DCB" w:rsidRPr="007F78B1" w:rsidRDefault="0005728C" w:rsidP="00BA4EBA">
      <w:pPr>
        <w:spacing w:after="240"/>
        <w:ind w:left="567" w:hanging="567"/>
      </w:pPr>
      <w:r w:rsidRPr="007F78B1">
        <w:t>37.</w:t>
      </w:r>
      <w:r w:rsidRPr="007F78B1">
        <w:tab/>
        <w:t xml:space="preserve">glæder sig over den positive virkning af Ombudsmandens brug af automatisk oversættelse, som gjorde Ombudsmandens websted mere tilgængeligt, strømlinede sagsfordelingen og fremskyndede behandlingen af klager, hvilket førte til en reduktion af oversættelsesomkostningerne med over 65 % (fra 2022 til 2024) samt mindskelse af den administrative byrde; opfordrer Ombudsmanden til fortsat at afprøve og evaluere AI-værktøjer og </w:t>
      </w:r>
      <w:r w:rsidRPr="007F78B1">
        <w:noBreakHyphen/>
        <w:t>anvendelsesmuligheder, samtidig med at der anlægges en forsigtig tilgang til udviklinge</w:t>
      </w:r>
      <w:r w:rsidRPr="007F78B1">
        <w:t>n og udbredelsen heraf;</w:t>
      </w:r>
    </w:p>
    <w:p w14:paraId="01B52193" w14:textId="77777777" w:rsidR="00C16DCB" w:rsidRPr="007F78B1" w:rsidRDefault="0005728C" w:rsidP="00BA4EBA">
      <w:pPr>
        <w:spacing w:after="240"/>
        <w:ind w:left="567" w:hanging="567"/>
      </w:pPr>
      <w:r w:rsidRPr="007F78B1">
        <w:t>38.</w:t>
      </w:r>
      <w:r w:rsidRPr="007F78B1">
        <w:tab/>
        <w:t>bemærker med tilfredshed på baggrund af spørgeskemaet, at Ombudsmanden har indført interne retningslinjer for anvendelsen af tredjeparters generative AI-værktøjer, hvilket bør skabe klarhed og vejledning om, hvordan man sikkert og effektivt integrerer AI-værktøjer i Ombudsmandens arbejdsgange; ser frem til den planlagte udvidelse af brugen af AI til andet end oversættelse, f.eks. til at integrere "ombudsprudence" (Ombudsmandens praksis) i Kommissionens store sprogmodel samt udnytte historisk retspraksis, s</w:t>
      </w:r>
      <w:r w:rsidRPr="007F78B1">
        <w:t xml:space="preserve">å man kan trække på den ved fremtidige undersøgelser; anbefaler ikke desto mindre Ombudsmanden til, når det gælder tolketjenester, at prioritere </w:t>
      </w:r>
      <w:r w:rsidRPr="007F78B1">
        <w:lastRenderedPageBreak/>
        <w:t>menneskelig tolkning frem for AI-baserede løsninger; noterer sig, at Ombudsmanden har erhvervet flere AI-værktøjer til støtte for interne og eksterne kommunikationsaktiviteter, navnlig videoproduktion, og dermed har øget effektiviteten og kvaliteten af indholdsskabelse i 2024;</w:t>
      </w:r>
    </w:p>
    <w:p w14:paraId="1CD5ABBE" w14:textId="77777777" w:rsidR="00C16DCB" w:rsidRPr="007F78B1" w:rsidRDefault="0005728C" w:rsidP="00BA4EBA">
      <w:pPr>
        <w:spacing w:after="240"/>
        <w:ind w:left="567" w:hanging="567"/>
      </w:pPr>
      <w:r w:rsidRPr="007F78B1">
        <w:t>39.</w:t>
      </w:r>
      <w:r w:rsidRPr="007F78B1">
        <w:tab/>
        <w:t>bemærker med tilfredshed på baggrund af spørgeskemaet, at én medarbejder i 2024 gennemførte en intensiv tomåneders uddannelse i datavidenskab og kunstig intelligens for at styrke Ombudsmandens ekspertise på dette område og nu repræsenterer Ombudsmanden i det netværk af AI-korrespondenter, som Den Europæiske Tilsynsførende for Databeskyttelse (EDPS) oprettede efter ikrafttrædelsen af forordning (EU) 2024/1689 ("forordningen om kunstig intelligens")</w:t>
      </w:r>
      <w:r w:rsidRPr="007F78B1">
        <w:rPr>
          <w:rStyle w:val="FootnoteReference"/>
        </w:rPr>
        <w:footnoteReference w:id="12"/>
      </w:r>
      <w:r w:rsidRPr="007F78B1">
        <w:t xml:space="preserve">; noterer sig endvidere Ombudsmandens tilsagn om at udvikle et kursus i sikker og etisk anvendelse af AI-værktøjer for alle sine medarbejdere; bemærker desuden, at Ombudsmanden i hele 2024 hver måned har afholdt et målrettet obligatorisk kursus for at øge medarbejdernes bevidsthed og kompetencer, når det gælder bedste praksis inden for cybersikkerhed; bemærker med tilfredshed, at Ombudsmanden pålægger alle sine medarbejdere regelmæssigt at tage kurser i cybersikkerhed; </w:t>
      </w:r>
    </w:p>
    <w:p w14:paraId="4C2A595D" w14:textId="77777777" w:rsidR="00C16DCB" w:rsidRPr="007F78B1" w:rsidRDefault="0005728C" w:rsidP="00BA4EBA">
      <w:pPr>
        <w:spacing w:after="240"/>
        <w:ind w:left="567" w:hanging="567"/>
      </w:pPr>
      <w:r w:rsidRPr="007F78B1">
        <w:t>40.</w:t>
      </w:r>
      <w:r w:rsidRPr="007F78B1">
        <w:tab/>
        <w:t xml:space="preserve">bemærker, at Ombudsmanden med hensyn til IT er afhængig af Parlamentets infrastruktur og cybersikkerhedsramme og arbejder tæt sammen med Kommissionen om integration og vedligeholdelse af Unionens </w:t>
      </w:r>
      <w:r w:rsidRPr="007F78B1">
        <w:t>institutionsinterne værktøjer (Sysper, ABAC, MiPS og Ares) og brugen af IT-rammekontrakter; anerkender, at Ombudsmandens mangeårige tilgang med at udnytte integrerede systemer og ressourcer fra disse to EU-institutioner har været vellykket, når det gælder om at optimere budgetudnyttelsen og styrke koordineringen, f.eks. inden for digitalisering; bemærker, at Ombudsmanden, når det kommer til dens kernevirksomhed, bevarer direkte kontrol over udviklingen og vedligeholdelsen af værktøjer inden for Parlamentets</w:t>
      </w:r>
      <w:r w:rsidRPr="007F78B1">
        <w:t xml:space="preserve"> sikre miljø, hvilket sikrer fleksibilitet, databeskyttelse og øget cybersikkerhed; bemærker, at Ombudsmanden ikke var udsat for cyberangreb i 2024;</w:t>
      </w:r>
    </w:p>
    <w:p w14:paraId="0FB31E41" w14:textId="77777777" w:rsidR="00C16DCB" w:rsidRPr="007F78B1" w:rsidRDefault="0005728C" w:rsidP="00BA4EBA">
      <w:pPr>
        <w:spacing w:after="240"/>
        <w:ind w:left="567" w:hanging="567"/>
      </w:pPr>
      <w:r w:rsidRPr="007F78B1">
        <w:t>41.</w:t>
      </w:r>
      <w:r w:rsidRPr="007F78B1">
        <w:tab/>
        <w:t>bemærker på baggrund af spørgeskemaet, at EDPS i december 2024 efter en klage fra en registreret indledte en sag mod Ombudsmanden i henhold til artikel 57, litra e), i forordning (EU) 2018/1725</w:t>
      </w:r>
      <w:r w:rsidRPr="007F78B1">
        <w:rPr>
          <w:rStyle w:val="FootnoteReference"/>
        </w:rPr>
        <w:footnoteReference w:id="13"/>
      </w:r>
      <w:r w:rsidRPr="007F78B1">
        <w:t>; noterer sig, at EDPS afsluttede sagen i 2025, efter at Ombudsmanden havde fremlagt de ønskede præciseringer, og konkluderede, at den registrerede havde modtaget tilstrækkelige oplysninger;</w:t>
      </w:r>
      <w:bookmarkEnd w:id="8"/>
    </w:p>
    <w:p w14:paraId="659C5271" w14:textId="77777777" w:rsidR="00C16DCB" w:rsidRPr="007F78B1" w:rsidRDefault="0005728C" w:rsidP="00C27C90">
      <w:pPr>
        <w:spacing w:after="240"/>
      </w:pPr>
      <w:r w:rsidRPr="007F78B1">
        <w:rPr>
          <w:b/>
          <w:i/>
        </w:rPr>
        <w:lastRenderedPageBreak/>
        <w:t>Miljø og bæredygtighed</w:t>
      </w:r>
    </w:p>
    <w:p w14:paraId="3913A70C" w14:textId="77777777" w:rsidR="00C16DCB" w:rsidRPr="007F78B1" w:rsidRDefault="0005728C" w:rsidP="00BA4EBA">
      <w:pPr>
        <w:spacing w:after="240"/>
        <w:ind w:left="567" w:hanging="567"/>
      </w:pPr>
      <w:r w:rsidRPr="007F78B1">
        <w:t>42.</w:t>
      </w:r>
      <w:r w:rsidRPr="007F78B1">
        <w:tab/>
        <w:t xml:space="preserve">bemærker på baggrund af den årlige aktivitetsrapport og spørgeskemaet, at Ombudsmanden fortsatte med at mindske sit miljøaftryk gennem digitalisering af sine processer, fjernelse af </w:t>
      </w:r>
      <w:r w:rsidRPr="007F78B1">
        <w:t>individuelle printere samt undladelse af at udskifte centrale behandlingsenheder, når de er udtjent, og ved næsten helt at være overgået til digitale publikationer; glæder sig over Ombudsmandens bestræbelser på at gøre arrangementer mere bæredygtige, herunder ved brug af QR-koder og lokal catering samt tiltag til forebyggelse af madspild; bemærker med tilfredshed, at al elektricitet i de to bygninger, hvor Ombudsmanden har kontorer, stammer fra vedvarende energikilder, der leveres i henhold til Parlamentets</w:t>
      </w:r>
      <w:r w:rsidRPr="007F78B1">
        <w:t xml:space="preserve"> kontrakter, og at de solpaneler, Parlamentet har installeret på sine bygninger i Strasbourg, herunder Havelbygningen, begyndte at producere elektricitet i 2024;</w:t>
      </w:r>
    </w:p>
    <w:p w14:paraId="41FC43B6" w14:textId="77777777" w:rsidR="00C16DCB" w:rsidRPr="007F78B1" w:rsidRDefault="0005728C" w:rsidP="00BA4EBA">
      <w:pPr>
        <w:spacing w:after="240"/>
        <w:ind w:left="567" w:hanging="567"/>
        <w:rPr>
          <w:b/>
          <w:bCs/>
          <w:i/>
          <w:iCs/>
        </w:rPr>
      </w:pPr>
      <w:r w:rsidRPr="007F78B1">
        <w:t>43.</w:t>
      </w:r>
      <w:r w:rsidRPr="007F78B1">
        <w:tab/>
        <w:t>bemærker, at Ombudsmanden ved at leje sine lokaler af Parlamentet drager fordel af sidstnævntes miljøledelse under EMAS, herunder foranstaltninger såsom temperaturindstillinger på 19 °C om vinteren, selektiv affaldssortering, indsamling af bioaffald, som blev påbegyndt i 2024, samt udskiftning af engangskøkkenartikler med holdbart bordservice; glæder sig over Ombudsmandens anvendelse af principperne for grønne offentlige udbud, både gennem sine egne kontrakter og gennem samarbejdsaftaler med andre EU-insti</w:t>
      </w:r>
      <w:r w:rsidRPr="007F78B1">
        <w:t>tutioner;</w:t>
      </w:r>
    </w:p>
    <w:p w14:paraId="05BE7A7B" w14:textId="77777777" w:rsidR="00C16DCB" w:rsidRPr="007F78B1" w:rsidRDefault="0005728C" w:rsidP="00BA4EBA">
      <w:pPr>
        <w:spacing w:after="240"/>
        <w:ind w:left="567" w:hanging="567"/>
        <w:rPr>
          <w:b/>
          <w:bCs/>
          <w:i/>
          <w:iCs/>
        </w:rPr>
      </w:pPr>
      <w:r w:rsidRPr="007F78B1">
        <w:t>44.</w:t>
      </w:r>
      <w:r w:rsidRPr="007F78B1">
        <w:tab/>
        <w:t>glæder sig over Ombudsmandens fortsatte fremme af bæredygtig mobilitet gennem et fast bidrag til brugen af bæredygtige transportformer, hvilket 67 % af Ombudsmandens støtteberettigede medarbejdere (op til lønklasse AST8/AD8) nød godt af i 2024, afholdelsen af årlige cykelvedligeholdelsesarrangementer samt medarbejdernes regelmæssige deltagelse i de interinstitutionelle udfordringer til at cykle og gå; bemærker, at der fortsat er begrænset bilparkering, mens cykelinfrastrukturen til stadighed forbedres;</w:t>
      </w:r>
    </w:p>
    <w:p w14:paraId="776D8098" w14:textId="77777777" w:rsidR="00C16DCB" w:rsidRPr="007F78B1" w:rsidRDefault="0005728C" w:rsidP="00BA4EBA">
      <w:pPr>
        <w:spacing w:after="240"/>
        <w:ind w:left="567" w:hanging="567"/>
      </w:pPr>
      <w:r w:rsidRPr="007F78B1">
        <w:t>45.</w:t>
      </w:r>
      <w:r w:rsidRPr="007F78B1">
        <w:tab/>
        <w:t>bemærker med tilfredshed Ombudsmandens bestræbelser på at nedbringe emissioner i forbindelse med rejser ved systematisk at fremme videokonferencer og digitale løsninger som alternativer til tjenesterejser og ved at tilskynde til togrejser frem for flyrejser; opfordrer Ombudsmanden til fortsat at integrere bæredygtighedshensyn i sine risikostyrings- og oplysningsaktiviteter i tråd med sit operationelle mål for 2024 om at fremme et grønt og socialt ansvar;</w:t>
      </w:r>
    </w:p>
    <w:p w14:paraId="3EEB4519" w14:textId="77777777" w:rsidR="00C16DCB" w:rsidRPr="007F78B1" w:rsidRDefault="0005728C" w:rsidP="00BA4EBA">
      <w:pPr>
        <w:pStyle w:val="NormalHanging12a"/>
        <w:rPr>
          <w:b/>
          <w:i/>
        </w:rPr>
      </w:pPr>
      <w:r w:rsidRPr="007F78B1">
        <w:rPr>
          <w:b/>
          <w:i/>
        </w:rPr>
        <w:t>Interinstitutionelt samarbejde</w:t>
      </w:r>
    </w:p>
    <w:p w14:paraId="62C6AFEA" w14:textId="77777777" w:rsidR="00C16DCB" w:rsidRPr="007F78B1" w:rsidRDefault="0005728C" w:rsidP="00BA4EBA">
      <w:pPr>
        <w:pStyle w:val="NormalHanging12a"/>
      </w:pPr>
      <w:r w:rsidRPr="007F78B1">
        <w:t>46.</w:t>
      </w:r>
      <w:r w:rsidRPr="007F78B1">
        <w:tab/>
        <w:t>glæder sig over de finansielle og administrative besparelser, der er opnået gennem interinstitutionelt samarbejde, navnlig den brede vifte af serviceleveranceaftaler, som Ombudsmanden har indgået med Parlamentet og Kommissionen på en række områder, samt deltagelsen i interinstitutionelle udbudsprocedurer; glæder sig over, at samarbejdet mellem Parlamentet og Ombudsmanden i oktober 2024 på cybersikkerhedsområdet blev formaliseret ved en revideret interinstitutionel aftale, som fastsætter en ramme for, at Pa</w:t>
      </w:r>
      <w:r w:rsidRPr="007F78B1">
        <w:t>rlamentet fortsat kan yde solid cybersikkerhedsstøtte til Ombudsmanden;</w:t>
      </w:r>
    </w:p>
    <w:p w14:paraId="7B578A0F" w14:textId="77777777" w:rsidR="00C16DCB" w:rsidRPr="007F78B1" w:rsidRDefault="0005728C" w:rsidP="00BA4EBA">
      <w:pPr>
        <w:pStyle w:val="NormalHanging12a"/>
      </w:pPr>
      <w:r w:rsidRPr="007F78B1">
        <w:t>47.</w:t>
      </w:r>
      <w:r w:rsidRPr="007F78B1">
        <w:tab/>
        <w:t xml:space="preserve">roser Ombudsmanden for det gode samarbejde med Det Europæiske Kontor for Bekæmpelse af Svig (OLAF) og med Revisionsretten, som i 2024 udmøntede sig i møder og drøftelser mellem Ombudsmanden, Revisionsrettens medlemmer og OLAF's generaldirektør; bemærker, at Ombudsmanden også talte på en konference i </w:t>
      </w:r>
      <w:r w:rsidRPr="007F78B1">
        <w:lastRenderedPageBreak/>
        <w:t>Revisionsretten om emnet gennemsigtighed i forbindelse med inddrivelse af EU-midler; bemærker endvidere, at Ombudsmanden i 2024 fremlagde konklusionerne på de vigtigste undersøgelser for de relevante udvalg i P</w:t>
      </w:r>
      <w:r w:rsidRPr="007F78B1">
        <w:t>arlamentet og fortsatte sit gode samarbejde med de nationale og regionale ombudsmænd gennem forespørgselsproceduren, hvor medlemmer af Det europæiske netværk af ombudsmænd (ENO) kan stille de spørgsmål om EU-retten, der opstår under deres undersøgelser, og Ombudsmanden kan indhente ekspertsvar fra EU-institutionerne; bemærker i den forbindelse, at Ombudsmanden afholdt et ENO-webinar i 2024 om forskellige emner, herunder gennemførelsen af EU's whistleblowerdirektiv og spørgsmål vedrørende den frie bevægeligh</w:t>
      </w:r>
      <w:r w:rsidRPr="007F78B1">
        <w:t>ed;</w:t>
      </w:r>
    </w:p>
    <w:p w14:paraId="68584A6C" w14:textId="77777777" w:rsidR="00C16DCB" w:rsidRPr="007F78B1" w:rsidRDefault="0005728C" w:rsidP="00BA4EBA">
      <w:pPr>
        <w:pStyle w:val="NormalHanging12a"/>
      </w:pPr>
      <w:r w:rsidRPr="007F78B1">
        <w:t>48.</w:t>
      </w:r>
      <w:r w:rsidRPr="007F78B1">
        <w:tab/>
        <w:t>bemærker på baggrund af spørgeskemaet, at Ombudsmanden og EDPS hovedsagelig samarbejder på ad hoc-basis og uformel basis med henblik på at sikre et hurtigt og effektivt samarbejde, når det er nødvendigt; bemærker endvidere med tilfredshed, at Ombudsmanden og EDPS har indgået et aftalememorandum med henblik på at regulere deres respektive kompetencer inden for klagebehandling og undgå overlappende procedurer;</w:t>
      </w:r>
    </w:p>
    <w:p w14:paraId="1E2BFD82" w14:textId="77777777" w:rsidR="00C16DCB" w:rsidRPr="007F78B1" w:rsidRDefault="0005728C" w:rsidP="00BA4EBA">
      <w:pPr>
        <w:pStyle w:val="NormalHanging12a"/>
      </w:pPr>
      <w:r w:rsidRPr="007F78B1">
        <w:t>49.</w:t>
      </w:r>
      <w:r w:rsidRPr="007F78B1">
        <w:tab/>
        <w:t>glæder sig over, at Ombudsmanden i 2023 fortsatte det tætte samarbejde med Parlamentets relevante udvalg (Udvalget for Andragender, Udvalget om Borgernes Rettigheder og Retlige og Indre Anliggender, Underudvalget om Menneskerettigheder) om vigtige undersøgelser ved enten at fremlægge sit arbejde direkte på udvalgsmøder eller sende oplysninger til udvalgsformændene; understreger, at Ombudsmandens strategiske initiativer og undersøgelser er afgørende for at forbedre EU-forvaltningens gennemsigtighed og ansva</w:t>
      </w:r>
      <w:r w:rsidRPr="007F78B1">
        <w:t>rlighed;</w:t>
      </w:r>
    </w:p>
    <w:p w14:paraId="18A929C3" w14:textId="77777777" w:rsidR="00C16DCB" w:rsidRPr="007F78B1" w:rsidRDefault="0005728C" w:rsidP="00C27C90">
      <w:pPr>
        <w:spacing w:after="240"/>
        <w:rPr>
          <w:b/>
          <w:i/>
        </w:rPr>
      </w:pPr>
      <w:r w:rsidRPr="007F78B1">
        <w:rPr>
          <w:b/>
          <w:i/>
        </w:rPr>
        <w:t>Kommunikation</w:t>
      </w:r>
    </w:p>
    <w:p w14:paraId="2CB3E6E5" w14:textId="77777777" w:rsidR="00C16DCB" w:rsidRPr="007F78B1" w:rsidRDefault="0005728C" w:rsidP="001467E3">
      <w:pPr>
        <w:pStyle w:val="NormalHanging12a"/>
      </w:pPr>
      <w:r w:rsidRPr="007F78B1">
        <w:t>50.</w:t>
      </w:r>
      <w:r w:rsidRPr="007F78B1">
        <w:tab/>
        <w:t>bemærker på baggrund af spørgeskemaet, at det samlede budget til kommunikations- og PR-aktiviteter (publikationer, tilrettelæggelse af arrangementer, digital kommunikation osv.) faldt med ca. 38 % fra 155 200 EUR i 2023 til 96 515 EUR i 2024;</w:t>
      </w:r>
    </w:p>
    <w:p w14:paraId="0CADBCDB" w14:textId="77777777" w:rsidR="00C16DCB" w:rsidRPr="007F78B1" w:rsidRDefault="0005728C" w:rsidP="001467E3">
      <w:pPr>
        <w:pStyle w:val="NormalHanging12a"/>
      </w:pPr>
      <w:r w:rsidRPr="007F78B1">
        <w:t>51.</w:t>
      </w:r>
      <w:r w:rsidRPr="007F78B1">
        <w:tab/>
        <w:t>anerkender den indsats, som Ombudsmanden har gjort for at tilvejebringe gennemsigtige oplysninger og offentliggøre data (herunder statistikker om kontorets sagsmængde) i et informativt og brugervenligt format på Ombudsmandens websted; glæder sig over, at der på webstedet er blevet offentliggjort en tidslinje for alle undersøgelser af klager, som giver information om tidligere og fremtidige delmål i de enkelte undersøgelser;</w:t>
      </w:r>
    </w:p>
    <w:p w14:paraId="0032D2FD" w14:textId="77777777" w:rsidR="00C16DCB" w:rsidRPr="007F78B1" w:rsidRDefault="0005728C" w:rsidP="001467E3">
      <w:pPr>
        <w:pStyle w:val="NormalHanging12a"/>
      </w:pPr>
      <w:r w:rsidRPr="007F78B1">
        <w:t>52.</w:t>
      </w:r>
      <w:r w:rsidRPr="007F78B1">
        <w:tab/>
        <w:t>bemærker på baggrund af spørgeskemaet og den årlige aktivitetsrapport, at Ombudsmanden i 2024 spredte sine opsøgende aktiviteter mere ved at lancere konti på Threads og Bluesky og dermed opnåede en bredere tilstedeværelse på sociale medier; bemærker, at Ombudsmanden fortsatte med at sætte spot på centrale tematiske områder gennem målrettede kampagner på de sociale medier samt webhistorier (webstories), hvor indholdet primært drejede sig om etiske standarder i EU-institutionerne i 2024; glæder sig på baggru</w:t>
      </w:r>
      <w:r w:rsidRPr="007F78B1">
        <w:t>nd af opfølgningsrapporten over den nyvalgte Ombudsmands centrale strategiske mål om at styrke borgerne, hvilket vil omfatte målrettede kommunikationsaktiviteter for at sikre, at borgere, der måtte få brug for Ombudsmanden, er bevidste om deres rettigheder og benytter Ombudsmandens tjenester;</w:t>
      </w:r>
    </w:p>
    <w:p w14:paraId="38D4D494" w14:textId="77777777" w:rsidR="00C16DCB" w:rsidRPr="007F78B1" w:rsidRDefault="0005728C" w:rsidP="001467E3">
      <w:pPr>
        <w:pStyle w:val="NormalHanging12a"/>
      </w:pPr>
      <w:r w:rsidRPr="007F78B1">
        <w:lastRenderedPageBreak/>
        <w:t>53.</w:t>
      </w:r>
      <w:r w:rsidRPr="007F78B1">
        <w:tab/>
        <w:t>glæder sig over Ombudsmandens regelmæssige nyhedsbrev "EO express", som holder abonnenterne opdateret ved at gøre opmærksom på indholdet på de forskellige platforme; fremhæver, at Ombudsmanden deltog i en lang række arrangementer, som blev afholdt af Unionen og af internationale organer, og gav hyppige medieinterviews for at præcisere Ombudsmandens mandat, forklare, hvilke typer klager ombudsmandsinstitutionen kan behandle, og informere borgerne om, hvornår de kan anmode om støtte fra Ombudsmanden;</w:t>
      </w:r>
    </w:p>
    <w:p w14:paraId="57EC1319" w14:textId="77777777" w:rsidR="00C16DCB" w:rsidRPr="007F78B1" w:rsidRDefault="0005728C" w:rsidP="001467E3">
      <w:pPr>
        <w:pStyle w:val="NormalHanging12a"/>
      </w:pPr>
      <w:r w:rsidRPr="007F78B1">
        <w:t>54.</w:t>
      </w:r>
      <w:r w:rsidRPr="007F78B1">
        <w:tab/>
        <w:t xml:space="preserve">bemærker med tilfredshed på baggrund af spørgeskemaet, at Ombudsmandens websted er udformet til at overholde Unionens tilgængelighedsstandarder og </w:t>
      </w:r>
      <w:r w:rsidRPr="007F78B1">
        <w:noBreakHyphen/>
        <w:t>retningslinjer og giver brugerne et inklusivt og barrierefrit onlinemiljø med forskellige tilgængelighedsfunktioner; bemærker, at en revision af tilgængeligheden og anvendeligheden af Ombudsmandens websted, der blev foretaget i 2025, viste en gennemsnitlig overholdelse på næsten 90 %; tilskynder Ombudsmanden til fortsat at foretage regelmæssig revision på dette</w:t>
      </w:r>
      <w:r w:rsidRPr="007F78B1">
        <w:t xml:space="preserve"> område;</w:t>
      </w:r>
    </w:p>
    <w:p w14:paraId="16A58C70" w14:textId="77777777" w:rsidR="007B23DE" w:rsidRPr="007F78B1" w:rsidRDefault="0005728C" w:rsidP="001467E3">
      <w:pPr>
        <w:pStyle w:val="NormalHanging12a"/>
      </w:pPr>
      <w:r w:rsidRPr="007F78B1">
        <w:t>55.</w:t>
      </w:r>
      <w:r w:rsidRPr="007F78B1">
        <w:tab/>
        <w:t>glæder sig over den fortsatte medieopmærksomhed, idet Ombudsmandens arbejde blev omtalt i ca. 5 000 artikler i 2024; bemærker, at Ombudsmanden primært måler offentlighedens deltagelse i form af vækst på sociale medier samt webstedstrafik, og at antallet af følgere steg støt i løbet af året; bemærker, at Ombudsmandens Instagram-, LinkedIn- og X-konti samlet set fik 9 186 flere følgere, hvilket oversteg ombudsmandsinstitutionens mål for aktiviteter på sociale medier i 2024 samt for antallet af unikke besøgen</w:t>
      </w:r>
      <w:r w:rsidRPr="007F78B1">
        <w:t>de på Ombudsmandens websted.</w:t>
      </w:r>
    </w:p>
    <w:sectPr w:rsidR="007B23DE" w:rsidRPr="007F78B1" w:rsidSect="00126B74">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54015" w14:textId="77777777" w:rsidR="0005728C" w:rsidRPr="007F78B1" w:rsidRDefault="0005728C">
      <w:r w:rsidRPr="007F78B1">
        <w:separator/>
      </w:r>
    </w:p>
  </w:endnote>
  <w:endnote w:type="continuationSeparator" w:id="0">
    <w:p w14:paraId="7990E21F" w14:textId="77777777" w:rsidR="0005728C" w:rsidRPr="007F78B1" w:rsidRDefault="0005728C">
      <w:r w:rsidRPr="007F78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30F6B" w14:textId="77777777" w:rsidR="007F78B1" w:rsidRPr="007F78B1" w:rsidRDefault="007F78B1" w:rsidP="007F78B1">
    <w:pPr>
      <w:pStyle w:val="EPFooter"/>
    </w:pPr>
    <w:r w:rsidRPr="007F78B1">
      <w:t>PE</w:t>
    </w:r>
    <w:r w:rsidRPr="007F78B1">
      <w:rPr>
        <w:rStyle w:val="HideTWBExt"/>
      </w:rPr>
      <w:t>&lt;NoPE&gt;</w:t>
    </w:r>
    <w:r w:rsidRPr="007F78B1">
      <w:t>778.065</w:t>
    </w:r>
    <w:r w:rsidRPr="007F78B1">
      <w:rPr>
        <w:rStyle w:val="HideTWBExt"/>
      </w:rPr>
      <w:t>&lt;/NoPE&gt;&lt;Version&gt;</w:t>
    </w:r>
    <w:r w:rsidRPr="007F78B1">
      <w:t>v01-00</w:t>
    </w:r>
    <w:r w:rsidRPr="007F78B1">
      <w:rPr>
        <w:rStyle w:val="HideTWBExt"/>
      </w:rPr>
      <w:t>&lt;/Version&gt;</w:t>
    </w:r>
    <w:r w:rsidRPr="007F78B1">
      <w:tab/>
    </w:r>
    <w:r w:rsidRPr="007F78B1">
      <w:fldChar w:fldCharType="begin"/>
    </w:r>
    <w:r w:rsidRPr="007F78B1">
      <w:instrText xml:space="preserve"> PAGE  \* MERGEFORMAT </w:instrText>
    </w:r>
    <w:r w:rsidRPr="007F78B1">
      <w:fldChar w:fldCharType="separate"/>
    </w:r>
    <w:r w:rsidRPr="007F78B1">
      <w:rPr>
        <w:noProof/>
      </w:rPr>
      <w:t>16</w:t>
    </w:r>
    <w:r w:rsidRPr="007F78B1">
      <w:fldChar w:fldCharType="end"/>
    </w:r>
    <w:r w:rsidRPr="007F78B1">
      <w:t>/</w:t>
    </w:r>
    <w:fldSimple w:instr=" NUMPAGES  \* MERGEFORMAT ">
      <w:r w:rsidRPr="007F78B1">
        <w:rPr>
          <w:noProof/>
        </w:rPr>
        <w:t>17</w:t>
      </w:r>
    </w:fldSimple>
    <w:r w:rsidRPr="007F78B1">
      <w:tab/>
    </w:r>
    <w:r w:rsidRPr="007F78B1">
      <w:rPr>
        <w:rStyle w:val="HideTWBExt"/>
      </w:rPr>
      <w:t>&lt;PathFdR&gt;</w:t>
    </w:r>
    <w:r w:rsidRPr="007F78B1">
      <w:t>PR\1328494DA.docx</w:t>
    </w:r>
    <w:r w:rsidRPr="007F78B1">
      <w:rPr>
        <w:rStyle w:val="HideTWBExt"/>
      </w:rPr>
      <w:t>&lt;/PathFdR&gt;</w:t>
    </w:r>
  </w:p>
  <w:p w14:paraId="7318042C" w14:textId="082C06E4" w:rsidR="00F9137D" w:rsidRPr="007F78B1" w:rsidRDefault="007F78B1" w:rsidP="007F78B1">
    <w:pPr>
      <w:pStyle w:val="EPFooter2"/>
    </w:pPr>
    <w:r w:rsidRPr="007F78B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90135" w14:textId="77777777" w:rsidR="007F78B1" w:rsidRPr="007F78B1" w:rsidRDefault="007F78B1" w:rsidP="007F78B1">
    <w:pPr>
      <w:pStyle w:val="EPFooter"/>
    </w:pPr>
    <w:r w:rsidRPr="007F78B1">
      <w:rPr>
        <w:rStyle w:val="HideTWBExt"/>
      </w:rPr>
      <w:t>&lt;PathFdR&gt;</w:t>
    </w:r>
    <w:r w:rsidRPr="007F78B1">
      <w:t>PR\1328494DA.docx</w:t>
    </w:r>
    <w:r w:rsidRPr="007F78B1">
      <w:rPr>
        <w:rStyle w:val="HideTWBExt"/>
      </w:rPr>
      <w:t>&lt;/PathFdR&gt;</w:t>
    </w:r>
    <w:r w:rsidRPr="007F78B1">
      <w:tab/>
    </w:r>
    <w:r w:rsidRPr="007F78B1">
      <w:fldChar w:fldCharType="begin"/>
    </w:r>
    <w:r w:rsidRPr="007F78B1">
      <w:instrText xml:space="preserve"> PAGE  \* MERGEFORMAT </w:instrText>
    </w:r>
    <w:r w:rsidRPr="007F78B1">
      <w:fldChar w:fldCharType="separate"/>
    </w:r>
    <w:r w:rsidRPr="007F78B1">
      <w:rPr>
        <w:noProof/>
      </w:rPr>
      <w:t>17</w:t>
    </w:r>
    <w:r w:rsidRPr="007F78B1">
      <w:fldChar w:fldCharType="end"/>
    </w:r>
    <w:r w:rsidRPr="007F78B1">
      <w:t>/</w:t>
    </w:r>
    <w:fldSimple w:instr=" NUMPAGES  \* MERGEFORMAT ">
      <w:r w:rsidRPr="007F78B1">
        <w:rPr>
          <w:noProof/>
        </w:rPr>
        <w:t>17</w:t>
      </w:r>
    </w:fldSimple>
    <w:r w:rsidRPr="007F78B1">
      <w:tab/>
      <w:t>PE</w:t>
    </w:r>
    <w:r w:rsidRPr="007F78B1">
      <w:rPr>
        <w:rStyle w:val="HideTWBExt"/>
      </w:rPr>
      <w:t>&lt;NoPE&gt;</w:t>
    </w:r>
    <w:r w:rsidRPr="007F78B1">
      <w:t>778.065</w:t>
    </w:r>
    <w:r w:rsidRPr="007F78B1">
      <w:rPr>
        <w:rStyle w:val="HideTWBExt"/>
      </w:rPr>
      <w:t>&lt;/NoPE&gt;&lt;Version&gt;</w:t>
    </w:r>
    <w:r w:rsidRPr="007F78B1">
      <w:t>v01-00</w:t>
    </w:r>
    <w:r w:rsidRPr="007F78B1">
      <w:rPr>
        <w:rStyle w:val="HideTWBExt"/>
      </w:rPr>
      <w:t>&lt;/Version&gt;</w:t>
    </w:r>
  </w:p>
  <w:p w14:paraId="021B0E7A" w14:textId="60719190" w:rsidR="00F9137D" w:rsidRPr="007F78B1" w:rsidRDefault="007F78B1" w:rsidP="007F78B1">
    <w:pPr>
      <w:pStyle w:val="EPFooter2"/>
    </w:pPr>
    <w:r w:rsidRPr="007F78B1">
      <w:tab/>
    </w:r>
    <w:r w:rsidRPr="007F78B1">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7613E" w14:textId="77777777" w:rsidR="007F78B1" w:rsidRPr="007F78B1" w:rsidRDefault="007F78B1" w:rsidP="007F78B1">
    <w:pPr>
      <w:pStyle w:val="EPFooter"/>
    </w:pPr>
    <w:r w:rsidRPr="007F78B1">
      <w:rPr>
        <w:rStyle w:val="HideTWBExt"/>
      </w:rPr>
      <w:t>&lt;PathFdR&gt;</w:t>
    </w:r>
    <w:r w:rsidRPr="007F78B1">
      <w:t>PR\1328494DA.docx</w:t>
    </w:r>
    <w:r w:rsidRPr="007F78B1">
      <w:rPr>
        <w:rStyle w:val="HideTWBExt"/>
      </w:rPr>
      <w:t>&lt;/PathFdR&gt;</w:t>
    </w:r>
    <w:r w:rsidRPr="007F78B1">
      <w:tab/>
    </w:r>
    <w:r w:rsidRPr="007F78B1">
      <w:tab/>
      <w:t>PE</w:t>
    </w:r>
    <w:r w:rsidRPr="007F78B1">
      <w:rPr>
        <w:rStyle w:val="HideTWBExt"/>
      </w:rPr>
      <w:t>&lt;NoPE&gt;</w:t>
    </w:r>
    <w:r w:rsidRPr="007F78B1">
      <w:t>778.065</w:t>
    </w:r>
    <w:r w:rsidRPr="007F78B1">
      <w:rPr>
        <w:rStyle w:val="HideTWBExt"/>
      </w:rPr>
      <w:t>&lt;/NoPE&gt;&lt;Version&gt;</w:t>
    </w:r>
    <w:r w:rsidRPr="007F78B1">
      <w:t>v01-00</w:t>
    </w:r>
    <w:r w:rsidRPr="007F78B1">
      <w:rPr>
        <w:rStyle w:val="HideTWBExt"/>
      </w:rPr>
      <w:t>&lt;/Version&gt;</w:t>
    </w:r>
  </w:p>
  <w:p w14:paraId="0A6AADC0" w14:textId="6C6FCCFB" w:rsidR="00F9137D" w:rsidRPr="007F78B1" w:rsidRDefault="007F78B1" w:rsidP="007F78B1">
    <w:pPr>
      <w:pStyle w:val="EPFooter2"/>
    </w:pPr>
    <w:r w:rsidRPr="007F78B1">
      <w:t>DA</w:t>
    </w:r>
    <w:r w:rsidRPr="007F78B1">
      <w:tab/>
    </w:r>
    <w:r w:rsidRPr="007F78B1">
      <w:rPr>
        <w:b w:val="0"/>
        <w:i/>
        <w:color w:val="C0C0C0"/>
        <w:sz w:val="22"/>
      </w:rPr>
      <w:t>Forenet i mangfoldighed</w:t>
    </w:r>
    <w:r w:rsidRPr="007F78B1">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630FF" w14:textId="77777777" w:rsidR="008439BF" w:rsidRPr="007F78B1" w:rsidRDefault="0005728C">
      <w:r w:rsidRPr="007F78B1">
        <w:separator/>
      </w:r>
    </w:p>
  </w:footnote>
  <w:footnote w:type="continuationSeparator" w:id="0">
    <w:p w14:paraId="2A11A017" w14:textId="77777777" w:rsidR="008439BF" w:rsidRPr="007F78B1" w:rsidRDefault="0005728C">
      <w:r w:rsidRPr="007F78B1">
        <w:continuationSeparator/>
      </w:r>
    </w:p>
  </w:footnote>
  <w:footnote w:id="1">
    <w:p w14:paraId="353D5A98" w14:textId="2D011E90" w:rsidR="00DC3829" w:rsidRPr="007F78B1" w:rsidRDefault="0005728C" w:rsidP="00C27C90">
      <w:pPr>
        <w:pStyle w:val="FootnoteText"/>
        <w:ind w:left="567" w:hanging="567"/>
        <w:rPr>
          <w:sz w:val="24"/>
          <w:szCs w:val="24"/>
        </w:rPr>
      </w:pPr>
      <w:r w:rsidRPr="007F78B1">
        <w:rPr>
          <w:rStyle w:val="FootnoteReference"/>
          <w:sz w:val="24"/>
          <w:szCs w:val="24"/>
        </w:rPr>
        <w:footnoteRef/>
      </w:r>
      <w:r w:rsidRPr="007F78B1">
        <w:rPr>
          <w:sz w:val="24"/>
        </w:rPr>
        <w:tab/>
        <w:t xml:space="preserve">EUT L 207 af 22.2.2024, s. 1, ELI: </w:t>
      </w:r>
      <w:hyperlink r:id="rId1" w:history="1">
        <w:r w:rsidRPr="007F78B1">
          <w:rPr>
            <w:rStyle w:val="Hyperlink"/>
            <w:sz w:val="24"/>
          </w:rPr>
          <w:t>http://data.europa.eu/eli/budget/2024/207/oj</w:t>
        </w:r>
      </w:hyperlink>
      <w:r w:rsidRPr="007F78B1">
        <w:rPr>
          <w:sz w:val="24"/>
        </w:rPr>
        <w:t>.</w:t>
      </w:r>
    </w:p>
  </w:footnote>
  <w:footnote w:id="2">
    <w:p w14:paraId="0DC937CA" w14:textId="1B687671" w:rsidR="00DC3829" w:rsidRPr="007F78B1" w:rsidRDefault="0005728C" w:rsidP="00C27C90">
      <w:pPr>
        <w:pStyle w:val="FootnoteText"/>
        <w:ind w:left="567" w:hanging="567"/>
        <w:rPr>
          <w:sz w:val="24"/>
          <w:szCs w:val="24"/>
        </w:rPr>
      </w:pPr>
      <w:r w:rsidRPr="007F78B1">
        <w:rPr>
          <w:rStyle w:val="FootnoteReference"/>
          <w:sz w:val="24"/>
          <w:szCs w:val="24"/>
        </w:rPr>
        <w:footnoteRef/>
      </w:r>
      <w:r w:rsidRPr="007F78B1">
        <w:rPr>
          <w:sz w:val="24"/>
        </w:rPr>
        <w:tab/>
        <w:t>EUT C, C/2025/4944, 13.10.2025, ELI: </w:t>
      </w:r>
      <w:hyperlink r:id="rId2" w:tgtFrame="_blank" w:tooltip="Giver adgang til dokumentet via dets ELI-URI." w:history="1">
        <w:r w:rsidRPr="007F78B1">
          <w:rPr>
            <w:rStyle w:val="Hyperlink"/>
            <w:sz w:val="24"/>
          </w:rPr>
          <w:t>http://data.europa.eu/eli/C/2025/4944/oj</w:t>
        </w:r>
      </w:hyperlink>
      <w:r w:rsidRPr="007F78B1">
        <w:rPr>
          <w:sz w:val="24"/>
        </w:rPr>
        <w:t>.</w:t>
      </w:r>
    </w:p>
  </w:footnote>
  <w:footnote w:id="3">
    <w:p w14:paraId="7B6DE731" w14:textId="0C2E58F6" w:rsidR="00DC3829" w:rsidRPr="007F78B1" w:rsidRDefault="0005728C" w:rsidP="00C27C90">
      <w:pPr>
        <w:pStyle w:val="FootnoteText"/>
        <w:ind w:left="567" w:hanging="567"/>
        <w:rPr>
          <w:sz w:val="24"/>
          <w:szCs w:val="24"/>
        </w:rPr>
      </w:pPr>
      <w:r w:rsidRPr="007F78B1">
        <w:rPr>
          <w:rStyle w:val="FootnoteReference"/>
          <w:sz w:val="24"/>
          <w:szCs w:val="24"/>
        </w:rPr>
        <w:footnoteRef/>
      </w:r>
      <w:r w:rsidRPr="007F78B1">
        <w:rPr>
          <w:sz w:val="24"/>
        </w:rPr>
        <w:tab/>
        <w:t xml:space="preserve">EUT C, C/2025/5409, 8.10.2025, ELI: </w:t>
      </w:r>
      <w:hyperlink r:id="rId3" w:history="1">
        <w:r w:rsidRPr="007F78B1">
          <w:rPr>
            <w:rStyle w:val="Hyperlink"/>
            <w:sz w:val="24"/>
          </w:rPr>
          <w:t>http://data.europa.eu/eli/C/2025/5409/oj</w:t>
        </w:r>
      </w:hyperlink>
      <w:r w:rsidRPr="007F78B1">
        <w:rPr>
          <w:rStyle w:val="Hyperlink"/>
          <w:sz w:val="24"/>
        </w:rPr>
        <w:t>.</w:t>
      </w:r>
    </w:p>
  </w:footnote>
  <w:footnote w:id="4">
    <w:p w14:paraId="424B4673" w14:textId="45AED64D" w:rsidR="00AC7CAD" w:rsidRPr="007F78B1" w:rsidRDefault="0005728C" w:rsidP="00C27C90">
      <w:pPr>
        <w:pStyle w:val="FootnoteText"/>
        <w:ind w:left="567" w:hanging="567"/>
      </w:pPr>
      <w:r w:rsidRPr="007F78B1">
        <w:rPr>
          <w:rStyle w:val="FootnoteReference"/>
        </w:rPr>
        <w:footnoteRef/>
      </w:r>
      <w:r w:rsidRPr="007F78B1">
        <w:tab/>
      </w:r>
      <w:r w:rsidRPr="007F78B1">
        <w:rPr>
          <w:sz w:val="24"/>
        </w:rPr>
        <w:t xml:space="preserve">EUT C, C/2025/5407, 13.10.2025, ELI: </w:t>
      </w:r>
      <w:hyperlink r:id="rId4" w:history="1">
        <w:r w:rsidRPr="007F78B1">
          <w:rPr>
            <w:rStyle w:val="Hyperlink"/>
            <w:sz w:val="24"/>
          </w:rPr>
          <w:t>http://data.europa.eu/eli/C/2025/5407/oj</w:t>
        </w:r>
      </w:hyperlink>
      <w:r w:rsidRPr="007F78B1">
        <w:rPr>
          <w:rStyle w:val="Hyperlink"/>
          <w:sz w:val="24"/>
        </w:rPr>
        <w:t>.</w:t>
      </w:r>
    </w:p>
  </w:footnote>
  <w:footnote w:id="5">
    <w:p w14:paraId="5CDA8929" w14:textId="0770C98E" w:rsidR="00DC3829" w:rsidRPr="007F78B1" w:rsidRDefault="0005728C" w:rsidP="00C27C90">
      <w:pPr>
        <w:pStyle w:val="FootnoteText"/>
        <w:ind w:left="567" w:hanging="567"/>
        <w:rPr>
          <w:sz w:val="24"/>
          <w:szCs w:val="24"/>
        </w:rPr>
      </w:pPr>
      <w:r w:rsidRPr="007F78B1">
        <w:rPr>
          <w:rStyle w:val="FootnoteReference"/>
          <w:sz w:val="24"/>
          <w:szCs w:val="24"/>
        </w:rPr>
        <w:footnoteRef/>
      </w:r>
      <w:r w:rsidRPr="007F78B1">
        <w:rPr>
          <w:sz w:val="24"/>
        </w:rPr>
        <w:tab/>
        <w:t xml:space="preserve">EUT L 193 af 30.7.2018, s. 1., ELI: </w:t>
      </w:r>
      <w:hyperlink r:id="rId5" w:history="1">
        <w:r w:rsidRPr="007F78B1">
          <w:rPr>
            <w:rStyle w:val="Hyperlink"/>
            <w:sz w:val="24"/>
          </w:rPr>
          <w:t>http://data.europa.eu/eli/reg/2018/1046/oj</w:t>
        </w:r>
      </w:hyperlink>
      <w:r w:rsidRPr="007F78B1">
        <w:t>.</w:t>
      </w:r>
    </w:p>
  </w:footnote>
  <w:footnote w:id="6">
    <w:p w14:paraId="46CCCC80" w14:textId="155CCED3" w:rsidR="00DC3829" w:rsidRPr="007F78B1" w:rsidRDefault="0005728C" w:rsidP="00C27C90">
      <w:pPr>
        <w:pStyle w:val="FootnoteText"/>
        <w:ind w:left="567" w:hanging="567"/>
        <w:rPr>
          <w:sz w:val="24"/>
          <w:szCs w:val="24"/>
        </w:rPr>
      </w:pPr>
      <w:r w:rsidRPr="007F78B1">
        <w:rPr>
          <w:rStyle w:val="FootnoteReference"/>
          <w:sz w:val="24"/>
          <w:szCs w:val="24"/>
        </w:rPr>
        <w:footnoteRef/>
      </w:r>
      <w:r w:rsidRPr="007F78B1">
        <w:rPr>
          <w:sz w:val="24"/>
        </w:rPr>
        <w:tab/>
        <w:t xml:space="preserve">EUT L, 2024/2509, 26.9.2024, ELI: </w:t>
      </w:r>
      <w:hyperlink r:id="rId6" w:history="1">
        <w:r w:rsidRPr="007F78B1">
          <w:rPr>
            <w:rStyle w:val="Hyperlink"/>
            <w:sz w:val="24"/>
          </w:rPr>
          <w:t>http://data.europa.eu/eli/reg/2024/2509/oj</w:t>
        </w:r>
      </w:hyperlink>
      <w:r w:rsidRPr="007F78B1">
        <w:rPr>
          <w:sz w:val="24"/>
        </w:rPr>
        <w:t>.</w:t>
      </w:r>
    </w:p>
  </w:footnote>
  <w:footnote w:id="7">
    <w:p w14:paraId="39CE25D7" w14:textId="77777777" w:rsidR="00C16DCB" w:rsidRPr="007F78B1" w:rsidRDefault="0005728C" w:rsidP="00AC7CAD">
      <w:pPr>
        <w:pStyle w:val="FootnoteText"/>
        <w:ind w:left="567" w:hanging="567"/>
        <w:rPr>
          <w:sz w:val="24"/>
          <w:szCs w:val="24"/>
        </w:rPr>
      </w:pPr>
      <w:r w:rsidRPr="007F78B1">
        <w:rPr>
          <w:rStyle w:val="FootnoteReference"/>
          <w:sz w:val="24"/>
          <w:szCs w:val="24"/>
        </w:rPr>
        <w:footnoteRef/>
      </w:r>
      <w:r w:rsidRPr="007F78B1">
        <w:rPr>
          <w:sz w:val="24"/>
        </w:rPr>
        <w:tab/>
        <w:t>EUT L 253 af 16.7.2021, s. 1.</w:t>
      </w:r>
    </w:p>
  </w:footnote>
  <w:footnote w:id="8">
    <w:p w14:paraId="348E6CB1" w14:textId="0917B980" w:rsidR="00C16DCB" w:rsidRPr="007F78B1" w:rsidRDefault="0005728C" w:rsidP="00AC7CAD">
      <w:pPr>
        <w:pStyle w:val="FootnoteText"/>
        <w:ind w:left="567" w:hanging="567"/>
        <w:rPr>
          <w:sz w:val="24"/>
          <w:szCs w:val="24"/>
        </w:rPr>
      </w:pPr>
      <w:r w:rsidRPr="007F78B1">
        <w:rPr>
          <w:rStyle w:val="FootnoteReference"/>
          <w:sz w:val="24"/>
          <w:szCs w:val="24"/>
        </w:rPr>
        <w:footnoteRef/>
      </w:r>
      <w:r w:rsidRPr="007F78B1">
        <w:rPr>
          <w:sz w:val="24"/>
        </w:rPr>
        <w:t xml:space="preserve"> </w:t>
      </w:r>
      <w:r w:rsidRPr="007F78B1">
        <w:rPr>
          <w:sz w:val="24"/>
        </w:rPr>
        <w:tab/>
      </w:r>
      <w:r w:rsidRPr="007F78B1">
        <w:rPr>
          <w:color w:val="333333"/>
          <w:sz w:val="24"/>
          <w:shd w:val="clear" w:color="auto" w:fill="FFFFFF"/>
        </w:rPr>
        <w:t>EUT C, C/2023/161, 10.10.2023, ELI: </w:t>
      </w:r>
      <w:hyperlink r:id="rId7" w:tgtFrame="_blank" w:tooltip="Giver adgang til dokumentet via dets ELI-URI." w:history="1">
        <w:r w:rsidRPr="007F78B1">
          <w:rPr>
            <w:rStyle w:val="Hyperlink"/>
            <w:color w:val="23527C"/>
            <w:sz w:val="24"/>
          </w:rPr>
          <w:t>http://data.europa.eu/eli/C/2023/161/oj</w:t>
        </w:r>
      </w:hyperlink>
      <w:r w:rsidRPr="007F78B1">
        <w:rPr>
          <w:color w:val="23527C"/>
          <w:sz w:val="24"/>
        </w:rPr>
        <w:t>.</w:t>
      </w:r>
    </w:p>
  </w:footnote>
  <w:footnote w:id="9">
    <w:p w14:paraId="56EC95FF" w14:textId="05D74071" w:rsidR="00C16DCB" w:rsidRPr="007F78B1" w:rsidRDefault="0005728C" w:rsidP="00C27C90">
      <w:pPr>
        <w:pStyle w:val="FootnoteText"/>
        <w:ind w:left="567" w:hanging="567"/>
        <w:rPr>
          <w:sz w:val="24"/>
          <w:szCs w:val="24"/>
        </w:rPr>
      </w:pPr>
      <w:r w:rsidRPr="007F78B1">
        <w:rPr>
          <w:rStyle w:val="FootnoteReference"/>
          <w:sz w:val="24"/>
          <w:szCs w:val="24"/>
        </w:rPr>
        <w:footnoteRef/>
      </w:r>
      <w:r w:rsidRPr="007F78B1">
        <w:rPr>
          <w:sz w:val="24"/>
        </w:rPr>
        <w:t xml:space="preserve"> </w:t>
      </w:r>
      <w:r w:rsidRPr="007F78B1">
        <w:rPr>
          <w:sz w:val="24"/>
        </w:rPr>
        <w:tab/>
      </w:r>
      <w:hyperlink r:id="rId8" w:history="1">
        <w:r w:rsidRPr="007F78B1">
          <w:rPr>
            <w:rStyle w:val="Hyperlink"/>
            <w:sz w:val="24"/>
          </w:rPr>
          <w:t>https://www.ombudsman.europa.eu/da/doc/declarations-and-transparency/en/196382</w:t>
        </w:r>
      </w:hyperlink>
      <w:r w:rsidRPr="007F78B1">
        <w:rPr>
          <w:sz w:val="24"/>
        </w:rPr>
        <w:t xml:space="preserve"> og </w:t>
      </w:r>
      <w:hyperlink r:id="rId9" w:history="1">
        <w:r w:rsidRPr="007F78B1">
          <w:rPr>
            <w:rStyle w:val="Hyperlink"/>
            <w:sz w:val="24"/>
          </w:rPr>
          <w:t>https://www.ombudsman.europa.eu/en/doc/declarations-and-transparency/en/198831</w:t>
        </w:r>
      </w:hyperlink>
      <w:r w:rsidRPr="007F78B1">
        <w:rPr>
          <w:sz w:val="24"/>
        </w:rPr>
        <w:t>.</w:t>
      </w:r>
    </w:p>
  </w:footnote>
  <w:footnote w:id="10">
    <w:p w14:paraId="4D432D5B" w14:textId="1A57B08C" w:rsidR="009F5DC7" w:rsidRPr="007F78B1" w:rsidRDefault="0005728C" w:rsidP="00C27C90">
      <w:pPr>
        <w:pStyle w:val="FootnoteText"/>
        <w:ind w:left="567" w:hanging="567"/>
        <w:rPr>
          <w:sz w:val="24"/>
          <w:szCs w:val="24"/>
        </w:rPr>
      </w:pPr>
      <w:r w:rsidRPr="007F78B1">
        <w:rPr>
          <w:rStyle w:val="FootnoteReference"/>
        </w:rPr>
        <w:footnoteRef/>
      </w:r>
      <w:r w:rsidRPr="007F78B1">
        <w:tab/>
      </w:r>
      <w:r w:rsidRPr="007F78B1">
        <w:rPr>
          <w:sz w:val="24"/>
        </w:rPr>
        <w:t>Europa-Parlamentets og Rådets forordning (EF) nr. 1049/2001 af 30. maj 2001 om aktindsigt i Europa-Parlamentets, Rådets og Kommissionens dokumenter (EFT L 145 af 31.5.2001, s. 43), ELI: </w:t>
      </w:r>
      <w:hyperlink r:id="rId10" w:tooltip="Giver adgang til dokumentet via dets ELI-URI." w:history="1">
        <w:r w:rsidRPr="007F78B1">
          <w:rPr>
            <w:rStyle w:val="Hyperlink"/>
            <w:sz w:val="24"/>
          </w:rPr>
          <w:t>http://data.europa.eu/eli/reg/2001/1049/oj</w:t>
        </w:r>
      </w:hyperlink>
      <w:r w:rsidRPr="007F78B1">
        <w:rPr>
          <w:sz w:val="24"/>
        </w:rPr>
        <w:t>).</w:t>
      </w:r>
    </w:p>
  </w:footnote>
  <w:footnote w:id="11">
    <w:p w14:paraId="252FCE1B" w14:textId="32D350D4" w:rsidR="00C16DCB" w:rsidRPr="007F78B1" w:rsidRDefault="0005728C" w:rsidP="00AC7CAD">
      <w:pPr>
        <w:pStyle w:val="FootnoteText"/>
        <w:ind w:left="567" w:hanging="567"/>
        <w:rPr>
          <w:sz w:val="24"/>
          <w:szCs w:val="24"/>
        </w:rPr>
      </w:pPr>
      <w:r w:rsidRPr="007F78B1">
        <w:rPr>
          <w:rStyle w:val="FootnoteReference"/>
          <w:rFonts w:eastAsiaTheme="majorEastAsia"/>
          <w:sz w:val="24"/>
          <w:szCs w:val="24"/>
        </w:rPr>
        <w:footnoteRef/>
      </w:r>
      <w:r w:rsidRPr="007F78B1">
        <w:rPr>
          <w:sz w:val="24"/>
        </w:rPr>
        <w:t xml:space="preserve"> </w:t>
      </w:r>
      <w:r w:rsidRPr="007F78B1">
        <w:rPr>
          <w:sz w:val="24"/>
        </w:rPr>
        <w:tab/>
      </w:r>
      <w:hyperlink r:id="rId11" w:history="1">
        <w:r w:rsidRPr="007F78B1">
          <w:rPr>
            <w:rStyle w:val="Hyperlink"/>
            <w:sz w:val="24"/>
          </w:rPr>
          <w:t>https://www.europarl.europa.eu/doceo/document/TA-9-2023-0295_DA.html</w:t>
        </w:r>
      </w:hyperlink>
      <w:r w:rsidRPr="007F78B1">
        <w:rPr>
          <w:sz w:val="24"/>
        </w:rPr>
        <w:tab/>
        <w:t>.</w:t>
      </w:r>
    </w:p>
  </w:footnote>
  <w:footnote w:id="12">
    <w:p w14:paraId="3602B7AD" w14:textId="3191F319" w:rsidR="008C38ED" w:rsidRPr="007F78B1" w:rsidRDefault="0005728C" w:rsidP="00C27C90">
      <w:pPr>
        <w:pStyle w:val="FootnoteText"/>
        <w:ind w:left="567" w:hanging="567"/>
      </w:pPr>
      <w:r w:rsidRPr="007F78B1">
        <w:rPr>
          <w:rStyle w:val="FootnoteReference"/>
        </w:rPr>
        <w:footnoteRef/>
      </w:r>
      <w:r w:rsidRPr="007F78B1">
        <w:tab/>
      </w:r>
      <w:r w:rsidRPr="007F78B1">
        <w:rPr>
          <w:sz w:val="24"/>
        </w:rPr>
        <w:t>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w:t>
      </w:r>
      <w:hyperlink r:id="rId12" w:tgtFrame="_blank" w:tooltip="Giver adgang til dokumentet via dets ELI-URI." w:history="1">
        <w:r w:rsidRPr="007F78B1">
          <w:rPr>
            <w:rStyle w:val="Hyperlink"/>
            <w:sz w:val="24"/>
          </w:rPr>
          <w:t>http://data.europa.eu/eli/reg/2024/1689/oj</w:t>
        </w:r>
      </w:hyperlink>
      <w:r w:rsidRPr="007F78B1">
        <w:rPr>
          <w:sz w:val="24"/>
        </w:rPr>
        <w:t>).</w:t>
      </w:r>
    </w:p>
  </w:footnote>
  <w:footnote w:id="13">
    <w:p w14:paraId="214D47D5" w14:textId="5CC3D510" w:rsidR="002A219B" w:rsidRPr="007F78B1" w:rsidRDefault="0005728C" w:rsidP="00C27C90">
      <w:pPr>
        <w:pStyle w:val="FootnoteText"/>
        <w:ind w:left="567" w:hanging="567"/>
        <w:rPr>
          <w:sz w:val="24"/>
          <w:szCs w:val="24"/>
        </w:rPr>
      </w:pPr>
      <w:r w:rsidRPr="007F78B1">
        <w:rPr>
          <w:rStyle w:val="FootnoteReference"/>
        </w:rPr>
        <w:footnoteRef/>
      </w:r>
      <w:r w:rsidRPr="007F78B1">
        <w:tab/>
      </w:r>
      <w:r w:rsidRPr="007F78B1">
        <w:rPr>
          <w:sz w:val="24"/>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w:t>
      </w:r>
      <w:hyperlink r:id="rId13" w:tooltip="Giver adgang til dokumentet via dets ELI-URI." w:history="1">
        <w:r w:rsidRPr="007F78B1">
          <w:rPr>
            <w:rStyle w:val="Hyperlink"/>
            <w:sz w:val="24"/>
          </w:rPr>
          <w:t>http://data.europa.eu/eli/reg/2018/1725/oj</w:t>
        </w:r>
      </w:hyperlink>
      <w:r w:rsidRPr="007F78B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AEE2D" w14:textId="77777777" w:rsidR="0005728C" w:rsidRDefault="000572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BFF3E" w14:textId="77777777" w:rsidR="0005728C" w:rsidRDefault="000572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1AB2B" w14:textId="77777777" w:rsidR="0005728C" w:rsidRDefault="000572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E05FE2"/>
    <w:multiLevelType w:val="hybridMultilevel"/>
    <w:tmpl w:val="BAA00C64"/>
    <w:lvl w:ilvl="0" w:tplc="737CDDCC">
      <w:start w:val="1"/>
      <w:numFmt w:val="decimal"/>
      <w:lvlText w:val="%1."/>
      <w:lvlJc w:val="left"/>
      <w:pPr>
        <w:ind w:left="720" w:hanging="360"/>
      </w:pPr>
      <w:rPr>
        <w:b w:val="0"/>
        <w:bCs w:val="0"/>
      </w:rPr>
    </w:lvl>
    <w:lvl w:ilvl="1" w:tplc="93E41D1E">
      <w:start w:val="1"/>
      <w:numFmt w:val="lowerLetter"/>
      <w:lvlText w:val="%2."/>
      <w:lvlJc w:val="left"/>
      <w:pPr>
        <w:ind w:left="1440" w:hanging="360"/>
      </w:pPr>
    </w:lvl>
    <w:lvl w:ilvl="2" w:tplc="7F0A1D88">
      <w:start w:val="1"/>
      <w:numFmt w:val="lowerRoman"/>
      <w:lvlText w:val="%3."/>
      <w:lvlJc w:val="right"/>
      <w:pPr>
        <w:ind w:left="2160" w:hanging="180"/>
      </w:pPr>
    </w:lvl>
    <w:lvl w:ilvl="3" w:tplc="5C48B190">
      <w:start w:val="1"/>
      <w:numFmt w:val="decimal"/>
      <w:lvlText w:val="%4."/>
      <w:lvlJc w:val="left"/>
      <w:pPr>
        <w:ind w:left="2880" w:hanging="360"/>
      </w:pPr>
    </w:lvl>
    <w:lvl w:ilvl="4" w:tplc="57C0B28C">
      <w:start w:val="1"/>
      <w:numFmt w:val="lowerLetter"/>
      <w:lvlText w:val="%5."/>
      <w:lvlJc w:val="left"/>
      <w:pPr>
        <w:ind w:left="3600" w:hanging="360"/>
      </w:pPr>
    </w:lvl>
    <w:lvl w:ilvl="5" w:tplc="515C9668">
      <w:start w:val="1"/>
      <w:numFmt w:val="lowerRoman"/>
      <w:lvlText w:val="%6."/>
      <w:lvlJc w:val="right"/>
      <w:pPr>
        <w:ind w:left="4320" w:hanging="180"/>
      </w:pPr>
    </w:lvl>
    <w:lvl w:ilvl="6" w:tplc="9D3EBD88">
      <w:start w:val="1"/>
      <w:numFmt w:val="decimal"/>
      <w:lvlText w:val="%7."/>
      <w:lvlJc w:val="left"/>
      <w:pPr>
        <w:ind w:left="5040" w:hanging="360"/>
      </w:pPr>
    </w:lvl>
    <w:lvl w:ilvl="7" w:tplc="C2EEA0D6">
      <w:start w:val="1"/>
      <w:numFmt w:val="lowerLetter"/>
      <w:lvlText w:val="%8."/>
      <w:lvlJc w:val="left"/>
      <w:pPr>
        <w:ind w:left="5760" w:hanging="360"/>
      </w:pPr>
    </w:lvl>
    <w:lvl w:ilvl="8" w:tplc="9908320E">
      <w:start w:val="1"/>
      <w:numFmt w:val="lowerRoman"/>
      <w:lvlText w:val="%9."/>
      <w:lvlJc w:val="right"/>
      <w:pPr>
        <w:ind w:left="6480" w:hanging="180"/>
      </w:pPr>
    </w:lvl>
  </w:abstractNum>
  <w:abstractNum w:abstractNumId="11" w15:restartNumberingAfterBreak="0">
    <w:nsid w:val="19091318"/>
    <w:multiLevelType w:val="hybridMultilevel"/>
    <w:tmpl w:val="143224D2"/>
    <w:lvl w:ilvl="0" w:tplc="E9EEF9F8">
      <w:start w:val="1"/>
      <w:numFmt w:val="upperLetter"/>
      <w:lvlText w:val="%1."/>
      <w:lvlJc w:val="left"/>
      <w:pPr>
        <w:tabs>
          <w:tab w:val="num" w:pos="360"/>
        </w:tabs>
        <w:ind w:left="360" w:hanging="360"/>
      </w:pPr>
      <w:rPr>
        <w:rFonts w:hint="default"/>
      </w:rPr>
    </w:lvl>
    <w:lvl w:ilvl="1" w:tplc="37C4BBB0" w:tentative="1">
      <w:start w:val="1"/>
      <w:numFmt w:val="lowerLetter"/>
      <w:lvlText w:val="%2."/>
      <w:lvlJc w:val="left"/>
      <w:pPr>
        <w:tabs>
          <w:tab w:val="num" w:pos="1080"/>
        </w:tabs>
        <w:ind w:left="1080" w:hanging="360"/>
      </w:pPr>
    </w:lvl>
    <w:lvl w:ilvl="2" w:tplc="BEE61BEE" w:tentative="1">
      <w:start w:val="1"/>
      <w:numFmt w:val="lowerRoman"/>
      <w:lvlText w:val="%3."/>
      <w:lvlJc w:val="right"/>
      <w:pPr>
        <w:tabs>
          <w:tab w:val="num" w:pos="1800"/>
        </w:tabs>
        <w:ind w:left="1800" w:hanging="180"/>
      </w:pPr>
    </w:lvl>
    <w:lvl w:ilvl="3" w:tplc="E304D428" w:tentative="1">
      <w:start w:val="1"/>
      <w:numFmt w:val="decimal"/>
      <w:lvlText w:val="%4."/>
      <w:lvlJc w:val="left"/>
      <w:pPr>
        <w:tabs>
          <w:tab w:val="num" w:pos="2520"/>
        </w:tabs>
        <w:ind w:left="2520" w:hanging="360"/>
      </w:pPr>
    </w:lvl>
    <w:lvl w:ilvl="4" w:tplc="7D76B956" w:tentative="1">
      <w:start w:val="1"/>
      <w:numFmt w:val="lowerLetter"/>
      <w:lvlText w:val="%5."/>
      <w:lvlJc w:val="left"/>
      <w:pPr>
        <w:tabs>
          <w:tab w:val="num" w:pos="3240"/>
        </w:tabs>
        <w:ind w:left="3240" w:hanging="360"/>
      </w:pPr>
    </w:lvl>
    <w:lvl w:ilvl="5" w:tplc="CF20A6D0" w:tentative="1">
      <w:start w:val="1"/>
      <w:numFmt w:val="lowerRoman"/>
      <w:lvlText w:val="%6."/>
      <w:lvlJc w:val="right"/>
      <w:pPr>
        <w:tabs>
          <w:tab w:val="num" w:pos="3960"/>
        </w:tabs>
        <w:ind w:left="3960" w:hanging="180"/>
      </w:pPr>
    </w:lvl>
    <w:lvl w:ilvl="6" w:tplc="FB94E4FC" w:tentative="1">
      <w:start w:val="1"/>
      <w:numFmt w:val="decimal"/>
      <w:lvlText w:val="%7."/>
      <w:lvlJc w:val="left"/>
      <w:pPr>
        <w:tabs>
          <w:tab w:val="num" w:pos="4680"/>
        </w:tabs>
        <w:ind w:left="4680" w:hanging="360"/>
      </w:pPr>
    </w:lvl>
    <w:lvl w:ilvl="7" w:tplc="2F009E60" w:tentative="1">
      <w:start w:val="1"/>
      <w:numFmt w:val="lowerLetter"/>
      <w:lvlText w:val="%8."/>
      <w:lvlJc w:val="left"/>
      <w:pPr>
        <w:tabs>
          <w:tab w:val="num" w:pos="5400"/>
        </w:tabs>
        <w:ind w:left="5400" w:hanging="360"/>
      </w:pPr>
    </w:lvl>
    <w:lvl w:ilvl="8" w:tplc="77346F58" w:tentative="1">
      <w:start w:val="1"/>
      <w:numFmt w:val="lowerRoman"/>
      <w:lvlText w:val="%9."/>
      <w:lvlJc w:val="right"/>
      <w:pPr>
        <w:tabs>
          <w:tab w:val="num" w:pos="6120"/>
        </w:tabs>
        <w:ind w:left="6120" w:hanging="180"/>
      </w:pPr>
    </w:lvl>
  </w:abstractNum>
  <w:abstractNum w:abstractNumId="12" w15:restartNumberingAfterBreak="0">
    <w:nsid w:val="462D6E49"/>
    <w:multiLevelType w:val="hybridMultilevel"/>
    <w:tmpl w:val="78B8CEFC"/>
    <w:lvl w:ilvl="0" w:tplc="7200FD38">
      <w:start w:val="1"/>
      <w:numFmt w:val="decimal"/>
      <w:lvlText w:val="%1."/>
      <w:lvlJc w:val="left"/>
      <w:pPr>
        <w:tabs>
          <w:tab w:val="num" w:pos="720"/>
        </w:tabs>
        <w:ind w:left="720" w:hanging="360"/>
      </w:pPr>
    </w:lvl>
    <w:lvl w:ilvl="1" w:tplc="E0C47B94" w:tentative="1">
      <w:start w:val="1"/>
      <w:numFmt w:val="lowerLetter"/>
      <w:lvlText w:val="%2."/>
      <w:lvlJc w:val="left"/>
      <w:pPr>
        <w:tabs>
          <w:tab w:val="num" w:pos="1440"/>
        </w:tabs>
        <w:ind w:left="1440" w:hanging="360"/>
      </w:pPr>
    </w:lvl>
    <w:lvl w:ilvl="2" w:tplc="659A4D2A" w:tentative="1">
      <w:start w:val="1"/>
      <w:numFmt w:val="lowerRoman"/>
      <w:lvlText w:val="%3."/>
      <w:lvlJc w:val="right"/>
      <w:pPr>
        <w:tabs>
          <w:tab w:val="num" w:pos="2160"/>
        </w:tabs>
        <w:ind w:left="2160" w:hanging="180"/>
      </w:pPr>
    </w:lvl>
    <w:lvl w:ilvl="3" w:tplc="C52A6826" w:tentative="1">
      <w:start w:val="1"/>
      <w:numFmt w:val="decimal"/>
      <w:lvlText w:val="%4."/>
      <w:lvlJc w:val="left"/>
      <w:pPr>
        <w:tabs>
          <w:tab w:val="num" w:pos="2880"/>
        </w:tabs>
        <w:ind w:left="2880" w:hanging="360"/>
      </w:pPr>
    </w:lvl>
    <w:lvl w:ilvl="4" w:tplc="D864178E" w:tentative="1">
      <w:start w:val="1"/>
      <w:numFmt w:val="lowerLetter"/>
      <w:lvlText w:val="%5."/>
      <w:lvlJc w:val="left"/>
      <w:pPr>
        <w:tabs>
          <w:tab w:val="num" w:pos="3600"/>
        </w:tabs>
        <w:ind w:left="3600" w:hanging="360"/>
      </w:pPr>
    </w:lvl>
    <w:lvl w:ilvl="5" w:tplc="29423692" w:tentative="1">
      <w:start w:val="1"/>
      <w:numFmt w:val="lowerRoman"/>
      <w:lvlText w:val="%6."/>
      <w:lvlJc w:val="right"/>
      <w:pPr>
        <w:tabs>
          <w:tab w:val="num" w:pos="4320"/>
        </w:tabs>
        <w:ind w:left="4320" w:hanging="180"/>
      </w:pPr>
    </w:lvl>
    <w:lvl w:ilvl="6" w:tplc="E8E681F2" w:tentative="1">
      <w:start w:val="1"/>
      <w:numFmt w:val="decimal"/>
      <w:lvlText w:val="%7."/>
      <w:lvlJc w:val="left"/>
      <w:pPr>
        <w:tabs>
          <w:tab w:val="num" w:pos="5040"/>
        </w:tabs>
        <w:ind w:left="5040" w:hanging="360"/>
      </w:pPr>
    </w:lvl>
    <w:lvl w:ilvl="7" w:tplc="A2CE422C" w:tentative="1">
      <w:start w:val="1"/>
      <w:numFmt w:val="lowerLetter"/>
      <w:lvlText w:val="%8."/>
      <w:lvlJc w:val="left"/>
      <w:pPr>
        <w:tabs>
          <w:tab w:val="num" w:pos="5760"/>
        </w:tabs>
        <w:ind w:left="5760" w:hanging="360"/>
      </w:pPr>
    </w:lvl>
    <w:lvl w:ilvl="8" w:tplc="0A0CF12A" w:tentative="1">
      <w:start w:val="1"/>
      <w:numFmt w:val="lowerRoman"/>
      <w:lvlText w:val="%9."/>
      <w:lvlJc w:val="right"/>
      <w:pPr>
        <w:tabs>
          <w:tab w:val="num" w:pos="6480"/>
        </w:tabs>
        <w:ind w:left="6480" w:hanging="180"/>
      </w:pPr>
    </w:lvl>
  </w:abstractNum>
  <w:abstractNum w:abstractNumId="13" w15:restartNumberingAfterBreak="0">
    <w:nsid w:val="500B6A11"/>
    <w:multiLevelType w:val="hybridMultilevel"/>
    <w:tmpl w:val="C716338C"/>
    <w:lvl w:ilvl="0" w:tplc="14EC0352">
      <w:start w:val="3"/>
      <w:numFmt w:val="decimal"/>
      <w:lvlText w:val="%1."/>
      <w:lvlJc w:val="left"/>
      <w:pPr>
        <w:ind w:left="720" w:hanging="360"/>
      </w:pPr>
      <w:rPr>
        <w:rFonts w:hint="default"/>
      </w:rPr>
    </w:lvl>
    <w:lvl w:ilvl="1" w:tplc="DB2CDE7C" w:tentative="1">
      <w:start w:val="1"/>
      <w:numFmt w:val="lowerLetter"/>
      <w:lvlText w:val="%2."/>
      <w:lvlJc w:val="left"/>
      <w:pPr>
        <w:ind w:left="1440" w:hanging="360"/>
      </w:pPr>
    </w:lvl>
    <w:lvl w:ilvl="2" w:tplc="EE0600A6" w:tentative="1">
      <w:start w:val="1"/>
      <w:numFmt w:val="lowerRoman"/>
      <w:lvlText w:val="%3."/>
      <w:lvlJc w:val="right"/>
      <w:pPr>
        <w:ind w:left="2160" w:hanging="180"/>
      </w:pPr>
    </w:lvl>
    <w:lvl w:ilvl="3" w:tplc="2F0C5C44" w:tentative="1">
      <w:start w:val="1"/>
      <w:numFmt w:val="decimal"/>
      <w:lvlText w:val="%4."/>
      <w:lvlJc w:val="left"/>
      <w:pPr>
        <w:ind w:left="2880" w:hanging="360"/>
      </w:pPr>
    </w:lvl>
    <w:lvl w:ilvl="4" w:tplc="0ADE5CFA" w:tentative="1">
      <w:start w:val="1"/>
      <w:numFmt w:val="lowerLetter"/>
      <w:lvlText w:val="%5."/>
      <w:lvlJc w:val="left"/>
      <w:pPr>
        <w:ind w:left="3600" w:hanging="360"/>
      </w:pPr>
    </w:lvl>
    <w:lvl w:ilvl="5" w:tplc="6254CAA6" w:tentative="1">
      <w:start w:val="1"/>
      <w:numFmt w:val="lowerRoman"/>
      <w:lvlText w:val="%6."/>
      <w:lvlJc w:val="right"/>
      <w:pPr>
        <w:ind w:left="4320" w:hanging="180"/>
      </w:pPr>
    </w:lvl>
    <w:lvl w:ilvl="6" w:tplc="DB060B34" w:tentative="1">
      <w:start w:val="1"/>
      <w:numFmt w:val="decimal"/>
      <w:lvlText w:val="%7."/>
      <w:lvlJc w:val="left"/>
      <w:pPr>
        <w:ind w:left="5040" w:hanging="360"/>
      </w:pPr>
    </w:lvl>
    <w:lvl w:ilvl="7" w:tplc="1A2A1A04" w:tentative="1">
      <w:start w:val="1"/>
      <w:numFmt w:val="lowerLetter"/>
      <w:lvlText w:val="%8."/>
      <w:lvlJc w:val="left"/>
      <w:pPr>
        <w:ind w:left="5760" w:hanging="360"/>
      </w:pPr>
    </w:lvl>
    <w:lvl w:ilvl="8" w:tplc="60ECC4F2" w:tentative="1">
      <w:start w:val="1"/>
      <w:numFmt w:val="lowerRoman"/>
      <w:lvlText w:val="%9."/>
      <w:lvlJc w:val="right"/>
      <w:pPr>
        <w:ind w:left="6480" w:hanging="180"/>
      </w:pPr>
    </w:lvl>
  </w:abstractNum>
  <w:abstractNum w:abstractNumId="14" w15:restartNumberingAfterBreak="0">
    <w:nsid w:val="796444FF"/>
    <w:multiLevelType w:val="hybridMultilevel"/>
    <w:tmpl w:val="72C43F7A"/>
    <w:lvl w:ilvl="0" w:tplc="966E7C8E">
      <w:start w:val="1"/>
      <w:numFmt w:val="upperLetter"/>
      <w:lvlText w:val="%1."/>
      <w:lvlJc w:val="left"/>
      <w:pPr>
        <w:ind w:left="570" w:hanging="570"/>
      </w:pPr>
    </w:lvl>
    <w:lvl w:ilvl="1" w:tplc="CFF6A868">
      <w:start w:val="1"/>
      <w:numFmt w:val="lowerLetter"/>
      <w:lvlText w:val="%2."/>
      <w:lvlJc w:val="left"/>
      <w:pPr>
        <w:ind w:left="1080" w:hanging="360"/>
      </w:pPr>
    </w:lvl>
    <w:lvl w:ilvl="2" w:tplc="30768AE4">
      <w:start w:val="1"/>
      <w:numFmt w:val="lowerRoman"/>
      <w:lvlText w:val="%3."/>
      <w:lvlJc w:val="right"/>
      <w:pPr>
        <w:ind w:left="1800" w:hanging="180"/>
      </w:pPr>
    </w:lvl>
    <w:lvl w:ilvl="3" w:tplc="E14E2390">
      <w:start w:val="1"/>
      <w:numFmt w:val="decimal"/>
      <w:lvlText w:val="%4."/>
      <w:lvlJc w:val="left"/>
      <w:pPr>
        <w:ind w:left="2520" w:hanging="360"/>
      </w:pPr>
    </w:lvl>
    <w:lvl w:ilvl="4" w:tplc="9AE4C374">
      <w:start w:val="1"/>
      <w:numFmt w:val="lowerLetter"/>
      <w:lvlText w:val="%5."/>
      <w:lvlJc w:val="left"/>
      <w:pPr>
        <w:ind w:left="3240" w:hanging="360"/>
      </w:pPr>
    </w:lvl>
    <w:lvl w:ilvl="5" w:tplc="B14672FA">
      <w:start w:val="1"/>
      <w:numFmt w:val="lowerRoman"/>
      <w:lvlText w:val="%6."/>
      <w:lvlJc w:val="right"/>
      <w:pPr>
        <w:ind w:left="3960" w:hanging="180"/>
      </w:pPr>
    </w:lvl>
    <w:lvl w:ilvl="6" w:tplc="5DF4B8BE">
      <w:start w:val="1"/>
      <w:numFmt w:val="decimal"/>
      <w:lvlText w:val="%7."/>
      <w:lvlJc w:val="left"/>
      <w:pPr>
        <w:ind w:left="4680" w:hanging="360"/>
      </w:pPr>
    </w:lvl>
    <w:lvl w:ilvl="7" w:tplc="08DC198E">
      <w:start w:val="1"/>
      <w:numFmt w:val="lowerLetter"/>
      <w:lvlText w:val="%8."/>
      <w:lvlJc w:val="left"/>
      <w:pPr>
        <w:ind w:left="5400" w:hanging="360"/>
      </w:pPr>
    </w:lvl>
    <w:lvl w:ilvl="8" w:tplc="9E967BE0">
      <w:start w:val="1"/>
      <w:numFmt w:val="lowerRoman"/>
      <w:lvlText w:val="%9."/>
      <w:lvlJc w:val="right"/>
      <w:pPr>
        <w:ind w:left="6120" w:hanging="180"/>
      </w:pPr>
    </w:lvl>
  </w:abstractNum>
  <w:num w:numId="1" w16cid:durableId="98919469">
    <w:abstractNumId w:val="9"/>
  </w:num>
  <w:num w:numId="2" w16cid:durableId="1927880168">
    <w:abstractNumId w:val="9"/>
  </w:num>
  <w:num w:numId="3" w16cid:durableId="1353805619">
    <w:abstractNumId w:val="7"/>
  </w:num>
  <w:num w:numId="4" w16cid:durableId="62262854">
    <w:abstractNumId w:val="7"/>
  </w:num>
  <w:num w:numId="5" w16cid:durableId="1466703565">
    <w:abstractNumId w:val="6"/>
  </w:num>
  <w:num w:numId="6" w16cid:durableId="1419601004">
    <w:abstractNumId w:val="6"/>
  </w:num>
  <w:num w:numId="7" w16cid:durableId="370687217">
    <w:abstractNumId w:val="5"/>
  </w:num>
  <w:num w:numId="8" w16cid:durableId="1146900293">
    <w:abstractNumId w:val="5"/>
  </w:num>
  <w:num w:numId="9" w16cid:durableId="627130523">
    <w:abstractNumId w:val="4"/>
  </w:num>
  <w:num w:numId="10" w16cid:durableId="339508539">
    <w:abstractNumId w:val="4"/>
  </w:num>
  <w:num w:numId="11" w16cid:durableId="1139614792">
    <w:abstractNumId w:val="8"/>
  </w:num>
  <w:num w:numId="12" w16cid:durableId="1778406637">
    <w:abstractNumId w:val="8"/>
  </w:num>
  <w:num w:numId="13" w16cid:durableId="1499886763">
    <w:abstractNumId w:val="3"/>
  </w:num>
  <w:num w:numId="14" w16cid:durableId="1401825622">
    <w:abstractNumId w:val="3"/>
  </w:num>
  <w:num w:numId="15" w16cid:durableId="89738947">
    <w:abstractNumId w:val="2"/>
  </w:num>
  <w:num w:numId="16" w16cid:durableId="1842548581">
    <w:abstractNumId w:val="2"/>
  </w:num>
  <w:num w:numId="17" w16cid:durableId="538472400">
    <w:abstractNumId w:val="1"/>
  </w:num>
  <w:num w:numId="18" w16cid:durableId="1071268759">
    <w:abstractNumId w:val="1"/>
  </w:num>
  <w:num w:numId="19" w16cid:durableId="2114744334">
    <w:abstractNumId w:val="0"/>
  </w:num>
  <w:num w:numId="20" w16cid:durableId="1481650883">
    <w:abstractNumId w:val="0"/>
  </w:num>
  <w:num w:numId="21" w16cid:durableId="1072771869">
    <w:abstractNumId w:val="9"/>
  </w:num>
  <w:num w:numId="22" w16cid:durableId="515192439">
    <w:abstractNumId w:val="7"/>
  </w:num>
  <w:num w:numId="23" w16cid:durableId="986860014">
    <w:abstractNumId w:val="6"/>
  </w:num>
  <w:num w:numId="24" w16cid:durableId="746538761">
    <w:abstractNumId w:val="5"/>
  </w:num>
  <w:num w:numId="25" w16cid:durableId="49812860">
    <w:abstractNumId w:val="4"/>
  </w:num>
  <w:num w:numId="26" w16cid:durableId="4019966">
    <w:abstractNumId w:val="8"/>
  </w:num>
  <w:num w:numId="27" w16cid:durableId="857700551">
    <w:abstractNumId w:val="3"/>
  </w:num>
  <w:num w:numId="28" w16cid:durableId="1827815402">
    <w:abstractNumId w:val="2"/>
  </w:num>
  <w:num w:numId="29" w16cid:durableId="729420882">
    <w:abstractNumId w:val="1"/>
  </w:num>
  <w:num w:numId="30" w16cid:durableId="976180773">
    <w:abstractNumId w:val="0"/>
  </w:num>
  <w:num w:numId="31" w16cid:durableId="833111289">
    <w:abstractNumId w:val="9"/>
  </w:num>
  <w:num w:numId="32" w16cid:durableId="846092237">
    <w:abstractNumId w:val="7"/>
  </w:num>
  <w:num w:numId="33" w16cid:durableId="1703751073">
    <w:abstractNumId w:val="6"/>
  </w:num>
  <w:num w:numId="34" w16cid:durableId="901906865">
    <w:abstractNumId w:val="5"/>
  </w:num>
  <w:num w:numId="35" w16cid:durableId="40326355">
    <w:abstractNumId w:val="4"/>
  </w:num>
  <w:num w:numId="36" w16cid:durableId="397896673">
    <w:abstractNumId w:val="8"/>
  </w:num>
  <w:num w:numId="37" w16cid:durableId="1573735479">
    <w:abstractNumId w:val="3"/>
  </w:num>
  <w:num w:numId="38" w16cid:durableId="1355419012">
    <w:abstractNumId w:val="2"/>
  </w:num>
  <w:num w:numId="39" w16cid:durableId="1263301707">
    <w:abstractNumId w:val="1"/>
  </w:num>
  <w:num w:numId="40" w16cid:durableId="1984768209">
    <w:abstractNumId w:val="0"/>
  </w:num>
  <w:num w:numId="41" w16cid:durableId="221140009">
    <w:abstractNumId w:val="12"/>
  </w:num>
  <w:num w:numId="42" w16cid:durableId="448011062">
    <w:abstractNumId w:val="11"/>
  </w:num>
  <w:num w:numId="43" w16cid:durableId="5338847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77752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59293125">
    <w:abstractNumId w:val="10"/>
  </w:num>
  <w:num w:numId="46" w16cid:durableId="18921074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DITSMNU" w:val=" 1"/>
    <w:docVar w:name="CITMNU" w:val=" 2"/>
    <w:docVar w:name="CopyToNetwork" w:val="-1"/>
    <w:docVar w:name="DECISIONMNU" w:val=" 3"/>
    <w:docVar w:name="FN1DT" w:val="..."/>
    <w:docVar w:name="FN2DT" w:val="..."/>
    <w:docVar w:name="FN3DT" w:val="..."/>
    <w:docVar w:name="FN4DT" w:val="..."/>
    <w:docVar w:name="FNACCMNU" w:val=" 1"/>
    <w:docVar w:name="FNANNREPMNU" w:val=" 1"/>
    <w:docVar w:name="FNSTATMNU" w:val=" 1"/>
    <w:docVar w:name="LastEditedSection" w:val=" 2"/>
    <w:docVar w:name="LETTERSMNU" w:val=" 3"/>
    <w:docVar w:name="NRAUDITSMNU" w:val=" 2"/>
    <w:docVar w:name="OPINIONSMNU" w:val=" 3"/>
    <w:docVar w:name="strDocTypeID" w:val="PR_DEC_Other"/>
    <w:docVar w:name="strSubDir" w:val="1328"/>
    <w:docVar w:name="TITLEMNU" w:val=" 6"/>
    <w:docVar w:name="TXTBUDYEAR" w:val="2024"/>
    <w:docVar w:name="TXTFN1" w:val="…"/>
    <w:docVar w:name="TXTFN2" w:val="…"/>
    <w:docVar w:name="TXTFN3" w:val="…"/>
    <w:docVar w:name="TXTFN4" w:val="..."/>
    <w:docVar w:name="TXTFNELI1" w:val="…"/>
    <w:docVar w:name="TXTFNELI2" w:val="…"/>
    <w:docVar w:name="TXTFNELI3" w:val="…"/>
    <w:docVar w:name="TXTFNELI4" w:val="…"/>
    <w:docVar w:name="TXTLANGUE" w:val="EN"/>
    <w:docVar w:name="TXTLANGUEMIN" w:val="en"/>
    <w:docVar w:name="TXTNRCACCOUNTS" w:val="0153/2025"/>
    <w:docVar w:name="TXTNRCOMACCOUNTS" w:val="(2025)0359"/>
    <w:docVar w:name="TXTNRDEC" w:val="2025/2153"/>
    <w:docVar w:name="TXTNRPE" w:val="778.065"/>
    <w:docVar w:name="TXTPEorAP" w:val="PE"/>
    <w:docVar w:name="TXTROUTE" w:val="PR\1328494EN.docx"/>
    <w:docVar w:name="TXTVERSION" w:val="01-00"/>
  </w:docVars>
  <w:rsids>
    <w:rsidRoot w:val="008439BF"/>
    <w:rsid w:val="00001196"/>
    <w:rsid w:val="00010791"/>
    <w:rsid w:val="00013AF4"/>
    <w:rsid w:val="00052105"/>
    <w:rsid w:val="0005728C"/>
    <w:rsid w:val="00065488"/>
    <w:rsid w:val="00087E6E"/>
    <w:rsid w:val="00090E0B"/>
    <w:rsid w:val="00091455"/>
    <w:rsid w:val="0009600E"/>
    <w:rsid w:val="000A3E33"/>
    <w:rsid w:val="000B2D82"/>
    <w:rsid w:val="000B47E5"/>
    <w:rsid w:val="000B79F8"/>
    <w:rsid w:val="000D1B54"/>
    <w:rsid w:val="000E1400"/>
    <w:rsid w:val="000E3372"/>
    <w:rsid w:val="000F21B7"/>
    <w:rsid w:val="001007BC"/>
    <w:rsid w:val="0010430C"/>
    <w:rsid w:val="00105DFB"/>
    <w:rsid w:val="001108B7"/>
    <w:rsid w:val="00112332"/>
    <w:rsid w:val="0011751B"/>
    <w:rsid w:val="0012398B"/>
    <w:rsid w:val="00126B74"/>
    <w:rsid w:val="0013079A"/>
    <w:rsid w:val="00131E29"/>
    <w:rsid w:val="00132F6B"/>
    <w:rsid w:val="001352A5"/>
    <w:rsid w:val="001357AF"/>
    <w:rsid w:val="00144405"/>
    <w:rsid w:val="001467E3"/>
    <w:rsid w:val="00151DC7"/>
    <w:rsid w:val="0015711A"/>
    <w:rsid w:val="00162ABF"/>
    <w:rsid w:val="001668F2"/>
    <w:rsid w:val="0017186D"/>
    <w:rsid w:val="00182C28"/>
    <w:rsid w:val="00186FA3"/>
    <w:rsid w:val="001A169C"/>
    <w:rsid w:val="001B1C8A"/>
    <w:rsid w:val="001B4494"/>
    <w:rsid w:val="001C00A1"/>
    <w:rsid w:val="001C2343"/>
    <w:rsid w:val="001D308F"/>
    <w:rsid w:val="001D772F"/>
    <w:rsid w:val="001E59E6"/>
    <w:rsid w:val="001E788E"/>
    <w:rsid w:val="001F353F"/>
    <w:rsid w:val="00204095"/>
    <w:rsid w:val="002046D7"/>
    <w:rsid w:val="00205E89"/>
    <w:rsid w:val="00211D2B"/>
    <w:rsid w:val="00214755"/>
    <w:rsid w:val="00216504"/>
    <w:rsid w:val="00236324"/>
    <w:rsid w:val="00266373"/>
    <w:rsid w:val="00267483"/>
    <w:rsid w:val="00270C1D"/>
    <w:rsid w:val="002724BE"/>
    <w:rsid w:val="00274EC3"/>
    <w:rsid w:val="00275BFA"/>
    <w:rsid w:val="00283FE6"/>
    <w:rsid w:val="002A219B"/>
    <w:rsid w:val="002B3895"/>
    <w:rsid w:val="002B55B8"/>
    <w:rsid w:val="002C5CE7"/>
    <w:rsid w:val="002E5BAF"/>
    <w:rsid w:val="002F02EC"/>
    <w:rsid w:val="002F2DEE"/>
    <w:rsid w:val="002F5BA8"/>
    <w:rsid w:val="002F6844"/>
    <w:rsid w:val="0030384E"/>
    <w:rsid w:val="00311353"/>
    <w:rsid w:val="003117CD"/>
    <w:rsid w:val="00327718"/>
    <w:rsid w:val="00331AAC"/>
    <w:rsid w:val="00337B15"/>
    <w:rsid w:val="00341893"/>
    <w:rsid w:val="00351A14"/>
    <w:rsid w:val="003522F6"/>
    <w:rsid w:val="00357A67"/>
    <w:rsid w:val="00363ED2"/>
    <w:rsid w:val="00365683"/>
    <w:rsid w:val="003672FF"/>
    <w:rsid w:val="0037635E"/>
    <w:rsid w:val="003768EE"/>
    <w:rsid w:val="003A4FBE"/>
    <w:rsid w:val="003B0493"/>
    <w:rsid w:val="003B2A96"/>
    <w:rsid w:val="003B4B04"/>
    <w:rsid w:val="003B5094"/>
    <w:rsid w:val="003B78DF"/>
    <w:rsid w:val="003B7E29"/>
    <w:rsid w:val="003C3ECF"/>
    <w:rsid w:val="003C7D3D"/>
    <w:rsid w:val="003E3994"/>
    <w:rsid w:val="003E6BC5"/>
    <w:rsid w:val="003E796F"/>
    <w:rsid w:val="003F0E64"/>
    <w:rsid w:val="003F21B5"/>
    <w:rsid w:val="00411472"/>
    <w:rsid w:val="00415AA6"/>
    <w:rsid w:val="00420F59"/>
    <w:rsid w:val="004236AE"/>
    <w:rsid w:val="00423FB8"/>
    <w:rsid w:val="00427864"/>
    <w:rsid w:val="00451472"/>
    <w:rsid w:val="00463A7B"/>
    <w:rsid w:val="00481C81"/>
    <w:rsid w:val="00494C6C"/>
    <w:rsid w:val="004A01FD"/>
    <w:rsid w:val="004A51F2"/>
    <w:rsid w:val="004B5F9F"/>
    <w:rsid w:val="004D13BA"/>
    <w:rsid w:val="004E33C4"/>
    <w:rsid w:val="004F3551"/>
    <w:rsid w:val="00501BF5"/>
    <w:rsid w:val="005129E8"/>
    <w:rsid w:val="00512C34"/>
    <w:rsid w:val="0052327B"/>
    <w:rsid w:val="005238D4"/>
    <w:rsid w:val="005250F0"/>
    <w:rsid w:val="00536896"/>
    <w:rsid w:val="00540DB0"/>
    <w:rsid w:val="00541105"/>
    <w:rsid w:val="005413F7"/>
    <w:rsid w:val="00541A35"/>
    <w:rsid w:val="0054218B"/>
    <w:rsid w:val="00542DA1"/>
    <w:rsid w:val="005436B6"/>
    <w:rsid w:val="0054776B"/>
    <w:rsid w:val="00550BE5"/>
    <w:rsid w:val="005558BC"/>
    <w:rsid w:val="00560B05"/>
    <w:rsid w:val="00561FB3"/>
    <w:rsid w:val="00574AAE"/>
    <w:rsid w:val="00576217"/>
    <w:rsid w:val="005767A4"/>
    <w:rsid w:val="005B2950"/>
    <w:rsid w:val="005B4934"/>
    <w:rsid w:val="005F4606"/>
    <w:rsid w:val="005F7B1E"/>
    <w:rsid w:val="006049C5"/>
    <w:rsid w:val="0060771C"/>
    <w:rsid w:val="00613ADD"/>
    <w:rsid w:val="00614497"/>
    <w:rsid w:val="00617ACB"/>
    <w:rsid w:val="006314A1"/>
    <w:rsid w:val="0063324A"/>
    <w:rsid w:val="00657FD6"/>
    <w:rsid w:val="00667F14"/>
    <w:rsid w:val="00682DC4"/>
    <w:rsid w:val="006A0BDF"/>
    <w:rsid w:val="006A3D0F"/>
    <w:rsid w:val="006B0ED0"/>
    <w:rsid w:val="006B5187"/>
    <w:rsid w:val="006C29E9"/>
    <w:rsid w:val="006C7292"/>
    <w:rsid w:val="006D458A"/>
    <w:rsid w:val="006D45C7"/>
    <w:rsid w:val="006E4143"/>
    <w:rsid w:val="006F0EFC"/>
    <w:rsid w:val="006F3199"/>
    <w:rsid w:val="006F3C2D"/>
    <w:rsid w:val="006F7B5A"/>
    <w:rsid w:val="00704939"/>
    <w:rsid w:val="00713FB6"/>
    <w:rsid w:val="0071601A"/>
    <w:rsid w:val="007253DA"/>
    <w:rsid w:val="00734A9C"/>
    <w:rsid w:val="00754899"/>
    <w:rsid w:val="00757A68"/>
    <w:rsid w:val="00762004"/>
    <w:rsid w:val="00764C1D"/>
    <w:rsid w:val="007657E9"/>
    <w:rsid w:val="00770631"/>
    <w:rsid w:val="007707A8"/>
    <w:rsid w:val="00771BB9"/>
    <w:rsid w:val="007A2F79"/>
    <w:rsid w:val="007B23DE"/>
    <w:rsid w:val="007B266A"/>
    <w:rsid w:val="007B73FE"/>
    <w:rsid w:val="007E6D17"/>
    <w:rsid w:val="007F1AA7"/>
    <w:rsid w:val="007F78B1"/>
    <w:rsid w:val="008012D5"/>
    <w:rsid w:val="008108A8"/>
    <w:rsid w:val="00811622"/>
    <w:rsid w:val="008136AA"/>
    <w:rsid w:val="00826E2C"/>
    <w:rsid w:val="00833FBE"/>
    <w:rsid w:val="00840EEC"/>
    <w:rsid w:val="008439BF"/>
    <w:rsid w:val="00854299"/>
    <w:rsid w:val="00863546"/>
    <w:rsid w:val="00874303"/>
    <w:rsid w:val="0088660D"/>
    <w:rsid w:val="00894319"/>
    <w:rsid w:val="00895F7F"/>
    <w:rsid w:val="008A1699"/>
    <w:rsid w:val="008A1FFF"/>
    <w:rsid w:val="008A4DC4"/>
    <w:rsid w:val="008B6E87"/>
    <w:rsid w:val="008C38ED"/>
    <w:rsid w:val="008C7A1D"/>
    <w:rsid w:val="008F33CD"/>
    <w:rsid w:val="00900F2B"/>
    <w:rsid w:val="0090499A"/>
    <w:rsid w:val="00905D76"/>
    <w:rsid w:val="009144E3"/>
    <w:rsid w:val="00922C62"/>
    <w:rsid w:val="009340B6"/>
    <w:rsid w:val="00941DA6"/>
    <w:rsid w:val="00946CEB"/>
    <w:rsid w:val="009473BA"/>
    <w:rsid w:val="00947CA3"/>
    <w:rsid w:val="00956594"/>
    <w:rsid w:val="0096486F"/>
    <w:rsid w:val="00966BD2"/>
    <w:rsid w:val="00976983"/>
    <w:rsid w:val="009807D1"/>
    <w:rsid w:val="00985DA6"/>
    <w:rsid w:val="00990036"/>
    <w:rsid w:val="009A3DD5"/>
    <w:rsid w:val="009A6CA3"/>
    <w:rsid w:val="009B237E"/>
    <w:rsid w:val="009B43DC"/>
    <w:rsid w:val="009B5E1A"/>
    <w:rsid w:val="009D0305"/>
    <w:rsid w:val="009D0D17"/>
    <w:rsid w:val="009D1D8B"/>
    <w:rsid w:val="009E0BC2"/>
    <w:rsid w:val="009F5DC7"/>
    <w:rsid w:val="00A10844"/>
    <w:rsid w:val="00A14816"/>
    <w:rsid w:val="00A173D2"/>
    <w:rsid w:val="00A174F9"/>
    <w:rsid w:val="00A24B04"/>
    <w:rsid w:val="00A418FE"/>
    <w:rsid w:val="00A42CC2"/>
    <w:rsid w:val="00A46D0A"/>
    <w:rsid w:val="00A47299"/>
    <w:rsid w:val="00A647CC"/>
    <w:rsid w:val="00A66C68"/>
    <w:rsid w:val="00A800D5"/>
    <w:rsid w:val="00A97A9A"/>
    <w:rsid w:val="00AA0B08"/>
    <w:rsid w:val="00AA1895"/>
    <w:rsid w:val="00AA60FF"/>
    <w:rsid w:val="00AA65EF"/>
    <w:rsid w:val="00AB2E51"/>
    <w:rsid w:val="00AB4789"/>
    <w:rsid w:val="00AC25A9"/>
    <w:rsid w:val="00AC3A3D"/>
    <w:rsid w:val="00AC504B"/>
    <w:rsid w:val="00AC7CAD"/>
    <w:rsid w:val="00AD0E2A"/>
    <w:rsid w:val="00AD4FD5"/>
    <w:rsid w:val="00AD5902"/>
    <w:rsid w:val="00AF1439"/>
    <w:rsid w:val="00B0084D"/>
    <w:rsid w:val="00B24107"/>
    <w:rsid w:val="00B60C4B"/>
    <w:rsid w:val="00B62BB9"/>
    <w:rsid w:val="00B73CC7"/>
    <w:rsid w:val="00BA4EBA"/>
    <w:rsid w:val="00BC6B9D"/>
    <w:rsid w:val="00BD13C4"/>
    <w:rsid w:val="00BD22E5"/>
    <w:rsid w:val="00BD7AAA"/>
    <w:rsid w:val="00BF0771"/>
    <w:rsid w:val="00C04D50"/>
    <w:rsid w:val="00C1531C"/>
    <w:rsid w:val="00C15504"/>
    <w:rsid w:val="00C16AE0"/>
    <w:rsid w:val="00C16DCB"/>
    <w:rsid w:val="00C23D00"/>
    <w:rsid w:val="00C27763"/>
    <w:rsid w:val="00C27C90"/>
    <w:rsid w:val="00C37A33"/>
    <w:rsid w:val="00C40993"/>
    <w:rsid w:val="00C41BF0"/>
    <w:rsid w:val="00C55E47"/>
    <w:rsid w:val="00C56953"/>
    <w:rsid w:val="00C607B5"/>
    <w:rsid w:val="00C63401"/>
    <w:rsid w:val="00C65EF7"/>
    <w:rsid w:val="00C679B7"/>
    <w:rsid w:val="00C76908"/>
    <w:rsid w:val="00C8216F"/>
    <w:rsid w:val="00C85907"/>
    <w:rsid w:val="00C85D0F"/>
    <w:rsid w:val="00C878BC"/>
    <w:rsid w:val="00C93BF7"/>
    <w:rsid w:val="00CC6442"/>
    <w:rsid w:val="00CD0FFA"/>
    <w:rsid w:val="00D05CBA"/>
    <w:rsid w:val="00D20EAD"/>
    <w:rsid w:val="00D25E31"/>
    <w:rsid w:val="00D30345"/>
    <w:rsid w:val="00D30D36"/>
    <w:rsid w:val="00D3453C"/>
    <w:rsid w:val="00D3662E"/>
    <w:rsid w:val="00D55124"/>
    <w:rsid w:val="00D56923"/>
    <w:rsid w:val="00D722B4"/>
    <w:rsid w:val="00D72377"/>
    <w:rsid w:val="00D72E20"/>
    <w:rsid w:val="00D73744"/>
    <w:rsid w:val="00D74CC3"/>
    <w:rsid w:val="00D77214"/>
    <w:rsid w:val="00D9070D"/>
    <w:rsid w:val="00D94B43"/>
    <w:rsid w:val="00D9590C"/>
    <w:rsid w:val="00DA1299"/>
    <w:rsid w:val="00DB5D3A"/>
    <w:rsid w:val="00DC3829"/>
    <w:rsid w:val="00DD1CEB"/>
    <w:rsid w:val="00DD558A"/>
    <w:rsid w:val="00DD61C4"/>
    <w:rsid w:val="00DE1E04"/>
    <w:rsid w:val="00DE2283"/>
    <w:rsid w:val="00DF3BB7"/>
    <w:rsid w:val="00E01615"/>
    <w:rsid w:val="00E02A5C"/>
    <w:rsid w:val="00E04215"/>
    <w:rsid w:val="00E047E6"/>
    <w:rsid w:val="00E04CED"/>
    <w:rsid w:val="00E10F0E"/>
    <w:rsid w:val="00E120FD"/>
    <w:rsid w:val="00E20528"/>
    <w:rsid w:val="00E2227C"/>
    <w:rsid w:val="00E2282B"/>
    <w:rsid w:val="00E23629"/>
    <w:rsid w:val="00E43F1A"/>
    <w:rsid w:val="00E80B81"/>
    <w:rsid w:val="00E83D3B"/>
    <w:rsid w:val="00E87A36"/>
    <w:rsid w:val="00E941A3"/>
    <w:rsid w:val="00E96FCD"/>
    <w:rsid w:val="00EA235C"/>
    <w:rsid w:val="00EA6DA2"/>
    <w:rsid w:val="00EA73D7"/>
    <w:rsid w:val="00ED2E3C"/>
    <w:rsid w:val="00EE0FB6"/>
    <w:rsid w:val="00EE193C"/>
    <w:rsid w:val="00EF01BB"/>
    <w:rsid w:val="00EF28D7"/>
    <w:rsid w:val="00EF54F8"/>
    <w:rsid w:val="00EF5EA7"/>
    <w:rsid w:val="00F02D1B"/>
    <w:rsid w:val="00F055DA"/>
    <w:rsid w:val="00F21C7F"/>
    <w:rsid w:val="00F34E68"/>
    <w:rsid w:val="00F425B8"/>
    <w:rsid w:val="00F426AA"/>
    <w:rsid w:val="00F43F1E"/>
    <w:rsid w:val="00F6652F"/>
    <w:rsid w:val="00F80114"/>
    <w:rsid w:val="00F828BD"/>
    <w:rsid w:val="00F9137D"/>
    <w:rsid w:val="00F9531F"/>
    <w:rsid w:val="00FB4745"/>
    <w:rsid w:val="00FD18F9"/>
    <w:rsid w:val="00FF355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2B4AA"/>
  <w15:chartTrackingRefBased/>
  <w15:docId w15:val="{2324266B-8D19-48EB-8FC6-54D67DC1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DC3829"/>
    <w:rPr>
      <w:sz w:val="20"/>
    </w:rPr>
  </w:style>
  <w:style w:type="character" w:customStyle="1" w:styleId="FootnoteTextChar">
    <w:name w:val="Footnote Text Char"/>
    <w:basedOn w:val="DefaultParagraphFont"/>
    <w:link w:val="FootnoteText"/>
    <w:rsid w:val="00DC3829"/>
  </w:style>
  <w:style w:type="character" w:styleId="FootnoteReference">
    <w:name w:val="footnote reference"/>
    <w:basedOn w:val="DefaultParagraphFont"/>
    <w:rsid w:val="00DC3829"/>
    <w:rPr>
      <w:vertAlign w:val="superscript"/>
    </w:rPr>
  </w:style>
  <w:style w:type="character" w:styleId="Hyperlink">
    <w:name w:val="Hyperlink"/>
    <w:basedOn w:val="DefaultParagraphFont"/>
    <w:uiPriority w:val="99"/>
    <w:rsid w:val="00DC3829"/>
    <w:rPr>
      <w:color w:val="0563C1" w:themeColor="hyperlink"/>
      <w:u w:val="single"/>
    </w:rPr>
  </w:style>
  <w:style w:type="character" w:styleId="CommentReference">
    <w:name w:val="annotation reference"/>
    <w:basedOn w:val="DefaultParagraphFont"/>
    <w:rsid w:val="00DC3829"/>
    <w:rPr>
      <w:sz w:val="16"/>
      <w:szCs w:val="16"/>
    </w:rPr>
  </w:style>
  <w:style w:type="paragraph" w:styleId="CommentText">
    <w:name w:val="annotation text"/>
    <w:basedOn w:val="Normal"/>
    <w:link w:val="CommentTextChar"/>
    <w:rsid w:val="00DC3829"/>
    <w:rPr>
      <w:sz w:val="20"/>
    </w:rPr>
  </w:style>
  <w:style w:type="character" w:customStyle="1" w:styleId="CommentTextChar">
    <w:name w:val="Comment Text Char"/>
    <w:basedOn w:val="DefaultParagraphFont"/>
    <w:link w:val="CommentText"/>
    <w:rsid w:val="00DC3829"/>
  </w:style>
  <w:style w:type="paragraph" w:styleId="CommentSubject">
    <w:name w:val="annotation subject"/>
    <w:basedOn w:val="CommentText"/>
    <w:next w:val="CommentText"/>
    <w:link w:val="CommentSubjectChar"/>
    <w:semiHidden/>
    <w:unhideWhenUsed/>
    <w:rsid w:val="00DC3829"/>
    <w:rPr>
      <w:b/>
      <w:bCs/>
    </w:rPr>
  </w:style>
  <w:style w:type="character" w:customStyle="1" w:styleId="CommentSubjectChar">
    <w:name w:val="Comment Subject Char"/>
    <w:basedOn w:val="CommentTextChar"/>
    <w:link w:val="CommentSubject"/>
    <w:semiHidden/>
    <w:rsid w:val="00DC3829"/>
    <w:rPr>
      <w:b/>
      <w:bCs/>
    </w:rPr>
  </w:style>
  <w:style w:type="paragraph" w:styleId="BalloonText">
    <w:name w:val="Balloon Text"/>
    <w:basedOn w:val="Normal"/>
    <w:link w:val="BalloonTextChar"/>
    <w:semiHidden/>
    <w:unhideWhenUsed/>
    <w:rsid w:val="00DC3829"/>
    <w:rPr>
      <w:rFonts w:ascii="Segoe UI" w:hAnsi="Segoe UI" w:cs="Segoe UI"/>
      <w:sz w:val="18"/>
      <w:szCs w:val="18"/>
    </w:rPr>
  </w:style>
  <w:style w:type="character" w:customStyle="1" w:styleId="BalloonTextChar">
    <w:name w:val="Balloon Text Char"/>
    <w:basedOn w:val="DefaultParagraphFont"/>
    <w:link w:val="BalloonText"/>
    <w:semiHidden/>
    <w:rsid w:val="00DC3829"/>
    <w:rPr>
      <w:rFonts w:ascii="Segoe UI" w:hAnsi="Segoe UI" w:cs="Segoe UI"/>
      <w:sz w:val="18"/>
      <w:szCs w:val="18"/>
    </w:rPr>
  </w:style>
  <w:style w:type="paragraph" w:styleId="Footer">
    <w:name w:val="footer"/>
    <w:basedOn w:val="Normal"/>
    <w:link w:val="FooterChar"/>
    <w:semiHidden/>
    <w:rsid w:val="00DC3829"/>
    <w:pPr>
      <w:tabs>
        <w:tab w:val="center" w:pos="4513"/>
        <w:tab w:val="right" w:pos="9026"/>
      </w:tabs>
    </w:pPr>
  </w:style>
  <w:style w:type="character" w:customStyle="1" w:styleId="FooterChar">
    <w:name w:val="Footer Char"/>
    <w:basedOn w:val="DefaultParagraphFont"/>
    <w:link w:val="Footer"/>
    <w:semiHidden/>
    <w:rsid w:val="00DC3829"/>
    <w:rPr>
      <w:sz w:val="24"/>
    </w:rPr>
  </w:style>
  <w:style w:type="character" w:styleId="UnresolvedMention">
    <w:name w:val="Unresolved Mention"/>
    <w:basedOn w:val="DefaultParagraphFont"/>
    <w:uiPriority w:val="99"/>
    <w:semiHidden/>
    <w:unhideWhenUsed/>
    <w:rsid w:val="002F5BA8"/>
    <w:rPr>
      <w:color w:val="605E5C"/>
      <w:shd w:val="clear" w:color="auto" w:fill="E1DFDD"/>
    </w:rPr>
  </w:style>
  <w:style w:type="paragraph" w:styleId="ListParagraph">
    <w:name w:val="List Paragraph"/>
    <w:basedOn w:val="Normal"/>
    <w:uiPriority w:val="34"/>
    <w:qFormat/>
    <w:rsid w:val="00C16DCB"/>
    <w:pPr>
      <w:ind w:left="720"/>
      <w:contextualSpacing/>
    </w:pPr>
  </w:style>
  <w:style w:type="character" w:customStyle="1" w:styleId="NormalHanging12aChar">
    <w:name w:val="NormalHanging12a Char"/>
    <w:basedOn w:val="DefaultParagraphFont"/>
    <w:link w:val="NormalHanging12a"/>
    <w:locked/>
    <w:rsid w:val="00C16DCB"/>
    <w:rPr>
      <w:sz w:val="24"/>
    </w:rPr>
  </w:style>
  <w:style w:type="character" w:styleId="FollowedHyperlink">
    <w:name w:val="FollowedHyperlink"/>
    <w:basedOn w:val="DefaultParagraphFont"/>
    <w:rsid w:val="003F21B5"/>
    <w:rPr>
      <w:color w:val="954F72" w:themeColor="followedHyperlink"/>
      <w:u w:val="single"/>
    </w:rPr>
  </w:style>
  <w:style w:type="paragraph" w:styleId="Revision">
    <w:name w:val="Revision"/>
    <w:hidden/>
    <w:uiPriority w:val="99"/>
    <w:semiHidden/>
    <w:rsid w:val="00AC7CAD"/>
    <w:rPr>
      <w:sz w:val="24"/>
    </w:rPr>
  </w:style>
  <w:style w:type="paragraph" w:styleId="NormalWeb">
    <w:name w:val="Normal (Web)"/>
    <w:basedOn w:val="Normal"/>
    <w:rsid w:val="002A219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da/doc/declarations-and-transparency/da/196382" TargetMode="External"/><Relationship Id="rId13" Type="http://schemas.openxmlformats.org/officeDocument/2006/relationships/hyperlink" Target="http://data.europa.eu/eli/reg/2018/1725/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C/2023/161/oj" TargetMode="External"/><Relationship Id="rId12" Type="http://schemas.openxmlformats.org/officeDocument/2006/relationships/hyperlink" Target="http://data.europa.eu/eli/reg/2024/168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s://www.europarl.europa.eu/doceo/document/TA-9-2023-0295_DA.html"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01/1049/oj"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da/doc/declarations-and-transparency/da/1988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88A906D00E447AB8EBC1522C07993" ma:contentTypeVersion="0" ma:contentTypeDescription="Create a new document." ma:contentTypeScope="" ma:versionID="1cb167f18f85980cfcf2cfef7d072487">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0561C1-1F60-4C07-8B28-6FBE64626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78D5D-D9BC-48D0-B1A0-D585A6A60EE0}">
  <ds:schemaRefs>
    <ds:schemaRef ds:uri="http://purl.org/dc/term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66bb8730-6482-4c50-b53f-ab2db4d523eb"/>
    <ds:schemaRef ds:uri="http://schemas.microsoft.com/office/2006/metadata/properties"/>
    <ds:schemaRef ds:uri="http://www.w3.org/XML/1998/namespace"/>
    <ds:schemaRef ds:uri="http://purl.org/dc/elements/1.1/"/>
  </ds:schemaRefs>
</ds:datastoreItem>
</file>

<file path=customXml/itemProps3.xml><?xml version="1.0" encoding="utf-8"?>
<ds:datastoreItem xmlns:ds="http://schemas.openxmlformats.org/officeDocument/2006/customXml" ds:itemID="{A79C561E-6836-4E0C-A75F-0FA01CDCD3B8}">
  <ds:schemaRefs>
    <ds:schemaRef ds:uri="http://schemas.openxmlformats.org/officeDocument/2006/bibliography"/>
  </ds:schemaRefs>
</ds:datastoreItem>
</file>

<file path=customXml/itemProps4.xml><?xml version="1.0" encoding="utf-8"?>
<ds:datastoreItem xmlns:ds="http://schemas.openxmlformats.org/officeDocument/2006/customXml" ds:itemID="{F6EAD05A-7E7A-4416-8894-E3E3F3B735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6013</Words>
  <Characters>37588</Characters>
  <Application>Microsoft Office Word</Application>
  <DocSecurity>0</DocSecurity>
  <Lines>596</Lines>
  <Paragraphs>126</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43475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creator>MALKI Malika</dc:creator>
  <cp:lastModifiedBy>ANDERSEN Anne Fonnesbaek</cp:lastModifiedBy>
  <cp:revision>2</cp:revision>
  <cp:lastPrinted>2004-12-08T15:27:00Z</cp:lastPrinted>
  <dcterms:created xsi:type="dcterms:W3CDTF">2026-01-13T07:47:00Z</dcterms:created>
  <dcterms:modified xsi:type="dcterms:W3CDTF">2026-01-13T07:47:00Z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1328494</vt:lpwstr>
  </property>
  <property fmtid="{D5CDD505-2E9C-101B-9397-08002B2CF9AE}" pid="4" name="&lt;Model&gt;">
    <vt:lpwstr>PR_DEC_Other</vt:lpwstr>
  </property>
  <property fmtid="{D5CDD505-2E9C-101B-9397-08002B2CF9AE}" pid="5" name="&lt;ModelCod&gt;">
    <vt:lpwstr>\\eiciBRUpr1\pdocep$\DocEP\DOCS\General\PR\PR_BUD\DEC\PR_DEC_Other.dotx(15/01/2025 20:36:02)</vt:lpwstr>
  </property>
  <property fmtid="{D5CDD505-2E9C-101B-9397-08002B2CF9AE}" pid="6" name="&lt;ModelTra&gt;">
    <vt:lpwstr>\\eiciBRUpr1\pdocep$\DocEP\TRANSFIL\EN\PR_DEC_Other.EN(15/09/2025 13:27:02)</vt:lpwstr>
  </property>
  <property fmtid="{D5CDD505-2E9C-101B-9397-08002B2CF9AE}" pid="7" name="&lt;Type&gt;">
    <vt:lpwstr>PR</vt:lpwstr>
  </property>
  <property fmtid="{D5CDD505-2E9C-101B-9397-08002B2CF9AE}" pid="8" name="ContentTypeId">
    <vt:lpwstr>0x01010022388A906D00E447AB8EBC1522C07993</vt:lpwstr>
  </property>
  <property fmtid="{D5CDD505-2E9C-101B-9397-08002B2CF9AE}" pid="9" name="Created with">
    <vt:lpwstr>10.1.2 Build [20250715]</vt:lpwstr>
  </property>
  <property fmtid="{D5CDD505-2E9C-101B-9397-08002B2CF9AE}" pid="10" name="FooterPath">
    <vt:lpwstr>PR\1328494DA.docx</vt:lpwstr>
  </property>
  <property fmtid="{D5CDD505-2E9C-101B-9397-08002B2CF9AE}" pid="11" name="LastEdited with">
    <vt:lpwstr>10.2.1 Build [20251202]</vt:lpwstr>
  </property>
  <property fmtid="{D5CDD505-2E9C-101B-9397-08002B2CF9AE}" pid="12" name="PE number">
    <vt:lpwstr>778.065</vt:lpwstr>
  </property>
  <property fmtid="{D5CDD505-2E9C-101B-9397-08002B2CF9AE}" pid="13" name="SDLStudio">
    <vt:lpwstr/>
  </property>
  <property fmtid="{D5CDD505-2E9C-101B-9397-08002B2CF9AE}" pid="14" name="SendToEpades">
    <vt:lpwstr>OK - 2025/12/15 16:40</vt:lpwstr>
  </property>
  <property fmtid="{D5CDD505-2E9C-101B-9397-08002B2CF9AE}" pid="15" name="Bookout">
    <vt:lpwstr>OK - 2026/01/13 08:47</vt:lpwstr>
  </property>
</Properties>
</file>