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4.2.0 --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4"/>
        <w:gridCol w:w="2268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hRule="exact" w:val="1417"/>
          <w:jc w:val="center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EPName"/>
            </w:pPr>
            <w:r>
              <w:t>Evropský parlament</w:t>
            </w:r>
          </w:p>
          <w:p>
            <w:pPr>
              <w:pStyle w:val="EPTerm"/>
              <w:jc w:val="left"/>
            </w:pPr>
            <w:r>
              <w:t>2024-2029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pStyle w:val="EPLogo"/>
              <w:jc w:val="right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1.56pt;height:51.46pt">
                  <v:imagedata r:id="rId5" o:title=""/>
                </v:shape>
              </w:pict>
            </w:r>
          </w:p>
        </w:tc>
      </w:tr>
    </w:tbl>
    <w:p>
      <w:pPr>
        <w:pStyle w:val="LineTop"/>
      </w:pPr>
      <w:r>
        <w:t xml:space="preserve"> </w:t>
      </w:r>
    </w:p>
    <w:p>
      <w:pPr>
        <w:pStyle w:val="EPBody"/>
      </w:pPr>
      <w:r>
        <w:rPr>
          <w:rStyle w:val="HideTWBExt"/>
        </w:rPr>
        <w:t>&lt;Commission&gt;</w:t>
      </w:r>
      <w:r>
        <w:rPr>
          <w:rStyle w:val="HideTWBInt"/>
        </w:rPr>
        <w:t>{CONT}</w:t>
      </w:r>
      <w:r>
        <w:t>Výbor pro rozpočtovou kontrolu</w:t>
      </w:r>
      <w:r>
        <w:rPr>
          <w:rStyle w:val="HideTWBExt"/>
        </w:rPr>
        <w:t>&lt;/Commission&gt;</w:t>
      </w:r>
    </w:p>
    <w:p>
      <w:pPr>
        <w:pStyle w:val="LineBottom"/>
      </w:pPr>
      <w:r>
        <w:t xml:space="preserve"> </w:t>
      </w:r>
    </w:p>
    <w:p>
      <w:pPr>
        <w:pStyle w:val="CoverReference"/>
      </w:pPr>
      <w:r>
        <w:rPr>
          <w:rStyle w:val="HideTWBExt"/>
        </w:rPr>
        <w:t>&lt;RefProc&gt;</w:t>
      </w:r>
      <w:r>
        <w:t>2025/2237</w:t>
      </w:r>
      <w:r>
        <w:rPr>
          <w:rStyle w:val="HideTWBExt"/>
        </w:rPr>
        <w:t>&lt;/RefProc&gt;</w:t>
      </w:r>
      <w:r>
        <w:rPr>
          <w:rStyle w:val="HideTWBExt"/>
        </w:rPr>
        <w:t>&lt;RefTypeProc&gt;</w:t>
      </w:r>
      <w:r>
        <w:t>(INI)</w:t>
      </w:r>
      <w:r>
        <w:rPr>
          <w:rStyle w:val="HideTWBExt"/>
        </w:rPr>
        <w:t>&lt;/RefTypeProc&gt;</w:t>
      </w:r>
    </w:p>
    <w:p>
      <w:pPr>
        <w:pStyle w:val="CoverDate"/>
      </w:pPr>
      <w:r>
        <w:rPr>
          <w:rStyle w:val="HideTWBExt"/>
        </w:rPr>
        <w:t>&lt;Date&gt;</w:t>
      </w:r>
      <w:r>
        <w:rPr>
          <w:rStyle w:val="HideTWBInt"/>
        </w:rPr>
        <w:t>{06/02/2026}</w:t>
      </w:r>
      <w:r>
        <w:t>6.2.2026</w:t>
      </w:r>
      <w:r>
        <w:rPr>
          <w:rStyle w:val="HideTWBExt"/>
        </w:rPr>
        <w:t>&lt;/Date&gt;</w:t>
      </w:r>
    </w:p>
    <w:p>
      <w:pPr>
        <w:pStyle w:val="CoverDocType24a"/>
      </w:pPr>
      <w:r>
        <w:rPr>
          <w:rStyle w:val="HideTWBExt"/>
        </w:rPr>
        <w:t>&lt;TitreType&gt;</w:t>
      </w:r>
      <w:r>
        <w:t>NÁVRH ZPRÁVY</w:t>
      </w:r>
      <w:r>
        <w:rPr>
          <w:rStyle w:val="HideTWBExt"/>
        </w:rPr>
        <w:t>&lt;/TitreType&gt;</w:t>
      </w:r>
    </w:p>
    <w:p>
      <w:pPr>
        <w:pStyle w:val="CoverNormal"/>
      </w:pPr>
      <w:r>
        <w:rPr>
          <w:rStyle w:val="HideTWBExt"/>
        </w:rPr>
        <w:t>&lt;Titre&gt;</w:t>
      </w:r>
      <w:r>
        <w:t>o kontrole finanční činnosti skupiny Evropské investiční banky – výroční zpráva za rok 2024</w:t>
      </w:r>
      <w:r>
        <w:rPr>
          <w:rStyle w:val="HideTWBExt"/>
        </w:rPr>
        <w:t>&lt;/Titre&gt;</w:t>
      </w:r>
    </w:p>
    <w:p>
      <w:pPr>
        <w:pStyle w:val="CoverNormal24a"/>
      </w:pPr>
      <w:r>
        <w:rPr>
          <w:rStyle w:val="HideTWBExt"/>
        </w:rPr>
        <w:t>&lt;DocRef&gt;</w:t>
      </w:r>
      <w:r>
        <w:t>(2025/2237(INI))</w:t>
      </w:r>
      <w:r>
        <w:rPr>
          <w:rStyle w:val="HideTWBExt"/>
        </w:rPr>
        <w:t>&lt;/DocRef&gt;</w:t>
      </w:r>
    </w:p>
    <w:p>
      <w:pPr>
        <w:pStyle w:val="CoverNormal24a"/>
      </w:pPr>
      <w:r>
        <w:rPr>
          <w:rStyle w:val="HideTWBExt"/>
        </w:rPr>
        <w:t>&lt;Commission&gt;</w:t>
      </w:r>
      <w:r>
        <w:rPr>
          <w:rStyle w:val="HideTWBInt"/>
        </w:rPr>
        <w:t>{CONT}</w:t>
      </w:r>
      <w:r>
        <w:t>Výbor pro rozpočtovou kontrolu</w:t>
      </w:r>
      <w:r>
        <w:rPr>
          <w:rStyle w:val="HideTWBExt"/>
        </w:rPr>
        <w:t>&lt;/Commission&gt;</w:t>
      </w:r>
    </w:p>
    <w:p>
      <w:pPr>
        <w:pStyle w:val="CoverNormal24a"/>
      </w:pPr>
      <w:r>
        <w:t>Zpravodaj</w:t>
      </w:r>
      <w:r>
        <w:t xml:space="preserve">: </w:t>
      </w:r>
      <w:r>
        <w:rPr>
          <w:rStyle w:val="HideTWBExt"/>
        </w:rPr>
        <w:t>&lt;Depute&gt;</w:t>
      </w:r>
      <w:r>
        <w:t>Dick Erixon</w:t>
      </w:r>
      <w:r>
        <w:rPr>
          <w:rStyle w:val="HideTWBExt"/>
        </w:rPr>
        <w:t>&lt;/Depute&gt;</w:t>
      </w:r>
    </w:p>
    <w:p>
      <w:r>
        <w:br w:type="page"/>
      </w:r>
      <w:r>
        <w:t>PR_INI</w:t>
      </w:r>
    </w:p>
    <w:p>
      <w:pPr>
        <w:pStyle w:val="TOCHeading"/>
      </w:pPr>
      <w:r>
        <w:t>OBSAH</w:t>
      </w:r>
    </w:p>
    <w:p>
      <w:pPr>
        <w:pStyle w:val="TOCPage"/>
      </w:pPr>
      <w:r>
        <w:t>Strana</w:t>
      </w:r>
    </w:p>
    <w:p>
      <w:pPr>
        <w:pStyle w:val="TOC1"/>
        <w:tabs>
          <w:tab w:val="right" w:leader="dot" w:pos="9065"/>
        </w:tabs>
        <w:rPr>
          <w:rFonts w:ascii="Calibri" w:hAnsi="Calibri"/>
          <w:noProof/>
          <w:sz w:val="22"/>
        </w:rPr>
      </w:pPr>
      <w:r>
        <w:fldChar w:fldCharType="begin"/>
      </w:r>
      <w:r>
        <w:instrText xml:space="preserve"> TOC </w:instrText>
      </w:r>
      <w:r>
        <w:instrText xml:space="preserve"> \t</w:instrText>
      </w:r>
      <w:r>
        <w:instrText xml:space="preserve"> </w:instrText>
      </w:r>
      <w:r>
        <w:instrText>PageHeading</w:instrText>
      </w:r>
      <w:r>
        <w:fldChar w:fldCharType="separate"/>
      </w:r>
      <w:r>
        <w:t>NÁVRH USNESENÍ EVROPSKÉHO PARLAMENTU</w:t>
      </w:r>
      <w:r>
        <w:tab/>
      </w:r>
      <w:r>
        <w:fldChar w:fldCharType="begin"/>
      </w:r>
      <w:r>
        <w:instrText xml:space="preserve"> PAGEREF _Toc256000000 \h </w:instrText>
      </w:r>
      <w:r>
        <w:fldChar w:fldCharType="separate"/>
      </w:r>
      <w:r>
        <w:t>3</w:t>
      </w:r>
      <w:r>
        <w:fldChar w:fldCharType="end"/>
      </w:r>
    </w:p>
    <w:p>
      <w:pPr>
        <w:pStyle w:val="TOC1"/>
      </w:pPr>
      <w:r>
        <w:fldChar w:fldCharType="end"/>
      </w:r>
    </w:p>
    <w:p>
      <w:r>
        <w:br w:type="page"/>
      </w:r>
    </w:p>
    <w:p>
      <w:pPr>
        <w:pStyle w:val="PageHeading"/>
      </w:pPr>
      <w:bookmarkStart w:id="0" w:name="_Toc256000000"/>
      <w:r>
        <w:t>NÁVRH USNESENÍ EVROPSKÉHO PARLAMENTU</w:t>
      </w:r>
      <w:bookmarkEnd w:id="0"/>
    </w:p>
    <w:p>
      <w:pPr>
        <w:pStyle w:val="NormalBold"/>
      </w:pPr>
      <w:r>
        <w:t>o kontrole finanční činnosti skupiny Evropské investiční banky – výroční zpráva za rok 2024</w:t>
      </w:r>
    </w:p>
    <w:p>
      <w:pPr>
        <w:pStyle w:val="NormalBold"/>
      </w:pPr>
    </w:p>
    <w:p>
      <w:pPr>
        <w:pStyle w:val="NormalBold12a"/>
      </w:pPr>
      <w:r>
        <w:t>(</w:t>
      </w:r>
      <w:r>
        <w:t>2025/2237(INI)</w:t>
      </w:r>
      <w:r>
        <w:t>)</w:t>
      </w:r>
    </w:p>
    <w:p>
      <w:pPr>
        <w:pStyle w:val="Normal12"/>
      </w:pPr>
      <w:r>
        <w:rPr>
          <w:i/>
        </w:rPr>
        <w:t>Evropský parlament</w:t>
      </w:r>
      <w:r>
        <w:t>,</w:t>
      </w:r>
    </w:p>
    <w:p>
      <w:pPr>
        <w:pStyle w:val="NormalHanging"/>
      </w:pPr>
      <w:r>
        <w:t>–</w:t>
      </w:r>
      <w:r>
        <w:tab/>
      </w:r>
      <w:r>
        <w:t>s ohledem na zprávu EIB o investicích 2024/2025 – Inovace, integrace a zjednodušení v Evropě, zveřejněnou dne 5. března 2025,</w:t>
      </w:r>
    </w:p>
    <w:p>
      <w:pPr>
        <w:pStyle w:val="NormalHanging"/>
      </w:pPr>
      <w:r>
        <w:t>–</w:t>
      </w:r>
      <w:r>
        <w:tab/>
      </w:r>
      <w:r>
        <w:t xml:space="preserve">s ohledem na zvláštní zprávu </w:t>
      </w:r>
      <w:r>
        <w:t>Evropského účetního dvora</w:t>
      </w:r>
      <w:r>
        <w:t xml:space="preserve"> 07/2025 ze dne 19. března 2025 o Evropském fondu pro strategické investice,</w:t>
      </w:r>
    </w:p>
    <w:p>
      <w:pPr>
        <w:pStyle w:val="NormalHanging"/>
      </w:pPr>
      <w:r>
        <w:t>–</w:t>
      </w:r>
      <w:r>
        <w:tab/>
      </w:r>
      <w:r>
        <w:t xml:space="preserve">s ohledem na prohlášení CC 1/2025 Kontaktního výboru nejvyšších kontrolních institucí Evropské unie ze dne 30. září 2025 o externím veřejném auditu </w:t>
      </w:r>
      <w:r>
        <w:t>Evropské investiční banky</w:t>
      </w:r>
      <w:r>
        <w:t>,</w:t>
      </w:r>
    </w:p>
    <w:p>
      <w:pPr>
        <w:pStyle w:val="NormalHanging"/>
      </w:pPr>
      <w:r>
        <w:t>–</w:t>
      </w:r>
      <w:r>
        <w:tab/>
      </w:r>
      <w:r>
        <w:t>s ohledem na článek 55 jednacího řádu,</w:t>
      </w:r>
    </w:p>
    <w:p>
      <w:pPr>
        <w:pStyle w:val="NormalHanging"/>
      </w:pPr>
      <w:r>
        <w:t>–</w:t>
      </w:r>
      <w:r>
        <w:tab/>
      </w:r>
      <w:r>
        <w:t>s ohledem na zprávu Výboru pro rozpočtovou kontrolu (A10-0000/2026),</w:t>
      </w:r>
    </w:p>
    <w:p>
      <w:pPr>
        <w:pStyle w:val="NormalHanging"/>
      </w:pPr>
      <w:r>
        <w:t>A.</w:t>
      </w:r>
      <w:r>
        <w:tab/>
      </w:r>
      <w:r>
        <w:t xml:space="preserve">vzhledem k tomu, že hlavním posláním skupiny </w:t>
      </w:r>
      <w:r>
        <w:t>Evropské investiční</w:t>
      </w:r>
      <w:r>
        <w:t xml:space="preserve"> banky (EIB) je podporovat hospodářský růst v EU; vzhledem k tomu, že její investice by měly řešit skutečná selhání trhu;</w:t>
      </w:r>
    </w:p>
    <w:p>
      <w:pPr>
        <w:pStyle w:val="NormalHanging"/>
      </w:pPr>
      <w:r>
        <w:t>B.</w:t>
      </w:r>
      <w:r>
        <w:tab/>
      </w:r>
      <w:r>
        <w:t>vzhledem k tomu, že oblasti sociální politiky jsou především v kompetenci jednotlivých států; vzhledem k tomu, že financování EIB nelze použít jako náhradu vnitrostátních rozpočtů a musí prokázat skutečnou adicionalitu;</w:t>
      </w:r>
    </w:p>
    <w:p>
      <w:pPr>
        <w:pStyle w:val="NormalHanging"/>
      </w:pPr>
      <w:r>
        <w:t>C.</w:t>
      </w:r>
      <w:r>
        <w:tab/>
      </w:r>
      <w:r>
        <w:t>vzhledem k tomu, že intenzita a kvalita dohledu EP nad finančními operacemi EIB by měly být v souladu s intenzitou spolupráce mezi EIB a Komisí, která se značně prohloubila;</w:t>
      </w:r>
    </w:p>
    <w:p>
      <w:pPr>
        <w:pStyle w:val="NormalHanging"/>
      </w:pPr>
      <w:r>
        <w:t>D.</w:t>
      </w:r>
      <w:r>
        <w:tab/>
      </w:r>
      <w:r>
        <w:t>vzhledem k tomu, že EIB je vlastněna členskými státy a její upsaný kapitál ve výši 248,8 miliardy EUR představuje závazky daňových poplatníků; vzhledem k tomu, že výpůjčky EIB se neobjevují ve statistikách veřejného dluhu; vzhledem k tomu, že tato podrozvahová povaha činí přísné standardy efektivnosti a externí audit nezbytnými; vzhledem k tomu, že rozšíření mandátu EIB musí být doprovázeno posílením opatření v oblasti externího auditu;</w:t>
      </w:r>
    </w:p>
    <w:p>
      <w:pPr>
        <w:pStyle w:val="Normal12a"/>
      </w:pPr>
      <w:r>
        <w:t>Finanční operace a výkonnost</w:t>
      </w:r>
    </w:p>
    <w:p>
      <w:pPr>
        <w:pStyle w:val="NormalHanging12a"/>
      </w:pPr>
      <w:r>
        <w:t>1.</w:t>
      </w:r>
      <w:r>
        <w:tab/>
      </w:r>
      <w:r>
        <w:t>bere na vědomí stabilní finanční výsledky skupiny EIB v roce 2024; zdůrazňuje, že úspěch je třeba měřit prokazatelnými hospodářskými výsledky, nikoli pouze podepsaným objemem;</w:t>
      </w:r>
    </w:p>
    <w:p>
      <w:pPr>
        <w:pStyle w:val="NormalHanging12a"/>
      </w:pPr>
      <w:r>
        <w:t>2.</w:t>
      </w:r>
      <w:r>
        <w:tab/>
      </w:r>
      <w:r>
        <w:t>se znepokojením konstatuje, že podíl plateb po splatnosti o více než 90 dnů se ztrojnásobil a na konci roku 2024 činil 281,3 milionu EUR a představoval 0,06 % celkového úvěrového portfolia (ve srovnání s 82,4 milionu EUR, resp. 0,02 % na konci roku 2023); zdůrazňuje, že tento nárůst nevýkonných expozic a plateb po splatnosti výrazně převyšuje 2% nárůst celkového úvěrového portfolia;</w:t>
      </w:r>
    </w:p>
    <w:p>
      <w:pPr>
        <w:pStyle w:val="Normal12a"/>
      </w:pPr>
      <w:r>
        <w:rPr>
          <w:b/>
          <w:i/>
        </w:rPr>
        <w:t>InvestEU, zjednodušení víceletého finančního rámce a Nástroj pro oživení a odolnost</w:t>
      </w:r>
    </w:p>
    <w:p>
      <w:pPr>
        <w:pStyle w:val="NormalHanging12a"/>
      </w:pPr>
      <w:r>
        <w:t>3.</w:t>
      </w:r>
      <w:r>
        <w:tab/>
      </w:r>
      <w:r>
        <w:t>konstatuje, že v roce 2024 EIB schválila 38 operací v rámci programu InvestEU, při nichž využila záruku EU ve výši 1,7 miliardy EUR; zdůrazňuje, že program InvestEU by měl být hodnocen podle kvality svých intervencí a jejich měřitelného dopadu, nikoli pouze podle množství poskytnutých finančních prostředků; trvá na tom, že se při podávání zpráv musí přejít od ukazatelů založených na vstupech k ukazatelům založeným na dopadech, které prokazují skutečné ekonomické výsledky;</w:t>
      </w:r>
    </w:p>
    <w:p>
      <w:pPr>
        <w:pStyle w:val="NormalHanging12a"/>
      </w:pPr>
      <w:r>
        <w:t>4.</w:t>
      </w:r>
      <w:r>
        <w:tab/>
      </w:r>
      <w:r>
        <w:rPr>
          <w:b/>
        </w:rPr>
        <w:t xml:space="preserve"> </w:t>
      </w:r>
      <w:r>
        <w:t>konstatuje, že roztříštěné financování EU vede k neefektivitě; zdůrazňuje, že pro obnovení konkurenceschopnosti je nezbytné snížit byrokracii;</w:t>
      </w:r>
    </w:p>
    <w:p>
      <w:pPr>
        <w:pStyle w:val="Normal12a"/>
      </w:pPr>
      <w:r>
        <w:rPr>
          <w:b/>
          <w:i/>
        </w:rPr>
        <w:t>Energetická bezpečnost</w:t>
      </w:r>
    </w:p>
    <w:p>
      <w:pPr>
        <w:pStyle w:val="NormalHanging12a"/>
      </w:pPr>
      <w:r>
        <w:t>5.</w:t>
      </w:r>
      <w:r>
        <w:tab/>
      </w:r>
      <w:r>
        <w:t>vyzývá EIB, aby rozšířila financování jaderné energie a aby všechny nízkouhlíkové projekty hodnotila podle objektivních kritérií včetně intenzity emisí uhlíku během životního cyklu a stability sítě, aniž by rozlišovala mezi technologiemi; zdůrazňuje, že členské státy si zachovávají svrchované právo určovat svou skladbu zdrojů energie;</w:t>
      </w:r>
    </w:p>
    <w:p>
      <w:pPr>
        <w:pStyle w:val="Normal12a"/>
      </w:pPr>
      <w:r>
        <w:rPr>
          <w:b/>
          <w:i/>
        </w:rPr>
        <w:t>Obranná a bezpečnostní politika</w:t>
      </w:r>
    </w:p>
    <w:p>
      <w:pPr>
        <w:pStyle w:val="NormalHanging12a"/>
      </w:pPr>
      <w:r>
        <w:t>6.</w:t>
      </w:r>
      <w:r>
        <w:tab/>
      </w:r>
      <w:r>
        <w:t>zdůrazňuje význam příspěvku skupiny EIB k míru a bezpečnosti v Evropě, jak je uvedeno v bílé knize o budoucnosti evropské obrany 2030, a to prostřednictvím podpory iniciativ na posílení obranného průmyslu EU, zlepšení infrastruktury kybernetické bezpečnosti a podpory inovací v oblasti kritických obranných technologií poskytováním finančních prostředků a získáváním soukromých investic;</w:t>
      </w:r>
    </w:p>
    <w:p>
      <w:pPr>
        <w:pStyle w:val="NormalHanging12a"/>
      </w:pPr>
      <w:r>
        <w:t>7.</w:t>
      </w:r>
      <w:r>
        <w:tab/>
      </w:r>
      <w:r>
        <w:t>zdůrazňuje, že EIB by měla mít možnost financovat všechny typy obranných projektů;</w:t>
      </w:r>
    </w:p>
    <w:p>
      <w:pPr>
        <w:pStyle w:val="NormalHanging12a"/>
      </w:pPr>
      <w:r>
        <w:t>8.</w:t>
      </w:r>
      <w:r>
        <w:tab/>
      </w:r>
      <w:r>
        <w:t>vyzývá EIB, aby identifikovala překážky, které brání investicím do obrany a ochrany hranic; zdůrazňuje, že odstranění překážek má zásadní význam pro dosažení hmatatelných výsledků v oblasti bezpečnosti;</w:t>
      </w:r>
    </w:p>
    <w:p>
      <w:pPr>
        <w:pStyle w:val="NormalHanging12a"/>
      </w:pPr>
      <w:r>
        <w:t>9.</w:t>
      </w:r>
      <w:r>
        <w:tab/>
      </w:r>
      <w:r>
        <w:t>zdůrazňuje, že je důležité navázat strukturovanou spolupráci s Inovačním fondem NATO, aby se zajistila součinnost a zabránilo se zdvojování úsilí, zejména v oblasti rozšiřování technologií, kde není dostatek soukromého kapitálu;</w:t>
      </w:r>
    </w:p>
    <w:p>
      <w:pPr>
        <w:pStyle w:val="Normal12a"/>
      </w:pPr>
      <w:r>
        <w:rPr>
          <w:b/>
          <w:i/>
        </w:rPr>
        <w:t xml:space="preserve">Investice do </w:t>
      </w:r>
      <w:r>
        <w:rPr>
          <w:b/>
          <w:i/>
        </w:rPr>
        <w:t>oblastí</w:t>
      </w:r>
      <w:r>
        <w:rPr>
          <w:b/>
          <w:i/>
        </w:rPr>
        <w:t xml:space="preserve"> vnitrostátních pravomocí </w:t>
      </w:r>
    </w:p>
    <w:p>
      <w:pPr>
        <w:pStyle w:val="NormalHanging12a"/>
      </w:pPr>
      <w:r>
        <w:t>10.</w:t>
      </w:r>
      <w:r>
        <w:tab/>
      </w:r>
      <w:r>
        <w:t>připomíná, že problémy v oblasti bydlení by se měly řešit především na místní nebo celostátní úrovni; zpochybňuje, zda se financování čistě místních projektů v oblasti bydlení bez přeshraničního rozměru ze strany EIB opravdu vyplácí;</w:t>
      </w:r>
    </w:p>
    <w:p>
      <w:pPr>
        <w:pStyle w:val="Normal12a"/>
      </w:pPr>
      <w:r>
        <w:rPr>
          <w:b/>
          <w:i/>
        </w:rPr>
        <w:t>Podpora malých a středních podniků, společností se střední kapitalizací, startupů, scaleupů a dalších podniků</w:t>
      </w:r>
    </w:p>
    <w:p>
      <w:pPr>
        <w:pStyle w:val="NormalHanging12a"/>
      </w:pPr>
      <w:r>
        <w:t>11.</w:t>
      </w:r>
      <w:r>
        <w:tab/>
      </w:r>
      <w:r>
        <w:t>zdůrazňuje, že EIB se musí zaměřit na skutečná selhání trhu a že její investice nesmí sloužit jako náhrada soukromého kapitálu nebo státních rozpočtů; zdůrazňuje, že je nezbytné chránit konkurenční tržní prostředí;</w:t>
      </w:r>
    </w:p>
    <w:p>
      <w:pPr>
        <w:pStyle w:val="NormalHanging12a"/>
      </w:pPr>
      <w:r>
        <w:t>12.</w:t>
      </w:r>
      <w:r>
        <w:tab/>
      </w:r>
      <w:r>
        <w:t xml:space="preserve">bere na vědomí závěry zvláštní zprávy </w:t>
      </w:r>
      <w:r>
        <w:t>Evropského účetního dvora</w:t>
      </w:r>
      <w:r>
        <w:t xml:space="preserve"> 07/2025 týkající se nedostatečné adicionality; varuje před nebezpečím vytěsnění soukromých investic; požaduje kvantitativní prahové hodnoty rizika a následné posouzení vytěsnění;</w:t>
      </w:r>
    </w:p>
    <w:p>
      <w:pPr>
        <w:pStyle w:val="NormalHanging12a"/>
      </w:pPr>
      <w:r>
        <w:t>13.</w:t>
      </w:r>
      <w:r>
        <w:tab/>
      </w:r>
      <w:r>
        <w:t>konstatuje, že půjčky EIB s sebou nesou vyšší administrativní zátěž než komerční půjčky; vyzývá EIB, aby zveřejnila plány na snížení omezení;</w:t>
      </w:r>
    </w:p>
    <w:p>
      <w:pPr>
        <w:pStyle w:val="Normal12a"/>
      </w:pPr>
      <w:r>
        <w:rPr>
          <w:b/>
          <w:i/>
        </w:rPr>
        <w:t>Oblasti politiky týkající se soudržnosti, klimatu, digitalizace a environmentální udržitelnosti</w:t>
      </w:r>
    </w:p>
    <w:p>
      <w:pPr>
        <w:pStyle w:val="NormalHanging12a"/>
      </w:pPr>
      <w:r>
        <w:t>14.</w:t>
      </w:r>
      <w:r>
        <w:tab/>
      </w:r>
      <w:r>
        <w:t>zdůrazňuje, že podávání zpráv založené na objemu měří výstupy, nikoli výsledky; požaduje ukazatele zaměřené na výsledky, jako je například snížení emisí CO2 na investované euro; obhajuje srovnávání se srovnatelnými intervencemi;</w:t>
      </w:r>
    </w:p>
    <w:p>
      <w:pPr>
        <w:pStyle w:val="NormalHanging12a"/>
      </w:pPr>
      <w:r>
        <w:t>15.</w:t>
      </w:r>
      <w:r>
        <w:tab/>
      </w:r>
      <w:r>
        <w:t>varuje, že z důvodu neustálé kumulace překrývajících se hlavních cílů vzniká riziko vytvoření matematicky nemožného složení portfolia;</w:t>
      </w:r>
    </w:p>
    <w:p>
      <w:pPr>
        <w:pStyle w:val="Normal12a"/>
      </w:pPr>
      <w:r>
        <w:rPr>
          <w:b/>
          <w:i/>
        </w:rPr>
        <w:t xml:space="preserve">Činnost EIB mimo EU </w:t>
      </w:r>
    </w:p>
    <w:p>
      <w:pPr>
        <w:pStyle w:val="NormalHanging12a"/>
      </w:pPr>
      <w:r>
        <w:t>16.</w:t>
      </w:r>
      <w:r>
        <w:tab/>
      </w:r>
      <w:r>
        <w:t>trvá na tom, aby poskytování půjček zemím mimo EU bylo podmíněno spoluprací s EU v oblasti řízení migrace, včetně zpětného přebírání osob;</w:t>
      </w:r>
    </w:p>
    <w:p>
      <w:pPr>
        <w:pStyle w:val="NormalHanging12a"/>
      </w:pPr>
      <w:r>
        <w:t>17.</w:t>
      </w:r>
      <w:r>
        <w:tab/>
      </w:r>
      <w:r>
        <w:t>zdůrazňuje, že pro zajištění důvěry daňových poplatníků v investice EIB a její pokračující podporu Ukrajině jsou nezbytná důkladná opatření proti podvodům; požaduje přísné auditní standardy; trvá na tom, že EIB by měla mít neomezený dohled nad všemi svými investicemi mimo EU;</w:t>
      </w:r>
    </w:p>
    <w:p>
      <w:pPr>
        <w:pStyle w:val="Normal12a"/>
      </w:pPr>
      <w:r>
        <w:rPr>
          <w:b/>
          <w:i/>
        </w:rPr>
        <w:t>Struktura odpovědnosti EIB</w:t>
      </w:r>
    </w:p>
    <w:p>
      <w:pPr>
        <w:pStyle w:val="NormalHanging12a"/>
      </w:pPr>
      <w:r>
        <w:t>18.</w:t>
      </w:r>
      <w:r>
        <w:tab/>
      </w:r>
      <w:r>
        <w:t xml:space="preserve">schvaluje prohlášení Kontaktního výboru CC 1/2025, v němž jsou uvedeny kritické nedostatky v auditu; upozorňuje na paradox rozšířeného mandátu EIB a omezených auditních pravomocí; vyzývá k zapojení nejvyšších vnitrostátních kontrolních orgánů; opakuje, že změna Smlouvy je nezbytná, aby měl </w:t>
      </w:r>
      <w:r>
        <w:t>Evropský účetní dvůr</w:t>
      </w:r>
      <w:r>
        <w:t xml:space="preserve"> plný přístup k EIB;</w:t>
      </w:r>
    </w:p>
    <w:p>
      <w:pPr>
        <w:pStyle w:val="NormalHanging12a"/>
      </w:pPr>
      <w:r>
        <w:t>19.</w:t>
      </w:r>
      <w:r>
        <w:tab/>
      </w:r>
      <w:r>
        <w:t>vyjadřuje znepokojení nad úpadkem společnosti Northvolt, přestože jí EIB poskytla úvěr ve výši 942,6 milionu EUR; poznamenává, že podobná rizika zřejmě existují i u společnosti Stegra; vyzývá ke zveřejnění hodnocení rizik EIB; požaduje přezkoumání zkušeností získaných z případu Northvolt; vyzývá EIB, aby zveřejnila profily hodnocení rizik pro tyto a další podobná zapojení; znovu vyzývá EIB, aby poskytla podrobné informace o hodnotícím a rozhodovacím procesu, který probíhal před investicí do společnosti Northvolt AB, a aby vysvětlila, jak je možné, že tak zásadní projekt selhal navzdory tvrzení EIB, že provádí odpovídající a průběžnou kontrolu příjemců své finanční podpory; se znepokojením poukazuje na stranicko-politické vazby mezi vedením EIB a jedním z prvních investorů a poradců společnosti Northvolt;</w:t>
      </w:r>
    </w:p>
    <w:p>
      <w:pPr>
        <w:pStyle w:val="NormalHanging12a"/>
      </w:pPr>
      <w:r>
        <w:t>20.</w:t>
      </w:r>
      <w:r>
        <w:tab/>
      </w:r>
      <w:r>
        <w:t>důrazně trvá na posílení prevence střetu zájmů; požaduje přísnější přechodná období po skončení funkce pro místopředsedy EIB a jasnější pravidla pro jejich účast na rozhodování o zemích jejich původu;</w:t>
      </w:r>
    </w:p>
    <w:p>
      <w:pPr>
        <w:pStyle w:val="Normal12a"/>
      </w:pPr>
      <w:r>
        <w:rPr>
          <w:b/>
          <w:i/>
        </w:rPr>
        <w:t>Transparentnost, kontrola a dohled</w:t>
      </w:r>
    </w:p>
    <w:p>
      <w:pPr>
        <w:pStyle w:val="NormalHanging12a"/>
      </w:pPr>
      <w:r>
        <w:t>21.</w:t>
      </w:r>
      <w:r>
        <w:tab/>
      </w:r>
      <w:r>
        <w:t>vyjadřuje politování nad tím, že EIB v roce 2023 neprovedla kroky navazující na výroční zprávu Parlamentu o její finanční činnosti</w:t>
      </w:r>
      <w:r>
        <w:rPr>
          <w:rStyle w:val="FootnoteReference"/>
        </w:rPr>
        <w:footnoteReference w:customMarkFollows="1" w:id="2"/>
        <w:t xml:space="preserve">1</w:t>
      </w:r>
      <w:r>
        <w:t>; zdůrazňuje, že pro předvídatelnou spolupráci je nezbytná interinstitucionální dohoda;</w:t>
      </w:r>
    </w:p>
    <w:p>
      <w:pPr>
        <w:pStyle w:val="Normal12a"/>
      </w:pPr>
      <w:r>
        <w:rPr>
          <w:b/>
          <w:i/>
        </w:rPr>
        <w:t>Kroky v návaznosti na doporučení Parlamentu</w:t>
      </w:r>
    </w:p>
    <w:p>
      <w:pPr>
        <w:pStyle w:val="NormalHanging12a"/>
      </w:pPr>
      <w:r>
        <w:t>22.</w:t>
      </w:r>
      <w:r>
        <w:tab/>
      </w:r>
      <w:r>
        <w:t>Vyzývá k včasnému provedení kroků v oblasti: a) dopadu investic; b) prevence střetu zájmů; c) transparentnosti; d) tohoto usnesení;</w:t>
      </w:r>
    </w:p>
    <w:p>
      <w:pPr>
        <w:pStyle w:val="NormalCenter12a"/>
      </w:pPr>
      <w:r>
        <w:t>°</w:t>
      </w:r>
    </w:p>
    <w:p>
      <w:pPr>
        <w:pStyle w:val="NormalCenter12a"/>
      </w:pPr>
      <w:r>
        <w:t>°</w:t>
      </w:r>
      <w:r>
        <w:tab/>
      </w:r>
      <w:r>
        <w:t>°</w:t>
      </w:r>
    </w:p>
    <w:p>
      <w:pPr>
        <w:pStyle w:val="NormalHanging12a"/>
      </w:pPr>
      <w:r>
        <w:t>23.</w:t>
      </w:r>
      <w:r>
        <w:tab/>
      </w:r>
      <w:r>
        <w:t>pověřuje svou předsedkyni, aby předala toto usnesení Radě a Komisi, a žádá Radu a správní radu EIB, aby uspořádaly rozpravu o výše uvedených postojích Parlamentu.</w:t>
      </w:r>
    </w:p>
    <w:sectPr>
      <w:footerReference w:type="even" r:id="rId6"/>
      <w:footerReference w:type="default" r:id="rId7"/>
      <w:footerReference w:type="first" r:id="rId8"/>
      <w:footnotePr>
        <w:numRestart w:val="eachSect"/>
      </w:footnotePr>
      <w:pgSz w:w="11909" w:h="16834"/>
      <w:pgMar w:top="1134" w:right="1417" w:bottom="1417" w:left="1417" w:header="1134" w:footer="567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t>PE</w:t>
    </w:r>
    <w:r>
      <w:rPr>
        <w:rStyle w:val="HideTWBExt"/>
      </w:rPr>
      <w:t>&lt;NoPE&gt;</w:t>
    </w:r>
    <w:r>
      <w:t>784.237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t>6</w:t>
    </w:r>
    <w:r>
      <w:fldChar w:fldCharType="end"/>
    </w:r>
    <w:r>
      <w:t>/</w:t>
    </w:r>
    <w:r>
      <w:fldChar w:fldCharType="begin"/>
    </w:r>
    <w:r>
      <w:instrText xml:space="preserve"> NUMPAGES </w:instrText>
    </w:r>
    <w:r>
      <w:fldChar w:fldCharType="separate"/>
    </w:r>
    <w:r>
      <w:t>6</w:t>
    </w:r>
    <w:r>
      <w:fldChar w:fldCharType="end"/>
    </w:r>
    <w:r>
      <w:tab/>
    </w:r>
    <w:r>
      <w:rPr>
        <w:rStyle w:val="HideTWBExt"/>
      </w:rPr>
      <w:t>&lt;PathFdR&gt;</w:t>
    </w:r>
    <w:r>
      <w:t>PR\1336608CS.docx</w:t>
    </w:r>
    <w:r>
      <w:rPr>
        <w:rStyle w:val="HideTWBExt"/>
      </w:rPr>
      <w:t>&lt;/PathFdR&gt;</w:t>
    </w:r>
  </w:p>
  <w:p>
    <w:pPr>
      <w:pStyle w:val="EPFooter2"/>
    </w:pPr>
    <w:r>
      <w:t>CS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&lt;PathFdR&gt;</w:t>
    </w:r>
    <w:r>
      <w:t>PR\1336608CS.docx</w:t>
    </w:r>
    <w:r>
      <w:rPr>
        <w:rStyle w:val="HideTWBExt"/>
      </w:rPr>
      <w:t>&lt;/PathFdR&gt;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t>5</w:t>
    </w:r>
    <w:r>
      <w:fldChar w:fldCharType="end"/>
    </w:r>
    <w:r>
      <w:t>/</w:t>
    </w:r>
    <w:r>
      <w:fldChar w:fldCharType="begin"/>
    </w:r>
    <w:r>
      <w:instrText xml:space="preserve"> NUMPAGES </w:instrText>
    </w:r>
    <w:r>
      <w:fldChar w:fldCharType="separate"/>
    </w:r>
    <w:r>
      <w:t>6</w:t>
    </w:r>
    <w:r>
      <w:fldChar w:fldCharType="end"/>
    </w:r>
    <w:r>
      <w:tab/>
    </w:r>
    <w:r>
      <w:t>PE</w:t>
    </w:r>
    <w:r>
      <w:rPr>
        <w:rStyle w:val="HideTWBExt"/>
      </w:rPr>
      <w:t>&lt;NoPE&gt;</w:t>
    </w:r>
    <w:r>
      <w:t>784.237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</w:p>
  <w:p>
    <w:pPr>
      <w:pStyle w:val="EPFooter2"/>
    </w:pPr>
    <w:r>
      <w:tab/>
    </w:r>
    <w:r>
      <w:tab/>
    </w:r>
    <w:r>
      <w:t>CS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&lt;PathFdR&gt;</w:t>
    </w:r>
    <w:r>
      <w:t>PR\1336608CS.docx</w:t>
    </w:r>
    <w:r>
      <w:rPr>
        <w:rStyle w:val="HideTWBExt"/>
      </w:rPr>
      <w:t>&lt;/PathFdR&gt;</w:t>
    </w:r>
    <w:r>
      <w:tab/>
    </w:r>
    <w:r>
      <w:tab/>
    </w:r>
    <w:r>
      <w:t>PE</w:t>
    </w:r>
    <w:r>
      <w:rPr>
        <w:rStyle w:val="HideTWBExt"/>
      </w:rPr>
      <w:t>&lt;NoPE&gt;</w:t>
    </w:r>
    <w:r>
      <w:t>784.237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</w:p>
  <w:p>
    <w:pPr>
      <w:pStyle w:val="EPFooter2"/>
    </w:pPr>
    <w:r>
      <w:t>CS</w:t>
    </w:r>
    <w:r>
      <w:tab/>
    </w:r>
    <w:r>
      <w:rPr>
        <w:rStyle w:val="EPFooter2Motto"/>
      </w:rPr>
      <w:t>Jednotná v rozmanitosti</w:t>
    </w:r>
    <w:r>
      <w:tab/>
    </w:r>
    <w:r>
      <w:t>CS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pPr>
        <w:spacing w:after="0" w:line="240" w:lineRule="auto"/>
      </w:pPr>
      <w:r>
        <w:separator/>
      </w:r>
    </w:p>
  </w:footnote>
  <w:footnote w:type="continuationSeparator" w:id="1">
    <w:p>
      <w:pPr>
        <w:spacing w:after="0" w:line="240" w:lineRule="auto"/>
      </w:pPr>
      <w:r>
        <w:continuationSeparator/>
      </w:r>
    </w:p>
  </w:footnote>
  <w:footnote w:id="2">
    <w:p>
      <w:pPr>
        <w:pStyle w:val="FootnoteText"/>
      </w:pPr>
      <w:r>
        <w:rPr>
          <w:vertAlign w:val="superscript"/>
        </w:rPr>
        <w:t>1</w:t>
      </w:r>
      <w:r>
        <w:t xml:space="preserve"> </w:t>
      </w:r>
      <w:r>
        <w:t xml:space="preserve">Usnesení Evropského parlamentu ze dne 28. února 2024 o finančních činnostech Evropské investiční banky – výroční zpráva za rok 2023 (Úř. věst. C, C/2024/6742, 26.11.2024, ELI: </w:t>
      </w:r>
      <w:hyperlink r:id="rId1" w:tgtFrame="http://data.europa.eu/eli/C/2024/6742/oj" w:history="1">
        <w:r>
          <w:rPr>
            <w:rStyle w:val="Hyperlink"/>
          </w:rPr>
          <w:t>http://data.europa.eu/eli/C/2024/6742/oj</w:t>
        </w:r>
      </w:hyperlink>
      <w:r>
        <w:t>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1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evenAndOddHeaders/>
  <w:noPunctuationKerning/>
  <w:characterSpacingControl w:val="doNotCompress"/>
  <w:footnotePr>
    <w:numRestart w:val="eachSect"/>
    <w:footnote w:id="0"/>
    <w:footnote w:id="1"/>
  </w:foot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TOCPage">
    <w:name w:val="TOC Page"/>
    <w:basedOn w:val="Normal"/>
    <w:pPr>
      <w:keepNext/>
      <w:widowControl/>
      <w:spacing w:after="240"/>
      <w:jc w:val="right"/>
    </w:pPr>
    <w:rPr>
      <w:rFonts w:ascii="Arial" w:hAnsi="Arial"/>
      <w:b/>
    </w:rPr>
  </w:style>
  <w:style w:type="paragraph" w:customStyle="1" w:styleId="PageHeading">
    <w:name w:val="PageHeading"/>
    <w:basedOn w:val="Normal"/>
    <w:pPr>
      <w:keepNext/>
      <w:widowControl/>
      <w:spacing w:after="480"/>
      <w:jc w:val="center"/>
    </w:pPr>
    <w:rPr>
      <w:rFonts w:ascii="Arial" w:eastAsia="Arial" w:hAnsi="Arial" w:cs="Arial"/>
      <w:b/>
    </w:rPr>
  </w:style>
  <w:style w:type="paragraph" w:customStyle="1" w:styleId="EPComma">
    <w:name w:val="EPComma"/>
    <w:basedOn w:val="Normal"/>
    <w:pPr>
      <w:widowControl/>
      <w:spacing w:before="480" w:after="240"/>
    </w:pPr>
  </w:style>
  <w:style w:type="paragraph" w:customStyle="1" w:styleId="NormalBold">
    <w:name w:val="NormalBold"/>
    <w:basedOn w:val="Normal"/>
    <w:pPr>
      <w:widowControl/>
    </w:pPr>
    <w:rPr>
      <w:b/>
    </w:rPr>
  </w:style>
  <w:style w:type="paragraph" w:customStyle="1" w:styleId="EPName">
    <w:name w:val="EPName"/>
    <w:basedOn w:val="Normal"/>
    <w:pPr>
      <w:widowControl/>
      <w:spacing w:before="80" w:after="80"/>
    </w:pPr>
    <w:rPr>
      <w:rFonts w:ascii="Arial Narrow" w:eastAsia="Arial" w:hAnsi="Arial Narrow" w:cs="Arial"/>
      <w:b/>
      <w:sz w:val="32"/>
    </w:rPr>
  </w:style>
  <w:style w:type="paragraph" w:customStyle="1" w:styleId="EPTerm">
    <w:name w:val="EPTerm"/>
    <w:basedOn w:val="Normal"/>
    <w:next w:val="Normal"/>
    <w:pPr>
      <w:widowControl/>
      <w:spacing w:after="80"/>
    </w:pPr>
    <w:rPr>
      <w:rFonts w:ascii="Arial" w:eastAsia="Arial" w:hAnsi="Arial" w:cs="Arial"/>
      <w:sz w:val="20"/>
    </w:rPr>
  </w:style>
  <w:style w:type="paragraph" w:customStyle="1" w:styleId="EPFooter">
    <w:name w:val="EPFooter"/>
    <w:basedOn w:val="Normal"/>
    <w:pPr>
      <w:widowControl/>
      <w:tabs>
        <w:tab w:val="center" w:pos="4534"/>
        <w:tab w:val="right" w:pos="9070"/>
      </w:tabs>
      <w:spacing w:before="240" w:after="240"/>
    </w:pPr>
    <w:rPr>
      <w:sz w:val="22"/>
    </w:rPr>
  </w:style>
  <w:style w:type="character" w:customStyle="1" w:styleId="HideTWBExt">
    <w:name w:val="HideTWBExt"/>
    <w:rPr>
      <w:rFonts w:ascii="Arial" w:hAnsi="Arial"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4"/>
        <w:tab w:val="right" w:pos="9920"/>
      </w:tabs>
      <w:ind w:left="-840" w:right="-840"/>
    </w:pPr>
    <w:rPr>
      <w:rFonts w:ascii="Arial" w:eastAsia="Arial" w:hAnsi="Arial" w:cs="Arial"/>
      <w:b/>
      <w:sz w:val="48"/>
    </w:rPr>
  </w:style>
  <w:style w:type="paragraph" w:customStyle="1" w:styleId="Normal12a">
    <w:name w:val="Normal12a"/>
    <w:basedOn w:val="Normal"/>
    <w:pPr>
      <w:widowControl/>
      <w:spacing w:after="240"/>
    </w:pPr>
  </w:style>
  <w:style w:type="character" w:customStyle="1" w:styleId="HideTWBInt">
    <w:name w:val="HideTWBInt"/>
    <w:rPr>
      <w:rFonts w:ascii="Arial" w:hAnsi="Arial"/>
      <w:vanish/>
      <w:color w:val="808080"/>
      <w:sz w:val="20"/>
    </w:rPr>
  </w:style>
  <w:style w:type="paragraph" w:customStyle="1" w:styleId="CoverNormal24a">
    <w:name w:val="CoverNormal24a"/>
    <w:basedOn w:val="Normal"/>
    <w:pPr>
      <w:widowControl/>
      <w:spacing w:after="480"/>
      <w:ind w:left="1416"/>
    </w:pPr>
  </w:style>
  <w:style w:type="paragraph" w:customStyle="1" w:styleId="CoverNormal">
    <w:name w:val="CoverNormal"/>
    <w:basedOn w:val="Normal"/>
    <w:pPr>
      <w:widowControl/>
      <w:ind w:left="1418"/>
    </w:pPr>
  </w:style>
  <w:style w:type="paragraph" w:customStyle="1" w:styleId="CoverReference">
    <w:name w:val="CoverReference"/>
    <w:basedOn w:val="Normal"/>
    <w:pPr>
      <w:widowControl/>
      <w:spacing w:before="1080"/>
      <w:jc w:val="right"/>
    </w:pPr>
    <w:rPr>
      <w:rFonts w:ascii="Arial" w:hAnsi="Arial"/>
      <w:b/>
    </w:rPr>
  </w:style>
  <w:style w:type="paragraph" w:customStyle="1" w:styleId="CoverDocType24a">
    <w:name w:val="CoverDocType24a"/>
    <w:basedOn w:val="Normal"/>
    <w:pPr>
      <w:widowControl/>
      <w:spacing w:after="480"/>
      <w:ind w:left="1416"/>
    </w:pPr>
    <w:rPr>
      <w:rFonts w:ascii="Arial" w:eastAsia="Arial" w:hAnsi="Arial" w:cs="Arial"/>
      <w:b/>
      <w:sz w:val="48"/>
    </w:rPr>
  </w:style>
  <w:style w:type="paragraph" w:customStyle="1" w:styleId="CoverDate">
    <w:name w:val="CoverDate"/>
    <w:basedOn w:val="Normal"/>
    <w:pPr>
      <w:widowControl/>
      <w:spacing w:before="240" w:after="1200"/>
    </w:pPr>
  </w:style>
  <w:style w:type="paragraph" w:customStyle="1" w:styleId="NormalHanging12a">
    <w:name w:val="NormalHanging12a"/>
    <w:basedOn w:val="Normal"/>
    <w:pPr>
      <w:widowControl/>
      <w:overflowPunct/>
      <w:spacing w:after="240"/>
      <w:ind w:left="566" w:hanging="566"/>
    </w:pPr>
  </w:style>
  <w:style w:type="paragraph" w:customStyle="1" w:styleId="EPBody">
    <w:name w:val="EPBody"/>
    <w:basedOn w:val="Normal"/>
    <w:pPr>
      <w:widowControl/>
      <w:jc w:val="center"/>
    </w:pPr>
    <w:rPr>
      <w:rFonts w:ascii="Arial" w:eastAsia="Arial" w:hAnsi="Arial" w:cs="Arial"/>
      <w:i/>
      <w:sz w:val="22"/>
    </w:rPr>
  </w:style>
  <w:style w:type="paragraph" w:customStyle="1" w:styleId="LineTop">
    <w:name w:val="LineTop"/>
    <w:basedOn w:val="Normal"/>
    <w:next w:val="Normal"/>
    <w:pPr>
      <w:widowControl/>
      <w:pBdr>
        <w:top w:val="single" w:sz="4" w:space="1" w:color="000000"/>
      </w:pBdr>
      <w:jc w:val="center"/>
    </w:pPr>
    <w:rPr>
      <w:rFonts w:ascii="Arial" w:hAnsi="Arial"/>
      <w:sz w:val="16"/>
    </w:rPr>
  </w:style>
  <w:style w:type="paragraph" w:customStyle="1" w:styleId="LineBottom">
    <w:name w:val="LineBottom"/>
    <w:basedOn w:val="Normal"/>
    <w:next w:val="Normal"/>
    <w:pPr>
      <w:widowControl/>
      <w:pBdr>
        <w:bottom w:val="single" w:sz="4" w:space="1" w:color="000000"/>
      </w:pBdr>
      <w:spacing w:after="240"/>
      <w:jc w:val="center"/>
    </w:pPr>
    <w:rPr>
      <w:rFonts w:ascii="Arial" w:hAnsi="Arial"/>
      <w:sz w:val="16"/>
    </w:rPr>
  </w:style>
  <w:style w:type="paragraph" w:customStyle="1" w:styleId="EPLogo">
    <w:name w:val="EPLogo"/>
    <w:basedOn w:val="Normal"/>
    <w:pPr>
      <w:widowControl/>
      <w:jc w:val="right"/>
    </w:pPr>
  </w:style>
  <w:style w:type="paragraph" w:customStyle="1" w:styleId="CoverNormal12a">
    <w:name w:val="CoverNormal12a"/>
    <w:basedOn w:val="Normal"/>
    <w:pPr>
      <w:widowControl/>
      <w:spacing w:after="240"/>
      <w:ind w:left="1418"/>
    </w:pPr>
  </w:style>
  <w:style w:type="paragraph" w:customStyle="1" w:styleId="LegendSign">
    <w:name w:val="LegendSign"/>
    <w:basedOn w:val="Normal"/>
    <w:pPr>
      <w:widowControl/>
      <w:tabs>
        <w:tab w:val="right" w:pos="454"/>
        <w:tab w:val="left" w:pos="736"/>
      </w:tabs>
      <w:overflowPunct/>
      <w:ind w:left="736" w:hanging="736"/>
    </w:pPr>
    <w:rPr>
      <w:sz w:val="18"/>
    </w:rPr>
  </w:style>
  <w:style w:type="paragraph" w:customStyle="1" w:styleId="LegendStandard">
    <w:name w:val="LegendStandard"/>
    <w:basedOn w:val="LegendSign"/>
    <w:pPr>
      <w:widowControl/>
      <w:ind w:left="0" w:firstLine="0"/>
    </w:pPr>
  </w:style>
  <w:style w:type="paragraph" w:customStyle="1" w:styleId="LegendTitle">
    <w:name w:val="LegendTitle"/>
    <w:basedOn w:val="Normal"/>
    <w:pPr>
      <w:widowControl/>
      <w:spacing w:before="240" w:after="240"/>
    </w:pPr>
    <w:rPr>
      <w:b/>
      <w:i/>
    </w:rPr>
  </w:style>
  <w:style w:type="paragraph" w:styleId="TOC1">
    <w:name w:val="toc 1"/>
    <w:basedOn w:val="Normal12b"/>
    <w:next w:val="Normal12b"/>
    <w:autoRedefine/>
    <w:rsid w:val="00805BCE"/>
    <w:pPr>
      <w:widowControl/>
      <w:spacing w:after="240"/>
    </w:pPr>
  </w:style>
  <w:style w:type="character" w:customStyle="1" w:styleId="EPFooter2Motto">
    <w:name w:val="EPFooter2Motto"/>
    <w:rPr>
      <w:rFonts w:ascii="Arial" w:hAnsi="Arial"/>
      <w:b/>
      <w:i/>
      <w:color w:val="C0C0C0"/>
      <w:sz w:val="22"/>
    </w:rPr>
  </w:style>
  <w:style w:type="paragraph" w:customStyle="1" w:styleId="Normal12b">
    <w:name w:val="Normal12b"/>
    <w:basedOn w:val="Normal"/>
    <w:pPr>
      <w:widowControl/>
      <w:spacing w:before="240"/>
    </w:pPr>
  </w:style>
  <w:style w:type="paragraph" w:customStyle="1" w:styleId="PMissingStyle">
    <w:name w:val="P_MissingStyle"/>
    <w:basedOn w:val="Normal"/>
    <w:pPr>
      <w:widowControl/>
      <w:spacing w:after="0" w:line="240" w:lineRule="auto"/>
    </w:pPr>
    <w:rPr>
      <w:rFonts w:ascii="Times New Roman" w:eastAsia="Times New Roman" w:hAnsi="Times New Roman" w:cs="Times New Roman"/>
      <w:color w:val="FFFFFF"/>
      <w:sz w:val="24"/>
    </w:rPr>
  </w:style>
  <w:style w:type="character" w:customStyle="1" w:styleId="CMissingStyle">
    <w:name w:val="C_MissingStyle"/>
    <w:rPr>
      <w:color w:val="FFFFFF"/>
      <w:sz w:val="22"/>
    </w:rPr>
  </w:style>
  <w:style w:type="paragraph" w:styleId="TOCHeading">
    <w:name w:val="TOC Heading"/>
    <w:basedOn w:val="Normal"/>
    <w:next w:val="Normal"/>
    <w:uiPriority w:val="39"/>
    <w:unhideWhenUsed/>
    <w:qFormat/>
    <w:rsid w:val="000200DD"/>
    <w:pPr>
      <w:keepNext/>
      <w:widowControl/>
      <w:spacing w:before="240" w:after="240"/>
      <w:jc w:val="center"/>
      <w:outlineLvl w:val="9"/>
    </w:pPr>
    <w:rPr>
      <w:rFonts w:ascii="Arial" w:hAnsi="Arial"/>
      <w:b/>
    </w:rPr>
  </w:style>
  <w:style w:type="paragraph" w:customStyle="1" w:styleId="Normal12">
    <w:name w:val="Normal12"/>
    <w:basedOn w:val="Normal"/>
    <w:pPr>
      <w:widowControl/>
      <w:spacing w:after="24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NormalHanging12a4">
    <w:name w:val="NormalHanging12a4"/>
    <w:basedOn w:val="NormalHanging12a3"/>
    <w:pPr>
      <w:widowControl/>
      <w:ind w:left="2268"/>
    </w:pPr>
  </w:style>
  <w:style w:type="paragraph" w:customStyle="1" w:styleId="NormalHanging12a5">
    <w:name w:val="NormalHanging12a5"/>
    <w:basedOn w:val="NormalHanging12a4"/>
    <w:pPr>
      <w:widowControl/>
      <w:ind w:left="2692"/>
    </w:pPr>
  </w:style>
  <w:style w:type="paragraph" w:customStyle="1" w:styleId="NormalHanging12a6">
    <w:name w:val="NormalHanging12a6"/>
    <w:basedOn w:val="NormalHanging12a5"/>
    <w:pPr>
      <w:widowControl/>
      <w:ind w:left="3118"/>
    </w:pPr>
  </w:style>
  <w:style w:type="paragraph" w:customStyle="1" w:styleId="NormalHanging12a7">
    <w:name w:val="NormalHanging12a7"/>
    <w:basedOn w:val="NormalHanging12a6"/>
    <w:pPr>
      <w:widowControl/>
      <w:ind w:left="3544"/>
    </w:pPr>
  </w:style>
  <w:style w:type="paragraph" w:customStyle="1" w:styleId="NormalHanging12a1">
    <w:name w:val="NormalHanging12a1"/>
    <w:basedOn w:val="Normal"/>
    <w:pPr>
      <w:widowControl/>
      <w:overflowPunct/>
      <w:spacing w:after="240" w:line="240" w:lineRule="auto"/>
      <w:ind w:left="992" w:hanging="424"/>
    </w:pPr>
    <w:rPr>
      <w:rFonts w:ascii="Times New Roman" w:eastAsia="Times New Roman" w:hAnsi="Times New Roman" w:cs="Times New Roman"/>
      <w:sz w:val="24"/>
    </w:rPr>
  </w:style>
  <w:style w:type="paragraph" w:customStyle="1" w:styleId="NormalHanging12a2">
    <w:name w:val="NormalHanging12a2"/>
    <w:basedOn w:val="NormalHanging12a1"/>
    <w:pPr>
      <w:widowControl/>
      <w:ind w:left="1416"/>
    </w:pPr>
  </w:style>
  <w:style w:type="paragraph" w:customStyle="1" w:styleId="NormalHanging12a3">
    <w:name w:val="NormalHanging12a3"/>
    <w:basedOn w:val="NormalHanging12a2"/>
    <w:pPr>
      <w:widowControl/>
      <w:ind w:left="1842"/>
    </w:pPr>
  </w:style>
  <w:style w:type="paragraph" w:customStyle="1" w:styleId="NormalHanging">
    <w:name w:val="NormalHanging"/>
    <w:basedOn w:val="Normal"/>
    <w:pPr>
      <w:widowControl/>
      <w:overflowPunct/>
      <w:spacing w:after="240" w:line="240" w:lineRule="auto"/>
      <w:ind w:left="566" w:hanging="566"/>
    </w:pPr>
    <w:rPr>
      <w:rFonts w:ascii="Times New Roman" w:eastAsia="Times New Roman" w:hAnsi="Times New Roman" w:cs="Times New Roman"/>
      <w:sz w:val="24"/>
    </w:rPr>
  </w:style>
  <w:style w:type="character" w:customStyle="1" w:styleId="FooterChar">
    <w:name w:val="Footer Char"/>
    <w:rPr>
      <w:rFonts w:ascii="Times New Roman" w:eastAsia="Times New Roman" w:hAnsi="Times New Roman" w:cs="Times New Roman"/>
      <w:sz w:val="24"/>
    </w:rPr>
  </w:style>
  <w:style w:type="paragraph" w:customStyle="1" w:styleId="NormalBold12a">
    <w:name w:val="NormalBold12a"/>
    <w:basedOn w:val="Normal"/>
    <w:pPr>
      <w:widowControl/>
      <w:spacing w:after="240"/>
    </w:pPr>
    <w:rPr>
      <w:b/>
    </w:rPr>
  </w:style>
  <w:style w:type="paragraph" w:customStyle="1" w:styleId="NormalCenter12a">
    <w:name w:val="NormalCenter12a"/>
    <w:basedOn w:val="Normal"/>
    <w:pPr>
      <w:widowControl/>
      <w:spacing w:after="240"/>
      <w:jc w:val="center"/>
    </w:pPr>
  </w:style>
  <w:style w:type="paragraph" w:customStyle="1" w:styleId="Normal12BoldUnderline">
    <w:name w:val="Normal12BoldUnderline"/>
    <w:basedOn w:val="Normal"/>
    <w:pPr>
      <w:widowControl/>
      <w:spacing w:before="480"/>
    </w:pPr>
    <w:rPr>
      <w:b/>
      <w:u w:val="single"/>
    </w:rPr>
  </w:style>
  <w:style w:type="paragraph" w:customStyle="1" w:styleId="Normal12Bullet2">
    <w:name w:val="Normal12Bullet2"/>
    <w:basedOn w:val="Normal"/>
    <w:pPr>
      <w:widowControl/>
      <w:numPr>
        <w:numId w:val="2"/>
      </w:numPr>
    </w:pPr>
  </w:style>
  <w:style w:type="paragraph" w:customStyle="1" w:styleId="NormalHangingJustified">
    <w:name w:val="NormalHangingJustified"/>
    <w:basedOn w:val="Normal"/>
    <w:pPr>
      <w:widowControl/>
      <w:overflowPunct/>
      <w:spacing w:after="240"/>
      <w:ind w:left="714" w:hanging="356"/>
      <w:jc w:val="both"/>
    </w:pPr>
  </w:style>
  <w:style w:type="paragraph" w:customStyle="1" w:styleId="NormalCenter">
    <w:name w:val="NormalCenter"/>
    <w:basedOn w:val="Normal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4"/>
    </w:rPr>
  </w:style>
  <w:style w:type="character" w:styleId="FootnoteReference">
    <w:name w:val="footnote reference"/>
    <w:basedOn w:val="DefaultParagraphFont"/>
    <w:rsid w:val="00805BCE"/>
    <w:rPr>
      <w:vertAlign w:val="superscript"/>
    </w:rPr>
  </w:style>
  <w:style w:type="paragraph" w:styleId="FootnoteText">
    <w:name w:val="footnote text"/>
    <w:basedOn w:val="Normal"/>
    <w:rsid w:val="00805BCE"/>
    <w:rPr>
      <w:sz w:val="20"/>
      <w:szCs w:val="20"/>
    </w:rPr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image" Target="media/image1.pn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footer" Target="footer3.xml" /><Relationship Id="rId9" Type="http://schemas.openxmlformats.org/officeDocument/2006/relationships/theme" Target="theme/theme1.xml" /></Relationships>
</file>

<file path=word/_rels/footnotes.xml.rels><?xml version="1.0" encoding="utf-8" standalone="yes"?><Relationships xmlns="http://schemas.openxmlformats.org/package/2006/relationships"><Relationship Id="rId1" Type="http://schemas.openxmlformats.org/officeDocument/2006/relationships/hyperlink" Target="http://data.europa.eu/eli/C/2024/6742/oj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6</Pages>
  <Words>1209</Words>
  <Characters>7345</Characters>
  <Application>Microsoft Office Word</Application>
  <DocSecurity>0</DocSecurity>
  <Lines>1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PR_INI</dc:title>
  <dc:creator>e-Parliament@europarl.europa.eu</dc:creator>
  <cp:lastModifiedBy>e-Parliament@europarl.europa.eu</cp:lastModifiedBy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CS</vt:lpwstr>
  </property>
  <property fmtid="{D5CDD505-2E9C-101B-9397-08002B2CF9AE}" pid="3" name="&lt;FdR&gt;">
    <vt:lpwstr>1336608</vt:lpwstr>
  </property>
  <property fmtid="{D5CDD505-2E9C-101B-9397-08002B2CF9AE}" pid="4" name="&lt;Model&gt;">
    <vt:lpwstr>PR_INI</vt:lpwstr>
  </property>
  <property fmtid="{D5CDD505-2E9C-101B-9397-08002B2CF9AE}" pid="5" name="&lt;Type&gt;">
    <vt:lpwstr>PR</vt:lpwstr>
  </property>
  <property fmtid="{D5CDD505-2E9C-101B-9397-08002B2CF9AE}" pid="6" name="dmxml.render.id">
    <vt:lpwstr>386673</vt:lpwstr>
  </property>
  <property fmtid="{D5CDD505-2E9C-101B-9397-08002B2CF9AE}" pid="7" name="dmxml.render.traceId">
    <vt:lpwstr>6997307719855f502d1fe636e86ed491</vt:lpwstr>
  </property>
  <property fmtid="{D5CDD505-2E9C-101B-9397-08002B2CF9AE}" pid="8" name="FooterPath">
    <vt:lpwstr>PR\1336608CS.doc</vt:lpwstr>
  </property>
  <property fmtid="{D5CDD505-2E9C-101B-9397-08002B2CF9AE}" pid="9" name="PE Number">
    <vt:lpwstr>784.237</vt:lpwstr>
  </property>
  <property fmtid="{D5CDD505-2E9C-101B-9397-08002B2CF9AE}" pid="10" name="UID">
    <vt:lpwstr>eu.europa.europarl-DIN1-2026-0000024936_01.03-cs-01.00_text-xml</vt:lpwstr>
  </property>
</Properties>
</file>