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{CONT}</w:t>
      </w:r>
      <w:r>
        <w:t>Budgetkontroludvalget</w:t>
      </w:r>
      <w:r>
        <w:rPr>
          <w:rStyle w:val="HideTWBExt"/>
        </w:rPr>
        <w:t>&lt;/Commission&gt;</w:t>
      </w:r>
    </w:p>
    <w:p>
      <w:pPr>
        <w:pStyle w:val="LineBottom"/>
      </w:pPr>
      <w:r>
        <w:t xml:space="preserve"> </w:t>
      </w:r>
    </w:p>
    <w:p>
      <w:pPr>
        <w:pStyle w:val="CoverReference"/>
      </w:pPr>
      <w:r>
        <w:rPr>
          <w:rStyle w:val="HideTWBExt"/>
        </w:rPr>
        <w:t>&lt;RefProc&gt;</w:t>
      </w:r>
      <w:r>
        <w:t>2025/2237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24a"/>
      </w:pPr>
      <w:r>
        <w:rPr>
          <w:rStyle w:val="HideTWBExt"/>
        </w:rPr>
        <w:t>&lt;TitreType&gt;</w:t>
      </w:r>
      <w:r>
        <w:t>UDKAST TIL BETÆNKNING</w:t>
      </w:r>
      <w:r>
        <w:rPr>
          <w:rStyle w:val="HideTWBExt"/>
        </w:rPr>
        <w:t>&lt;/TitreType&gt;</w:t>
      </w:r>
    </w:p>
    <w:p>
      <w:pPr>
        <w:pStyle w:val="CoverNormal"/>
      </w:pPr>
      <w:r>
        <w:rPr>
          <w:rStyle w:val="HideTWBExt"/>
        </w:rPr>
        <w:t>&lt;Titre&gt;</w:t>
      </w:r>
      <w:r>
        <w:t>om kontrol af Den Europæiske Investeringsbank-Gruppens finansielle aktiviteter – årlig betænkning 2024</w:t>
      </w:r>
      <w:r>
        <w:rPr>
          <w:rStyle w:val="HideTWBExt"/>
        </w:rPr>
        <w:t>&lt;/Titre&gt;</w:t>
      </w:r>
    </w:p>
    <w:p>
      <w:pPr>
        <w:pStyle w:val="CoverNormal24a"/>
      </w:pPr>
      <w:r>
        <w:rPr>
          <w:rStyle w:val="HideTWBExt"/>
        </w:rPr>
        <w:t>&lt;DocRef&gt;</w:t>
      </w:r>
      <w:r>
        <w:t>(2025/2237(INI))</w:t>
      </w:r>
      <w:r>
        <w:rPr>
          <w:rStyle w:val="HideTWBExt"/>
        </w:rPr>
        <w:t>&lt;/DocRef&gt;</w:t>
      </w:r>
    </w:p>
    <w:p>
      <w:pPr>
        <w:pStyle w:val="CoverNormal24a"/>
      </w:pPr>
      <w:r>
        <w:rPr>
          <w:rStyle w:val="HideTWBExt"/>
        </w:rPr>
        <w:t>&lt;Commission&gt;</w:t>
      </w:r>
      <w:r>
        <w:rPr>
          <w:rStyle w:val="HideTWBInt"/>
        </w:rPr>
        <w:t>{CONT}</w:t>
      </w:r>
      <w:r>
        <w:t>Budgetkontroludvalget</w:t>
      </w:r>
      <w:r>
        <w:rPr>
          <w:rStyle w:val="HideTWBExt"/>
        </w:rPr>
        <w:t>&lt;/Commission&gt;</w:t>
      </w:r>
    </w:p>
    <w:p>
      <w:pPr>
        <w:pStyle w:val="CoverNormal24a"/>
      </w:pPr>
      <w:r>
        <w:t>Ordfører:</w:t>
      </w:r>
      <w:r>
        <w:t xml:space="preserve"> </w:t>
      </w:r>
      <w:r>
        <w:rPr>
          <w:rStyle w:val="HideTWBExt"/>
        </w:rPr>
        <w:t>&lt;Depute&gt;</w:t>
      </w:r>
      <w:r>
        <w:t>Dick Erixon</w:t>
      </w:r>
      <w:r>
        <w:rPr>
          <w:rStyle w:val="HideTWBExt"/>
        </w:rPr>
        <w:t>&lt;/Depute&gt;</w:t>
      </w:r>
    </w:p>
    <w:p>
      <w:r>
        <w:br w:type="page"/>
      </w:r>
      <w:r>
        <w:t>PR_INI</w:t>
      </w:r>
    </w:p>
    <w:p>
      <w:pPr>
        <w:pStyle w:val="TOCHeading"/>
      </w:pPr>
      <w:r>
        <w:t>INDHOLD</w:t>
      </w:r>
    </w:p>
    <w:p>
      <w:pPr>
        <w:pStyle w:val="TOCPage"/>
      </w:pPr>
      <w:r>
        <w:t>Side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FORSLAG TIL EUROPA-PARLAMENTETS BESLUTNING</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FORSLAG TIL EUROPA-PARLAMENTETS BESLUTNING</w:t>
      </w:r>
      <w:bookmarkEnd w:id="0"/>
    </w:p>
    <w:p>
      <w:pPr>
        <w:pStyle w:val="NormalBold"/>
      </w:pPr>
      <w:r>
        <w:t>om kontrol af Den Europæiske Investeringsbank-Gruppens finansielle aktiviteter – årlig betænkning 2024</w:t>
      </w:r>
    </w:p>
    <w:p>
      <w:pPr>
        <w:pStyle w:val="NormalBold"/>
      </w:pPr>
    </w:p>
    <w:p>
      <w:pPr>
        <w:pStyle w:val="NormalBold12a"/>
      </w:pPr>
      <w:r>
        <w:t>(</w:t>
      </w:r>
      <w:r>
        <w:t>2025/2237(INI)</w:t>
      </w:r>
      <w:r>
        <w:t>)</w:t>
      </w:r>
    </w:p>
    <w:p>
      <w:pPr>
        <w:pStyle w:val="Normal12"/>
      </w:pPr>
      <w:r>
        <w:rPr>
          <w:i/>
        </w:rPr>
        <w:t>Europa-Parlamentet</w:t>
      </w:r>
      <w:r>
        <w:t>,</w:t>
      </w:r>
    </w:p>
    <w:p>
      <w:pPr>
        <w:pStyle w:val="NormalHanging"/>
      </w:pPr>
      <w:r>
        <w:t>–</w:t>
      </w:r>
      <w:r>
        <w:tab/>
      </w:r>
      <w:r>
        <w:t xml:space="preserve">der henviser til EIB's </w:t>
      </w:r>
      <w:r>
        <w:rPr>
          <w:i/>
        </w:rPr>
        <w:t>Investment Report 2024/2025 – Innovation, integration and simplification in Europe</w:t>
      </w:r>
      <w:r>
        <w:t xml:space="preserve"> (investeringsrapport 2024/2025 – Innovation, integration og forenkling i Europa), som blev offentliggjort den 5. marts 2025,</w:t>
      </w:r>
    </w:p>
    <w:p>
      <w:pPr>
        <w:pStyle w:val="NormalHanging"/>
      </w:pPr>
      <w:r>
        <w:t>–</w:t>
      </w:r>
      <w:r>
        <w:tab/>
      </w:r>
      <w:r>
        <w:t xml:space="preserve">der henviser til </w:t>
      </w:r>
      <w:r>
        <w:t>Den Europæiske Revisionsrets</w:t>
      </w:r>
      <w:r>
        <w:t xml:space="preserve"> særberetning 07/2025 af 19. marts 2025 om Den Europæiske Fond for Strategiske Investeringer,</w:t>
      </w:r>
    </w:p>
    <w:p>
      <w:pPr>
        <w:pStyle w:val="NormalHanging"/>
      </w:pPr>
      <w:r>
        <w:t>–</w:t>
      </w:r>
      <w:r>
        <w:tab/>
      </w:r>
      <w:r>
        <w:t xml:space="preserve">der henviser til erklæring CC 1/2025 af 30. september 2025 fra Kontaktkomitéen for de Overordnede Revisionsorganer i Den Europæiske Union om den eksterne offentlige revision af </w:t>
      </w:r>
      <w:r>
        <w:t>Den Europæiske Investeringsbank</w:t>
      </w:r>
      <w:r>
        <w:t>,</w:t>
      </w:r>
    </w:p>
    <w:p>
      <w:pPr>
        <w:pStyle w:val="NormalHanging"/>
      </w:pPr>
      <w:r>
        <w:t>–</w:t>
      </w:r>
      <w:r>
        <w:tab/>
      </w:r>
      <w:r>
        <w:t>der henviser til forretningsordenens artikel 55,</w:t>
      </w:r>
    </w:p>
    <w:p>
      <w:pPr>
        <w:pStyle w:val="NormalHanging"/>
      </w:pPr>
      <w:r>
        <w:t>–</w:t>
      </w:r>
      <w:r>
        <w:tab/>
      </w:r>
      <w:r>
        <w:t>der henviser til betænkning fra Budgetkontroludvalget (A10-0000/2026),</w:t>
      </w:r>
    </w:p>
    <w:p>
      <w:pPr>
        <w:pStyle w:val="NormalHanging"/>
      </w:pPr>
      <w:r>
        <w:t>A.</w:t>
      </w:r>
      <w:r>
        <w:tab/>
      </w:r>
      <w:r>
        <w:t xml:space="preserve">der henviser til, at </w:t>
      </w:r>
      <w:r>
        <w:t>Den Europæiske Investeringsbank-Gruppens</w:t>
      </w:r>
      <w:r>
        <w:t xml:space="preserve"> (EIB-Gruppens) hovedopgave er at sætte skub i den økonomiske vækst i EU; der henviser til, at dens investeringer bør afhjælpe reelle markedssvigt;</w:t>
      </w:r>
    </w:p>
    <w:p>
      <w:pPr>
        <w:pStyle w:val="NormalHanging"/>
      </w:pPr>
      <w:r>
        <w:t>B.</w:t>
      </w:r>
      <w:r>
        <w:tab/>
      </w:r>
      <w:r>
        <w:t>der henviser til, at socialpolitiske områder primært henhører under national kompetence; der henviser til, at EIB's finansiering ikke kan anvendes som erstatning for de nationale budgetter og skal påvise reel additionalitet;</w:t>
      </w:r>
    </w:p>
    <w:p>
      <w:pPr>
        <w:pStyle w:val="NormalHanging"/>
      </w:pPr>
      <w:r>
        <w:t>C.</w:t>
      </w:r>
      <w:r>
        <w:tab/>
      </w:r>
      <w:r>
        <w:t>der henviser til, at dybden og kvaliteten af Parlamentets tilsyn med EIB's finansielle transaktioner bør være i overensstemmelse med intensiteten af samarbejdet mellem EIB og Kommissionen, som er blevet meget stærkt;</w:t>
      </w:r>
    </w:p>
    <w:p>
      <w:pPr>
        <w:pStyle w:val="NormalHanging"/>
      </w:pPr>
      <w:r>
        <w:t>D.</w:t>
      </w:r>
      <w:r>
        <w:tab/>
      </w:r>
      <w:r>
        <w:t>der henviser til, at EIB ejes af medlemsstaterne, og at dens tegnede kapital på 248,8 mia. EUR udgør ansvar over for skatteyderne; der henviser til, at EIB's låntagning ikke fremgår af de nationale gældsstatistikker; der henviser til, at denne ikkebalanceførte karakter gør strenge effektivitetsstandarder og ekstern revision afgørende; der henviser til, at udvidelsen af EIB's mandat skal modsvares af en styrkelse af de eksterne revisionsordninger;</w:t>
      </w:r>
    </w:p>
    <w:p>
      <w:pPr>
        <w:pStyle w:val="Normal12a"/>
      </w:pPr>
      <w:r>
        <w:t>Finansielle transaktioner og præstation</w:t>
      </w:r>
    </w:p>
    <w:p>
      <w:pPr>
        <w:pStyle w:val="NormalHanging12a"/>
      </w:pPr>
      <w:r>
        <w:t>1.</w:t>
      </w:r>
      <w:r>
        <w:tab/>
      </w:r>
      <w:r>
        <w:t>bemærker EIB-Gruppens stabile finansielle præstation i 2024; understreger, at succes skal måles ved påviselige økonomiske resultater og ikke blot antallet af indgåede aftaler;</w:t>
      </w:r>
    </w:p>
    <w:p>
      <w:pPr>
        <w:pStyle w:val="NormalHanging12a"/>
      </w:pPr>
      <w:r>
        <w:t>2.</w:t>
      </w:r>
      <w:r>
        <w:tab/>
      </w:r>
      <w:r>
        <w:t>bemærker med bekymring, at andelen af betalinger, der er forfaldne med mere end 90 dage, tredobledes til i alt 281,3 mio. EUR ved udgangen af 2024 og udgjorde 0,06 % af den samlede låneportefølje (sammenlignet med 82,4 mio. EUR eller 0,02 % ved udgangen af 2023); fremhæver, at disse stigninger i misligholdte eksponeringer og forfaldne betalinger væsentligt overstiger væksten på 2 % i den samlede låneportefølje;</w:t>
      </w:r>
    </w:p>
    <w:p>
      <w:pPr>
        <w:pStyle w:val="Normal12a"/>
      </w:pPr>
      <w:r>
        <w:rPr>
          <w:b/>
          <w:i/>
        </w:rPr>
        <w:t>InvestEU, forenkling af den flerårige finansielle ramme og genopretnings- og resiliensfaciliteten</w:t>
      </w:r>
    </w:p>
    <w:p>
      <w:pPr>
        <w:pStyle w:val="NormalHanging12a"/>
      </w:pPr>
      <w:r>
        <w:t>3.</w:t>
      </w:r>
      <w:r>
        <w:tab/>
      </w:r>
      <w:r>
        <w:t>bemærker, at EIB i 2024 godkendte 38 transaktioner under InvestEU og anvendte 1,7 mia. EUR af EU-garantien; understreger, at InvestEU-programmet bør vurderes på grundlag af kvaliteten af dets interventioner og deres målbare virkning snarere end blot kvantiteten af de anvendte midler; insisterer på, at rapporteringen skal flytte fokus fra inputbaserede parametre til virkningsbaserede indikatorer, der viser reelle økonomiske resultater;</w:t>
      </w:r>
    </w:p>
    <w:p>
      <w:pPr>
        <w:pStyle w:val="NormalHanging12a"/>
      </w:pPr>
      <w:r>
        <w:t>4.</w:t>
      </w:r>
      <w:r>
        <w:tab/>
      </w:r>
      <w:r>
        <w:rPr>
          <w:b/>
        </w:rPr>
        <w:t xml:space="preserve"> </w:t>
      </w:r>
      <w:r>
        <w:t>bemærker, at det fragmenterede EU-finansieringslandskab fører til ineffektivitet; understreger, at mindskelse af bureaukratiet er afgørende for at genoprette konkurrenceevnen;</w:t>
      </w:r>
    </w:p>
    <w:p>
      <w:pPr>
        <w:pStyle w:val="Normal12a"/>
      </w:pPr>
      <w:r>
        <w:rPr>
          <w:b/>
          <w:i/>
        </w:rPr>
        <w:t>Energisikkerhed</w:t>
      </w:r>
    </w:p>
    <w:p>
      <w:pPr>
        <w:pStyle w:val="NormalHanging12a"/>
      </w:pPr>
      <w:r>
        <w:t>5.</w:t>
      </w:r>
      <w:r>
        <w:tab/>
      </w:r>
      <w:r>
        <w:t>opfordrer EIB til at udvide finansieringen af kerneenergi og evaluere alle kulstoffattige projekter på grundlag af objektive kriterier, herunder kulstofintensitet og netstabilitet i hele livscyklussen, uden at diskriminere mellem teknologier; understreger, at medlemsstaterne bevarer deres suveræne ret til selv at fastsætte deres energimiks;</w:t>
      </w:r>
    </w:p>
    <w:p>
      <w:pPr>
        <w:pStyle w:val="Normal12a"/>
      </w:pPr>
      <w:r>
        <w:rPr>
          <w:b/>
          <w:i/>
        </w:rPr>
        <w:t>Forsvars- og sikkerhedspolitik</w:t>
      </w:r>
    </w:p>
    <w:p>
      <w:pPr>
        <w:pStyle w:val="NormalHanging12a"/>
      </w:pPr>
      <w:r>
        <w:t>6.</w:t>
      </w:r>
      <w:r>
        <w:tab/>
      </w:r>
      <w:r>
        <w:t>understreger betydningen af EIB-Gruppens bidrag til Europas fred og sikkerhed, som fastsat i hvidbogen om europæisk forsvarsberedskab 2030, gennem dens støtte til initiativer til styrkelse af EU's forsvarsindustri, forbedring af cybersikkerhedsinfrastrukturen og fremme af innovation inden for kritiske forsvarsteknologier ved at yde finansiering og mobilisere private investeringer;</w:t>
      </w:r>
    </w:p>
    <w:p>
      <w:pPr>
        <w:pStyle w:val="NormalHanging12a"/>
      </w:pPr>
      <w:r>
        <w:t>7.</w:t>
      </w:r>
      <w:r>
        <w:tab/>
      </w:r>
      <w:r>
        <w:t>understreger, at EIB bør være i stand til at finansiere alle typer forsvarsprojekter;</w:t>
      </w:r>
    </w:p>
    <w:p>
      <w:pPr>
        <w:pStyle w:val="NormalHanging12a"/>
      </w:pPr>
      <w:r>
        <w:t>8.</w:t>
      </w:r>
      <w:r>
        <w:tab/>
      </w:r>
      <w:r>
        <w:t>opfordrer EIB til at identificere hindringer for forsvars- og grænsebeskyttelsesinvesteringer; understreger, at fjernelse af hindringer er afgørende for håndgribelige sikkerhedsresultater;</w:t>
      </w:r>
    </w:p>
    <w:p>
      <w:pPr>
        <w:pStyle w:val="NormalHanging12a"/>
      </w:pPr>
      <w:r>
        <w:t>9.</w:t>
      </w:r>
      <w:r>
        <w:tab/>
      </w:r>
      <w:r>
        <w:t>understreger betydningen af at etablere et struktureret samarbejde med NATO's Innovationsfond for at sikre synergier og undgå dobbeltarbejde, navnlig med hensyn til at opskalere teknologier, hvor den private kapital er utilstrækkelig;</w:t>
      </w:r>
    </w:p>
    <w:p>
      <w:pPr>
        <w:pStyle w:val="Normal12a"/>
      </w:pPr>
      <w:r>
        <w:rPr>
          <w:i/>
        </w:rPr>
        <w:t>Investeringer på områder, der henhører under national kompetence</w:t>
      </w:r>
      <w:r>
        <w:rPr>
          <w:b/>
          <w:i/>
        </w:rPr>
        <w:t xml:space="preserve"> </w:t>
      </w:r>
    </w:p>
    <w:p>
      <w:pPr>
        <w:pStyle w:val="NormalHanging12a"/>
      </w:pPr>
      <w:r>
        <w:t>10.</w:t>
      </w:r>
      <w:r>
        <w:tab/>
      </w:r>
      <w:r>
        <w:t>minder om, at boligudfordringer primært bør tackles på lokalt eller nationalt plan; sætter spørgsmålstegn ved, om EIB's finansiering af rent lokale boligprojekter uden en grænseoverskridende dimension giver reel valuta for pengene;</w:t>
      </w:r>
    </w:p>
    <w:p>
      <w:pPr>
        <w:pStyle w:val="Normal12a"/>
      </w:pPr>
      <w:r>
        <w:rPr>
          <w:b/>
          <w:i/>
        </w:rPr>
        <w:t>Støtte til SMV'er, midcapselskaber, startupvirksomheder, vækstvirksomheder og andre virksomheder</w:t>
      </w:r>
    </w:p>
    <w:p>
      <w:pPr>
        <w:pStyle w:val="NormalHanging12a"/>
      </w:pPr>
      <w:r>
        <w:t>11.</w:t>
      </w:r>
      <w:r>
        <w:tab/>
      </w:r>
      <w:r>
        <w:t>understreger, at EIB skal fokusere på reelle markedssvigt, og at dens investeringer ikke må tjene som erstatning for privat kapital eller nationale budgetter; understreger, at det er afgørende at beskytte det konkurrenceprægede markedsmiljø;</w:t>
      </w:r>
    </w:p>
    <w:p>
      <w:pPr>
        <w:pStyle w:val="NormalHanging12a"/>
      </w:pPr>
      <w:r>
        <w:t>12.</w:t>
      </w:r>
      <w:r>
        <w:tab/>
      </w:r>
      <w:r>
        <w:t xml:space="preserve">noterer sig konklusionerne i </w:t>
      </w:r>
      <w:r>
        <w:t>Den Europæiske Revisionsrets</w:t>
      </w:r>
      <w:r>
        <w:t xml:space="preserve"> særberetning 07/2025 om additionalitet, der ikke blev påvist i tilstrækkelig grad; advarer om faren ved at fortrænge private investeringer; opfordrer til kvantitative risikotærskler og efterfølgende fortrængningsvurderinger;</w:t>
      </w:r>
    </w:p>
    <w:p>
      <w:pPr>
        <w:pStyle w:val="NormalHanging12a"/>
      </w:pPr>
      <w:r>
        <w:t>13.</w:t>
      </w:r>
      <w:r>
        <w:tab/>
      </w:r>
      <w:r>
        <w:t>bemærker, at EIB-lån medfører større administrative byrder end kommercielle lån; opfordrer EIB til at offentliggøre planer for mindskelse af begrænsningerne;</w:t>
      </w:r>
    </w:p>
    <w:p>
      <w:pPr>
        <w:pStyle w:val="Normal12a"/>
      </w:pPr>
      <w:r>
        <w:rPr>
          <w:b/>
          <w:i/>
        </w:rPr>
        <w:t>Politikområder såsom samhørighed, klima, digitalisering og miljømæssig bæredygtighed</w:t>
      </w:r>
    </w:p>
    <w:p>
      <w:pPr>
        <w:pStyle w:val="NormalHanging12a"/>
      </w:pPr>
      <w:r>
        <w:t>14.</w:t>
      </w:r>
      <w:r>
        <w:tab/>
      </w:r>
      <w:r>
        <w:t>understreger, at rapportering baseret på mængde måler output og ikke resultater; opfordrer til resultatorienterede indikatorer såsom CO</w:t>
      </w:r>
      <w:r>
        <w:rPr>
          <w:vertAlign w:val="subscript"/>
        </w:rPr>
        <w:t>2</w:t>
      </w:r>
      <w:r>
        <w:t>-emissioner, der undgås pr. investeret euro; går ind for benchmarking i forhold til sammenlignelige interventioner;</w:t>
      </w:r>
    </w:p>
    <w:p>
      <w:pPr>
        <w:pStyle w:val="NormalHanging12a"/>
      </w:pPr>
      <w:r>
        <w:t>15.</w:t>
      </w:r>
      <w:r>
        <w:tab/>
      </w:r>
      <w:r>
        <w:t>advarer om, at den fortsatte akkumulering af overlappende mainstreamingmål risikerer at skabe en matematisk umulig porteføljesammensætning;</w:t>
      </w:r>
    </w:p>
    <w:p>
      <w:pPr>
        <w:pStyle w:val="Normal12a"/>
      </w:pPr>
      <w:r>
        <w:rPr>
          <w:b/>
          <w:i/>
        </w:rPr>
        <w:t xml:space="preserve">EIB's aktiviteter uden for EU </w:t>
      </w:r>
    </w:p>
    <w:p>
      <w:pPr>
        <w:pStyle w:val="NormalHanging12a"/>
      </w:pPr>
      <w:r>
        <w:t>16.</w:t>
      </w:r>
      <w:r>
        <w:tab/>
      </w:r>
      <w:r>
        <w:t>insisterer på, at långivning til lande uden for EU gøres betinget af samarbejde med EU om migrationsstyring, herunder tilbagetagelse;</w:t>
      </w:r>
    </w:p>
    <w:p>
      <w:pPr>
        <w:pStyle w:val="NormalHanging12a"/>
      </w:pPr>
      <w:r>
        <w:t>17.</w:t>
      </w:r>
      <w:r>
        <w:tab/>
      </w:r>
      <w:r>
        <w:t>understreger, at robuste foranstaltninger til bekæmpelse af svig er afgørende for at sikre skatteydernes tillid til EIB's investeringer og dens fortsatte støtte til Ukraine; opfordrer til strenge revisionsstandarder; fastholder, at EIB bør have ubegrænset tilsyn med alle sine investeringer uden for EU;</w:t>
      </w:r>
    </w:p>
    <w:p>
      <w:pPr>
        <w:pStyle w:val="Normal12a"/>
      </w:pPr>
      <w:r>
        <w:rPr>
          <w:b/>
          <w:i/>
        </w:rPr>
        <w:t>EIB's ansvarlighedsstruktur</w:t>
      </w:r>
    </w:p>
    <w:p>
      <w:pPr>
        <w:pStyle w:val="NormalHanging12a"/>
      </w:pPr>
      <w:r>
        <w:t>18.</w:t>
      </w:r>
      <w:r>
        <w:tab/>
      </w:r>
      <w:r>
        <w:t xml:space="preserve">tilslutter sig Kontaktudvalgets erklæring CC 1/2025, der identificerer kritiske revisionsmangler; bemærker paradokset i EIB's udvidede mandat og begrænsede revisionsbeføjelser; opfordrer til inddragelse af de nationale overordnede revisionsorganer; gentager, at en traktatændring er nødvendig for at give </w:t>
      </w:r>
      <w:r>
        <w:t>Den Europæiske Revisionsret</w:t>
      </w:r>
      <w:r>
        <w:t xml:space="preserve"> fuld adgang til EIB;</w:t>
      </w:r>
    </w:p>
    <w:p>
      <w:pPr>
        <w:pStyle w:val="NormalHanging12a"/>
      </w:pPr>
      <w:r>
        <w:t>19.</w:t>
      </w:r>
      <w:r>
        <w:tab/>
      </w:r>
      <w:r>
        <w:t>udtrykker bekymring over Northvolts konkurs, selv om selskabet har modtaget 942,6 mio. EUR i EIB-lån; bemærker, at der synes at være lignende risici i forbindelse med Stegra; opfordrer til offentliggørelse af EIB's risikovurderinger; kræver en gennemgang af erfaringerne fra Northvolt-sagen; opfordrer EIB til at offentliggøre risikovurderingsprofilerne for disse og andre lignende engagementer; gentager sin opfordring til EIB om at fremlægge detaljerede oplysninger om den evaluerings- og beslutningsproces, der fandt sted forud for investeringen i Northvolt AB, og til at forklare, hvordan et så afgørende projekt mislykkedes på trods af EIB's påstande om, at den foretager passende og løbende overvågning af modtagerne af dens finansielle støtte; bemærker med bekymring de partipolitiske forbindelser mellem EIB's ledelse og en tidlig investor og rådgiver fra Northvolt;</w:t>
      </w:r>
    </w:p>
    <w:p>
      <w:pPr>
        <w:pStyle w:val="NormalHanging12a"/>
      </w:pPr>
      <w:r>
        <w:t>20.</w:t>
      </w:r>
      <w:r>
        <w:tab/>
      </w:r>
      <w:r>
        <w:t>insisterer kraftigt på at styrke forebyggelsen af interessekonflikter; opfordrer til strengere afkølingsperioder for EIB's næstformænd og klarere regler for deres deltagelse i beslutninger vedrørende deres oprindelseslande;</w:t>
      </w:r>
    </w:p>
    <w:p>
      <w:pPr>
        <w:pStyle w:val="Normal12a"/>
      </w:pPr>
      <w:r>
        <w:rPr>
          <w:b/>
          <w:i/>
        </w:rPr>
        <w:t>Gennemsigtighed, kontrol og tilsyn</w:t>
      </w:r>
    </w:p>
    <w:p>
      <w:pPr>
        <w:pStyle w:val="NormalHanging12a"/>
      </w:pPr>
      <w:r>
        <w:t>21.</w:t>
      </w:r>
      <w:r>
        <w:tab/>
      </w:r>
      <w:r>
        <w:t>beklager, at EIB undlod at følge op på Parlamentets årlige betænkning om EIB's finansielle aktiviteter i 2023</w:t>
      </w:r>
      <w:r>
        <w:rPr>
          <w:rStyle w:val="FootnoteReference"/>
        </w:rPr>
        <w:footnoteReference w:customMarkFollows="1" w:id="2"/>
        <w:t xml:space="preserve">1</w:t>
      </w:r>
      <w:r>
        <w:t>; understreger, at en interinstitutionel aftale er afgørende for et forudsigeligt samarbejde;</w:t>
      </w:r>
    </w:p>
    <w:p>
      <w:pPr>
        <w:pStyle w:val="Normal12a"/>
      </w:pPr>
      <w:r>
        <w:rPr>
          <w:b/>
          <w:i/>
        </w:rPr>
        <w:t>Opfølgning på Parlamentets henstillinger</w:t>
      </w:r>
    </w:p>
    <w:p>
      <w:pPr>
        <w:pStyle w:val="NormalHanging12a"/>
      </w:pPr>
      <w:r>
        <w:t>22.</w:t>
      </w:r>
      <w:r>
        <w:tab/>
      </w:r>
      <w:r>
        <w:t>opfordrer til rettidig opfølgning af: a) investeringernes indvirkning b) forebyggelse af interessekonflikter c) gennemsigtighed d) denne beslutning;</w:t>
      </w:r>
    </w:p>
    <w:p>
      <w:pPr>
        <w:pStyle w:val="NormalCenter12a"/>
      </w:pPr>
      <w:r>
        <w:t>°</w:t>
      </w:r>
    </w:p>
    <w:p>
      <w:pPr>
        <w:pStyle w:val="NormalCenter12a"/>
      </w:pPr>
      <w:r>
        <w:t>°</w:t>
      </w:r>
      <w:r>
        <w:tab/>
      </w:r>
      <w:r>
        <w:t>°</w:t>
      </w:r>
    </w:p>
    <w:p>
      <w:pPr>
        <w:pStyle w:val="NormalHanging12a"/>
      </w:pPr>
      <w:r>
        <w:t>23.</w:t>
      </w:r>
      <w:r>
        <w:tab/>
      </w:r>
      <w:r>
        <w:t>pålægger sin formand at sende denne beslutning til Rådet og Kommissionen og anmoder Rådet og EIB's bestyrelse om at drøfte Parlamentets holdninger som fremsat heri.</w:t>
      </w:r>
    </w:p>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PR\1336608EN.docx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PR\1336608EN.docx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PR\1336608EN.docx</w:t>
    </w:r>
    <w:r>
      <w:rPr>
        <w:rStyle w:val="HideTWBExt"/>
      </w:rPr>
      <w:t>&lt;/PathFdR&gt;</w:t>
    </w:r>
    <w:r>
      <w:tab/>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Europa-Parlamentets beslutning af 28. februar 2024 om kontrol med Den Europæiske Investeringsbanks finansielle aktiviteter – årsberetning 2023 (EUT C, C/2024/6742, 17.7.2024, ELI: </w:t>
      </w:r>
      <w:hyperlink r:id="rId1" w:tgtFrame="http://data.europa.eu/eli/C/2024/6742/oj" w:history="1">
        <w:r>
          <w:rPr>
            <w:rStyle w:val="Hyperlink"/>
          </w:rPr>
          <w:t>http://data.europa.eu/eli/C/2024/6742/oj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674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1185</Words>
  <Characters>7907</Characters>
  <Application>Microsoft Office Word</Application>
  <DocSecurity>0</DocSecurity>
  <Lines>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1336608</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387707</vt:lpwstr>
  </property>
  <property fmtid="{D5CDD505-2E9C-101B-9397-08002B2CF9AE}" pid="7" name="dmxml.render.traceId">
    <vt:lpwstr>699852daac5156976f8488d927b70165</vt:lpwstr>
  </property>
  <property fmtid="{D5CDD505-2E9C-101B-9397-08002B2CF9AE}" pid="8" name="FooterPath">
    <vt:lpwstr>PR\1336608EN.doc</vt:lpwstr>
  </property>
  <property fmtid="{D5CDD505-2E9C-101B-9397-08002B2CF9AE}" pid="9" name="PE Number">
    <vt:lpwstr>784.237</vt:lpwstr>
  </property>
  <property fmtid="{D5CDD505-2E9C-101B-9397-08002B2CF9AE}" pid="10" name="UID">
    <vt:lpwstr>eu.europa.europarl-DIN1-2026-0000024936_01.03-da-01.00_text-xml</vt:lpwstr>
  </property>
</Properties>
</file>