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Parlamento Europeo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1.46pt">
                  <v:imagedata r:id="rId5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{CONT}</w:t>
      </w:r>
      <w:r>
        <w:t>Comisión de Control Presupuestario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2025/2237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{06/02/2026}</w:t>
      </w:r>
      <w:r>
        <w:t>6.2.2026</w:t>
      </w:r>
      <w:r>
        <w:rPr>
          <w:rStyle w:val="HideTWBExt"/>
        </w:rPr>
        <w:t>&lt;/Date&gt;</w:t>
      </w:r>
    </w:p>
    <w:p>
      <w:pPr>
        <w:pStyle w:val="CoverDocType24a"/>
      </w:pPr>
      <w:r>
        <w:rPr>
          <w:rStyle w:val="HideTWBExt"/>
        </w:rPr>
        <w:t>&lt;TitreType&gt;</w:t>
      </w:r>
      <w:r>
        <w:t>PROYECTO DE INFORME</w:t>
      </w:r>
      <w:r>
        <w:rPr>
          <w:rStyle w:val="HideTWBExt"/>
        </w:rPr>
        <w:t>&lt;/TitreType&gt;</w:t>
      </w:r>
    </w:p>
    <w:p>
      <w:pPr>
        <w:pStyle w:val="CoverNormal"/>
      </w:pPr>
      <w:r>
        <w:rPr>
          <w:rStyle w:val="HideTWBExt"/>
        </w:rPr>
        <w:t>&lt;Titre&gt;</w:t>
      </w:r>
      <w:r>
        <w:t>sobre el control de las actividades financieras del Grupo del Banco Europeo de Inversiones: informe anual 2024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(2025/2237(INI))</w:t>
      </w:r>
      <w:r>
        <w:rPr>
          <w:rStyle w:val="HideTWBExt"/>
        </w:rPr>
        <w:t>&lt;/DocRef&gt;</w:t>
      </w:r>
    </w:p>
    <w:p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{CONT}</w:t>
      </w:r>
      <w:r>
        <w:t>Comisión de Control Presupuestario</w:t>
      </w:r>
      <w:r>
        <w:rPr>
          <w:rStyle w:val="HideTWBExt"/>
        </w:rPr>
        <w:t>&lt;/Commission&gt;</w:t>
      </w:r>
    </w:p>
    <w:p>
      <w:pPr>
        <w:pStyle w:val="CoverNormal24a"/>
      </w:pPr>
      <w:r>
        <w:t>Ponente</w:t>
      </w:r>
      <w:r>
        <w:t xml:space="preserve">: </w:t>
      </w:r>
      <w:r>
        <w:rPr>
          <w:rStyle w:val="HideTWBExt"/>
        </w:rPr>
        <w:t>&lt;Depute&gt;</w:t>
      </w:r>
      <w:r>
        <w:t>Dick Erixon</w:t>
      </w:r>
      <w:r>
        <w:rPr>
          <w:rStyle w:val="HideTWBExt"/>
        </w:rPr>
        <w:t>&lt;/Depute&gt;</w:t>
      </w:r>
    </w:p>
    <w:p>
      <w:r>
        <w:br w:type="page"/>
      </w:r>
      <w:r>
        <w:t>PR_INI</w:t>
      </w:r>
    </w:p>
    <w:p>
      <w:pPr>
        <w:pStyle w:val="TOCHeading"/>
      </w:pPr>
      <w:r>
        <w:t>ÍNDICE</w:t>
      </w:r>
    </w:p>
    <w:p>
      <w:pPr>
        <w:pStyle w:val="TOCPage"/>
      </w:pPr>
      <w:r>
        <w:t>Página</w:t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\t</w:instrText>
      </w:r>
      <w:r>
        <w:instrText xml:space="preserve"> </w:instrText>
      </w:r>
      <w:r>
        <w:instrText>PageHeading</w:instrText>
      </w:r>
      <w:r>
        <w:fldChar w:fldCharType="separate"/>
      </w:r>
      <w:r>
        <w:t>PROPUESTA DE RESOLUCIÓN DEL PARLAMENTO EUROPEO</w:t>
      </w:r>
      <w:r>
        <w:tab/>
      </w:r>
      <w:r>
        <w:fldChar w:fldCharType="begin"/>
      </w:r>
      <w:r>
        <w:instrText xml:space="preserve"> PAGEREF _Toc256000000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</w:pPr>
      <w:r>
        <w:fldChar w:fldCharType="end"/>
      </w:r>
    </w:p>
    <w:p>
      <w:r>
        <w:br w:type="page"/>
      </w:r>
    </w:p>
    <w:p>
      <w:pPr>
        <w:pStyle w:val="PageHeading"/>
      </w:pPr>
      <w:bookmarkStart w:id="0" w:name="_Toc256000000"/>
      <w:r>
        <w:t>PROPUESTA DE RESOLUCIÓN DEL PARLAMENTO EUROPEO</w:t>
      </w:r>
      <w:bookmarkEnd w:id="0"/>
    </w:p>
    <w:p>
      <w:pPr>
        <w:pStyle w:val="NormalBold"/>
      </w:pPr>
      <w:r>
        <w:t>sobre el control de las actividades financieras del Grupo del Banco Europeo de Inversiones: informe anual 2024</w:t>
      </w:r>
    </w:p>
    <w:p>
      <w:pPr>
        <w:pStyle w:val="NormalBold"/>
      </w:pPr>
    </w:p>
    <w:p>
      <w:pPr>
        <w:pStyle w:val="NormalBold12a"/>
      </w:pPr>
      <w:r>
        <w:t>(</w:t>
      </w:r>
      <w:r>
        <w:t>2025/2237(INI)</w:t>
      </w:r>
      <w:r>
        <w:t>)</w:t>
      </w:r>
    </w:p>
    <w:p>
      <w:pPr>
        <w:pStyle w:val="Normal12"/>
      </w:pPr>
      <w:r>
        <w:rPr>
          <w:i/>
        </w:rPr>
        <w:t>El Parlamento Europeo</w:t>
      </w:r>
      <w:r>
        <w:t>,</w:t>
      </w:r>
    </w:p>
    <w:p>
      <w:pPr>
        <w:pStyle w:val="NormalHanging"/>
      </w:pPr>
      <w:r>
        <w:t>–</w:t>
      </w:r>
      <w:r>
        <w:tab/>
      </w:r>
      <w:r>
        <w:t>Visto el Informe de Inversión 2024/2025 del BEI titulado «Innovation, integration and simplification in Europe» (Innovación, integración y simplificación en Europa), publicado el 5 de marzo de 2025,</w:t>
      </w:r>
    </w:p>
    <w:p>
      <w:pPr>
        <w:pStyle w:val="NormalHanging"/>
      </w:pPr>
      <w:r>
        <w:t>–</w:t>
      </w:r>
      <w:r>
        <w:tab/>
      </w:r>
      <w:r>
        <w:t xml:space="preserve">Visto el Informe Especial 07/2025 del </w:t>
      </w:r>
      <w:r>
        <w:t>Tribunal de Cuentas Europeo</w:t>
      </w:r>
      <w:r>
        <w:t>, de 19 de marzo de 2025, sobre el Fondo Europeo para Inversiones Estratégicas,</w:t>
      </w:r>
    </w:p>
    <w:p>
      <w:pPr>
        <w:pStyle w:val="NormalHanging"/>
      </w:pPr>
      <w:r>
        <w:t>–</w:t>
      </w:r>
      <w:r>
        <w:tab/>
      </w:r>
      <w:r>
        <w:t xml:space="preserve">Vista la declaración CC 1/2025 del Comité de Contacto de las entidades fiscalizadoras superiores de la Unión Europea, de 30 de septiembre de 2025, sobre la auditoría pública externa del </w:t>
      </w:r>
      <w:r>
        <w:t>Banco Europeo de Inversiones</w:t>
      </w:r>
      <w:r>
        <w:t>,</w:t>
      </w:r>
    </w:p>
    <w:p>
      <w:pPr>
        <w:pStyle w:val="NormalHanging"/>
      </w:pPr>
      <w:r>
        <w:t>–</w:t>
      </w:r>
      <w:r>
        <w:tab/>
      </w:r>
      <w:r>
        <w:t>Visto el artículo 55 de su Reglamento interno,</w:t>
      </w:r>
    </w:p>
    <w:p>
      <w:pPr>
        <w:pStyle w:val="NormalHanging"/>
      </w:pPr>
      <w:r>
        <w:t>–</w:t>
      </w:r>
      <w:r>
        <w:tab/>
      </w:r>
      <w:r>
        <w:t>Visto el informe de la Comisión de Control Presupuestario (A10-0000/2026),</w:t>
      </w:r>
    </w:p>
    <w:p>
      <w:pPr>
        <w:pStyle w:val="NormalHanging"/>
      </w:pPr>
      <w:r>
        <w:t>A.</w:t>
      </w:r>
      <w:r>
        <w:tab/>
      </w:r>
      <w:r>
        <w:t xml:space="preserve">Considerando que la misión principal del Grupo del </w:t>
      </w:r>
      <w:r>
        <w:t>Banco Europeo de Inversiones</w:t>
      </w:r>
      <w:r>
        <w:t xml:space="preserve"> (BEI) es impulsar el crecimiento económico en la Unión; que sus inversiones deben abordar verdaderas deficiencias del mercado;</w:t>
      </w:r>
    </w:p>
    <w:p>
      <w:pPr>
        <w:pStyle w:val="NormalHanging"/>
      </w:pPr>
      <w:r>
        <w:t>B.</w:t>
      </w:r>
      <w:r>
        <w:tab/>
      </w:r>
      <w:r>
        <w:t>Considerando que los ámbitos de la política social son principalmente de competencia nacional; que la financiación del BEI no puede utilizarse como sustituto de los presupuestos nacionales y debe demostrar una adicionalidad real;</w:t>
      </w:r>
    </w:p>
    <w:p>
      <w:pPr>
        <w:pStyle w:val="NormalHanging"/>
      </w:pPr>
      <w:r>
        <w:t>C.</w:t>
      </w:r>
      <w:r>
        <w:tab/>
      </w:r>
      <w:r>
        <w:t>Considerando que la profundidad y calidad del control ejercido por el Parlamento sobre las operaciones financieras del BEI deben estar en consonancia con la intensidad de la cooperación entre el BEI y la Comisión, que se ha vuelto muy significativa;</w:t>
      </w:r>
    </w:p>
    <w:p>
      <w:pPr>
        <w:pStyle w:val="NormalHanging"/>
      </w:pPr>
      <w:r>
        <w:t>D.</w:t>
      </w:r>
      <w:r>
        <w:tab/>
      </w:r>
      <w:r>
        <w:t>Considerando que el BEI es propiedad de los Estados miembros, y que su capital suscrito de 248 800 millones EUR constituye una responsabilidad para los contribuyentes; que los préstamos del BEI no figuran en las estadísticas de deuda nacionales; que el hecho de que estén fuera de balance hace que sean esenciales unas normas de eficiencia y una auditoría externa rigurosas; que la ampliación del mandato del BEI debe ir acompañada de un refuerzo comparable de los mecanismos de auditoría externa;</w:t>
      </w:r>
    </w:p>
    <w:p>
      <w:pPr>
        <w:pStyle w:val="Normal12a"/>
      </w:pPr>
      <w:r>
        <w:rPr>
          <w:b/>
          <w:i/>
        </w:rPr>
        <w:t>Operaciones financieras y resultados</w:t>
      </w:r>
    </w:p>
    <w:p>
      <w:pPr>
        <w:pStyle w:val="NormalHanging12a"/>
      </w:pPr>
      <w:r>
        <w:t>1.</w:t>
      </w:r>
      <w:r>
        <w:tab/>
      </w:r>
      <w:r>
        <w:t>Toma nota de la estabilidad del rendimiento financiero del Grupo BEI en 2024; subraya que el éxito debe medirse por los resultados económicos demostrables, no solo por los volúmenes firmados;</w:t>
      </w:r>
    </w:p>
    <w:p>
      <w:pPr>
        <w:pStyle w:val="NormalHanging12a"/>
      </w:pPr>
      <w:r>
        <w:t>2.</w:t>
      </w:r>
      <w:r>
        <w:tab/>
      </w:r>
      <w:r>
        <w:t>Observa con preocupación que el porcentaje de pagos atrasados en más de noventa días se ha triplicado, y que a finales de 2024 estos ascendían a un total de 281,3 millones EUR, lo que representa el 0,06 % de la cartera total de préstamos (frente a 82,4 millones EUR a finales de 2023, que representaban un 0,02 %); destaca que estos incrementos de las exposiciones dudosas y los pagos atrasados superan significativamente el crecimiento del 2 % de la cartera total de préstamos;</w:t>
      </w:r>
    </w:p>
    <w:p>
      <w:pPr>
        <w:pStyle w:val="Normal12a"/>
      </w:pPr>
      <w:r>
        <w:rPr>
          <w:b/>
          <w:i/>
        </w:rPr>
        <w:t>InvestEU, simplificación del marco financiero plurianual y Mecanismo de Recuperación y Resiliencia</w:t>
      </w:r>
    </w:p>
    <w:p>
      <w:pPr>
        <w:pStyle w:val="NormalHanging12a"/>
      </w:pPr>
      <w:r>
        <w:t>3.</w:t>
      </w:r>
      <w:r>
        <w:tab/>
      </w:r>
      <w:r>
        <w:t>Observa que, en 2024, el BEI aprobó 38 operaciones en el marco de InvestEU, utilizando 1 700 millones EUR de la garantía de la Unión; subraya que el programa InvestEU debe evaluarse en función de la calidad de sus intervenciones y de su impacto medible, y no únicamente del volumen de financiación utilizado; insiste en que los informes deben pasar de centrarse en parámetros basados en los insumos a hacerlo en indicadores basados en el impacto que demuestren resultados económicos reales;</w:t>
      </w:r>
    </w:p>
    <w:p>
      <w:pPr>
        <w:pStyle w:val="NormalHanging12a"/>
      </w:pPr>
      <w:r>
        <w:t>4.</w:t>
      </w:r>
      <w:r>
        <w:tab/>
      </w:r>
      <w:r>
        <w:rPr>
          <w:b/>
        </w:rPr>
        <w:t xml:space="preserve"> </w:t>
      </w:r>
      <w:r>
        <w:t>Observa que el entorno de financiación fragmentado de la Unión da lugar a ineficiencias; subraya que la reducción de la burocracia resulta esencial para recuperar la competitividad;</w:t>
      </w:r>
    </w:p>
    <w:p>
      <w:pPr>
        <w:pStyle w:val="Normal12a"/>
      </w:pPr>
      <w:r>
        <w:rPr>
          <w:b/>
          <w:i/>
        </w:rPr>
        <w:t>Seguridad energética</w:t>
      </w:r>
    </w:p>
    <w:p>
      <w:pPr>
        <w:pStyle w:val="NormalHanging12a"/>
      </w:pPr>
      <w:r>
        <w:t>5.</w:t>
      </w:r>
      <w:r>
        <w:tab/>
      </w:r>
      <w:r>
        <w:t>Pide al BEI que amplíe la financiación de la energía nuclear y evalúe todos los proyectos hipocarbónicos con arreglo a criterios objetivos, en particular la intensidad de carbono a lo largo de todo el ciclo de vida y la estabilidad de la red, sin discriminar entre tecnologías; subraya que los Estados miembros conservan el derecho soberano a determinar su combinación energética;</w:t>
      </w:r>
    </w:p>
    <w:p>
      <w:pPr>
        <w:pStyle w:val="Normal12a"/>
      </w:pPr>
      <w:r>
        <w:rPr>
          <w:b/>
          <w:i/>
        </w:rPr>
        <w:t>Política de defensa y seguridad</w:t>
      </w:r>
    </w:p>
    <w:p>
      <w:pPr>
        <w:pStyle w:val="NormalHanging12a"/>
      </w:pPr>
      <w:r>
        <w:t>6.</w:t>
      </w:r>
      <w:r>
        <w:tab/>
      </w:r>
      <w:r>
        <w:t>Destaca la importancia de la contribución del Grupo BEI a la paz y la seguridad de Europa, señalada en el Libro Blanco Conjunto «Preparación en materia de defensa europea 2030», mediante su apoyo a iniciativas destinadas a reforzar la industria de defensa de la Unión, mejorar las infraestructuras de ciberseguridad y promover la innovación en tecnologías críticas de defensa proporcionando financiación y movilizando la inversión privada;</w:t>
      </w:r>
    </w:p>
    <w:p>
      <w:pPr>
        <w:pStyle w:val="NormalHanging12a"/>
      </w:pPr>
      <w:r>
        <w:t>7.</w:t>
      </w:r>
      <w:r>
        <w:tab/>
      </w:r>
      <w:r>
        <w:t>Destaca que el BEI debe poder financiar todo tipo de proyectos de defensa;</w:t>
      </w:r>
    </w:p>
    <w:p>
      <w:pPr>
        <w:pStyle w:val="NormalHanging12a"/>
      </w:pPr>
      <w:r>
        <w:t>8.</w:t>
      </w:r>
      <w:r>
        <w:tab/>
      </w:r>
      <w:r>
        <w:t>Pide al BEI que determine las barreras que impiden las inversiones en defensa y en protección de las fronteras; destaca que la eliminación de estos obstáculos es esencial para lograr resultados tangibles en materia de seguridad;</w:t>
      </w:r>
    </w:p>
    <w:p>
      <w:pPr>
        <w:pStyle w:val="NormalHanging12a"/>
      </w:pPr>
      <w:r>
        <w:t>9.</w:t>
      </w:r>
      <w:r>
        <w:tab/>
      </w:r>
      <w:r>
        <w:t>Hace hincapié en la importancia de establecer una cooperación estructurada con el Fondo de Innovación de la OTAN para lograr sinergias y evitar la duplicación de esfuerzos, en particular en la expansión de tecnologías en las que el capital privado es insuficiente;</w:t>
      </w:r>
    </w:p>
    <w:p>
      <w:pPr>
        <w:pStyle w:val="Normal12a"/>
      </w:pPr>
      <w:r>
        <w:rPr>
          <w:b/>
          <w:i/>
        </w:rPr>
        <w:t>Inversiones en ámbitos de competencia nacional</w:t>
      </w:r>
      <w:r>
        <w:rPr>
          <w:b/>
          <w:i/>
        </w:rPr>
        <w:t xml:space="preserve"> </w:t>
      </w:r>
    </w:p>
    <w:p>
      <w:pPr>
        <w:pStyle w:val="NormalHanging12a"/>
      </w:pPr>
      <w:r>
        <w:t>10.</w:t>
      </w:r>
      <w:r>
        <w:tab/>
      </w:r>
      <w:r>
        <w:t>Recuerda que los retos en materia de vivienda deben abordarse principalmente a escala local o nacional; se pregunta si la financiación por el BEI de proyectos de vivienda puramente locales sin una dimensión transfronteriza resulta realmente ventajosa desde el punto de vista económico;</w:t>
      </w:r>
    </w:p>
    <w:p>
      <w:pPr>
        <w:pStyle w:val="Normal12a"/>
      </w:pPr>
      <w:r>
        <w:rPr>
          <w:b/>
          <w:i/>
        </w:rPr>
        <w:t>Apoyo a las pymes, las empresas de mediana capitalización, las empresas emergentes, las empresas en expansión y otras empresas</w:t>
      </w:r>
    </w:p>
    <w:p>
      <w:pPr>
        <w:pStyle w:val="NormalHanging12a"/>
      </w:pPr>
      <w:r>
        <w:t>11.</w:t>
      </w:r>
      <w:r>
        <w:tab/>
      </w:r>
      <w:r>
        <w:t>Hace hincapié en que el BEI debe centrarse en verdaderas deficiencias del mercado y en que sus inversiones no deben sustituir al capital privado ni a los presupuestos nacionales; subraya que es esencial proteger el entorno competitivo del mercado;</w:t>
      </w:r>
    </w:p>
    <w:p>
      <w:pPr>
        <w:pStyle w:val="NormalHanging12a"/>
      </w:pPr>
      <w:r>
        <w:t>12.</w:t>
      </w:r>
      <w:r>
        <w:tab/>
      </w:r>
      <w:r>
        <w:t xml:space="preserve">Toma nota de las conclusiones del Informe Especial n.º 07/2025 del </w:t>
      </w:r>
      <w:r>
        <w:t>Tribunal de Cuentas Europeo</w:t>
      </w:r>
      <w:r>
        <w:t xml:space="preserve"> sobre la adicionalidad insuficiente; advierte del peligro de desplazar la inversión privada; pide umbrales de riesgo cuantitativos y evaluaciones </w:t>
      </w:r>
      <w:r>
        <w:rPr>
          <w:i/>
        </w:rPr>
        <w:t>ex post</w:t>
      </w:r>
      <w:r>
        <w:t xml:space="preserve"> de dicho desplazamiento;</w:t>
      </w:r>
    </w:p>
    <w:p>
      <w:pPr>
        <w:pStyle w:val="NormalHanging12a"/>
      </w:pPr>
      <w:r>
        <w:t>13.</w:t>
      </w:r>
      <w:r>
        <w:tab/>
      </w:r>
      <w:r>
        <w:t>Observa que los préstamos del BEI conllevan cargas administrativas más elevadas que los préstamos comerciales; pide al BEI que publique planes para reducir las trabas;</w:t>
      </w:r>
    </w:p>
    <w:p>
      <w:pPr>
        <w:pStyle w:val="Normal12a"/>
      </w:pPr>
      <w:r>
        <w:rPr>
          <w:b/>
          <w:i/>
        </w:rPr>
        <w:t>Ámbitos políticos de la cohesión, el clima, la digitalización y la sostenibilidad medioambiental</w:t>
      </w:r>
    </w:p>
    <w:p>
      <w:pPr>
        <w:pStyle w:val="NormalHanging12a"/>
      </w:pPr>
      <w:r>
        <w:t>14.</w:t>
      </w:r>
      <w:r>
        <w:tab/>
      </w:r>
      <w:r>
        <w:t>Destaca que los informes basados en volúmenes miden el producto y no los resultados; pide indicadores orientados a los resultados, como las emisiones de CO</w:t>
      </w:r>
      <w:r>
        <w:rPr>
          <w:vertAlign w:val="subscript"/>
        </w:rPr>
        <w:t>2</w:t>
      </w:r>
      <w:r>
        <w:t xml:space="preserve"> evitadas por cada euro invertido; aboga por una evaluación comparativa respecto a intervenciones equiparables;</w:t>
      </w:r>
    </w:p>
    <w:p>
      <w:pPr>
        <w:pStyle w:val="NormalHanging12a"/>
      </w:pPr>
      <w:r>
        <w:t>15.</w:t>
      </w:r>
      <w:r>
        <w:tab/>
      </w:r>
      <w:r>
        <w:t>Advierte de que la continua acumulación de objetivos de integración que se solapan corre el riesgo de crear una composición matemáticamente imposible de la cartera;</w:t>
      </w:r>
    </w:p>
    <w:p>
      <w:pPr>
        <w:pStyle w:val="Normal12a"/>
      </w:pPr>
      <w:r>
        <w:rPr>
          <w:b/>
          <w:i/>
        </w:rPr>
        <w:t xml:space="preserve">Actividades del BEI fuera de la Unión Europea </w:t>
      </w:r>
    </w:p>
    <w:p>
      <w:pPr>
        <w:pStyle w:val="NormalHanging12a"/>
      </w:pPr>
      <w:r>
        <w:t>16.</w:t>
      </w:r>
      <w:r>
        <w:tab/>
      </w:r>
      <w:r>
        <w:t>Insiste en que los préstamos a terceros países se supediten a la cooperación con la Unión en materia de gestión de la migración, incluida la readmisión;</w:t>
      </w:r>
    </w:p>
    <w:p>
      <w:pPr>
        <w:pStyle w:val="NormalHanging12a"/>
      </w:pPr>
      <w:r>
        <w:t>17.</w:t>
      </w:r>
      <w:r>
        <w:tab/>
      </w:r>
      <w:r>
        <w:t>Hace hincapié en que unas medidas sólidas de lucha contra el fraude resultan esenciales para garantizar la confianza de los contribuyentes en las inversiones del BEI y el mantenimiento de su apoyo a Ucrania; pide unas normas de auditoría rigurosas; sostiene que el BEI debe poder supervisar sin restricciones todas sus inversiones fuera de la Unión;</w:t>
      </w:r>
    </w:p>
    <w:p>
      <w:pPr>
        <w:pStyle w:val="Normal12a"/>
      </w:pPr>
      <w:r>
        <w:rPr>
          <w:b/>
          <w:i/>
        </w:rPr>
        <w:t>Estructura de rendición de cuentas del BEI</w:t>
      </w:r>
    </w:p>
    <w:p>
      <w:pPr>
        <w:pStyle w:val="NormalHanging12a"/>
      </w:pPr>
      <w:r>
        <w:t>18.</w:t>
      </w:r>
      <w:r>
        <w:tab/>
      </w:r>
      <w:r>
        <w:t xml:space="preserve">Respalda la declaración CC 1/2025 del Comité de Contacto en la que se señalan lagunas críticas en materia de auditoría; observa la paradoja que suponen un mandato del BEI ampliado y unas competencias de auditoría restringidas; pide la participación de las entidades fiscalizadoras superiores nacionales; reitera la necesidad de una modificación del Tratado para dar al </w:t>
      </w:r>
      <w:r>
        <w:t>Tribunal de Cuentas Europeo</w:t>
      </w:r>
      <w:r>
        <w:t xml:space="preserve"> pleno acceso al BEI;</w:t>
      </w:r>
    </w:p>
    <w:p>
      <w:pPr>
        <w:pStyle w:val="NormalHanging12a"/>
      </w:pPr>
      <w:r>
        <w:t>19.</w:t>
      </w:r>
      <w:r>
        <w:tab/>
      </w:r>
      <w:r>
        <w:t>Expresa su preocupación por la quiebra de Northvolt a pesar de haber recibido 942,6 millones EUR en préstamos del BEI; observa que parecen existir riesgos similares con Stegra; pide que se den a conocer las evaluaciones de riesgos del BEI; pide que se revisen las lecciones extraídas del caso de Northvolt; pide al BEI que dé a conocer los perfiles de evaluación de riesgos relativos a estos compromisos y otros similares; reitera su llamamiento al BEI para que facilite detalles sobre el proceso de evaluación y toma de decisiones previo a la inversión en Northvolt AB y para que explique cómo fracasó un proyecto tan crucial a pesar de las afirmaciones del BEI de que lleva a cabo un seguimiento adecuado y continuo de los beneficiarios de su apoyo financiero; observa con preocupación los vínculos político-partidistas entre la dirección del BEI y un inversor y asesor inicial de Northvolt;</w:t>
      </w:r>
    </w:p>
    <w:p>
      <w:pPr>
        <w:pStyle w:val="NormalHanging12a"/>
      </w:pPr>
      <w:r>
        <w:t>20.</w:t>
      </w:r>
      <w:r>
        <w:tab/>
      </w:r>
      <w:r>
        <w:t>Insiste firmemente en que se refuerce la prevención de los conflictos de intereses; pide períodos de incompatibilidad más estrictos para los vicepresidentes del BEI y normas más claras sobre su participación en decisiones relativas a sus países de origen;</w:t>
      </w:r>
    </w:p>
    <w:p>
      <w:pPr>
        <w:pStyle w:val="Normal12a"/>
      </w:pPr>
      <w:r>
        <w:rPr>
          <w:b/>
          <w:i/>
        </w:rPr>
        <w:t>Transparencia, control y supervisión</w:t>
      </w:r>
    </w:p>
    <w:p>
      <w:pPr>
        <w:pStyle w:val="NormalHanging12a"/>
      </w:pPr>
      <w:r>
        <w:t>21.</w:t>
      </w:r>
      <w:r>
        <w:tab/>
      </w:r>
      <w:r>
        <w:t>Lamenta que el BEI no haya dado seguimiento al informe anual del Parlamento sobre sus actividades financieras en 2023</w:t>
      </w:r>
      <w:r>
        <w:rPr>
          <w:rStyle w:val="FootnoteReference"/>
        </w:rPr>
        <w:footnoteReference w:customMarkFollows="1" w:id="2"/>
        <w:t xml:space="preserve">1</w:t>
      </w:r>
      <w:r>
        <w:t>; subraya que el acuerdo interinstitucional es esencial para una cooperación previsible;</w:t>
      </w:r>
    </w:p>
    <w:p>
      <w:pPr>
        <w:pStyle w:val="Normal12a"/>
      </w:pPr>
      <w:r>
        <w:rPr>
          <w:b/>
          <w:i/>
        </w:rPr>
        <w:t>Seguimiento de las recomendaciones del Parlamento</w:t>
      </w:r>
    </w:p>
    <w:p>
      <w:pPr>
        <w:pStyle w:val="NormalHanging12a"/>
      </w:pPr>
      <w:r>
        <w:t>22.</w:t>
      </w:r>
      <w:r>
        <w:tab/>
      </w:r>
      <w:r>
        <w:t>Pide un seguimiento oportuno de: a) el impacto de las inversiones; b) la prevención de conflictos de intereses; c) la transparencia; y d) la presente Resolución;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23.</w:t>
      </w:r>
      <w:r>
        <w:tab/>
      </w:r>
      <w:r>
        <w:t>Encarga a su presidenta que transmita la presente Resolución al Consejo y a la Comisión y pide al Consejo y al Consejo de Administración del BEI que celebren un debate sobre las posiciones del Parlamento aquí presentadas.</w:t>
      </w:r>
    </w:p>
    <w:sectPr>
      <w:footerReference w:type="even" r:id="rId6"/>
      <w:footerReference w:type="default" r:id="rId7"/>
      <w:footerReference w:type="first" r:id="rId8"/>
      <w:footnotePr>
        <w:numRestart w:val="eachSect"/>
      </w:footnotePr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784.237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6</w:t>
    </w:r>
    <w:r>
      <w:fldChar w:fldCharType="end"/>
    </w:r>
    <w:r>
      <w:tab/>
    </w:r>
    <w:r>
      <w:rPr>
        <w:rStyle w:val="HideTWBExt"/>
      </w:rPr>
      <w:t>&lt;PathFdR&gt;</w:t>
    </w:r>
    <w:r>
      <w:t>PR\1336608ES.docx</w:t>
    </w:r>
    <w:r>
      <w:rPr>
        <w:rStyle w:val="HideTWBExt"/>
      </w:rPr>
      <w:t>&lt;/PathFdR&gt;</w:t>
    </w:r>
  </w:p>
  <w:p>
    <w:pPr>
      <w:pStyle w:val="EPFooter2"/>
    </w:pPr>
    <w:r>
      <w:t>ES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PR\1336608ES.docx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6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784.237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ES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PR\1336608ES.docx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784.237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ES</w:t>
    </w:r>
    <w:r>
      <w:tab/>
    </w:r>
    <w:r>
      <w:rPr>
        <w:rStyle w:val="EPFooter2Motto"/>
      </w:rPr>
      <w:t>Unida en la diversidad</w:t>
    </w:r>
    <w:r>
      <w:tab/>
    </w:r>
    <w:r>
      <w:t>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vertAlign w:val="superscript"/>
        </w:rPr>
        <w:t>1</w:t>
      </w:r>
      <w:r>
        <w:t xml:space="preserve"> </w:t>
      </w:r>
      <w:r>
        <w:t xml:space="preserve">Resolución del Parlamento Europeo, de 28 de febrero de 2024, sobre las actividades financieras del Banco Europeo de Inversiones: informe anual 2023 (2023/2046(INI)) (DO C, C/2024/6742, 26.11.2024, ELI: </w:t>
      </w:r>
      <w:hyperlink r:id="rId1" w:tgtFrame="http://data.europa.eu/eli/C/2024/6742/oj" w:history="1">
        <w:r>
          <w:rPr>
            <w:rStyle w:val="Hyperlink"/>
          </w:rPr>
          <w:t>http://data.europa.eu/eli/C/2024/6742/oj</w:t>
        </w:r>
      </w:hyperlink>
      <w:r>
        <w:t>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TOCPage">
    <w:name w:val="TOC Page"/>
    <w:basedOn w:val="Normal"/>
    <w:pPr>
      <w:keepNext/>
      <w:widowControl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EPComma">
    <w:name w:val="EPComma"/>
    <w:basedOn w:val="Normal"/>
    <w:pPr>
      <w:widowControl/>
      <w:spacing w:before="480" w:after="240"/>
    </w:p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Int">
    <w:name w:val="HideTWBInt"/>
    <w:rPr>
      <w:rFonts w:ascii="Arial" w:hAnsi="Arial"/>
      <w:vanish/>
      <w:color w:val="808080"/>
      <w:sz w:val="20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hAnsi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hAnsi="Arial"/>
      <w:sz w:val="16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CoverNormal12a">
    <w:name w:val="CoverNormal12a"/>
    <w:basedOn w:val="Normal"/>
    <w:pPr>
      <w:widowControl/>
      <w:spacing w:after="240"/>
      <w:ind w:left="1418"/>
    </w:pPr>
  </w:style>
  <w:style w:type="paragraph" w:customStyle="1" w:styleId="LegendSign">
    <w:name w:val="LegendSign"/>
    <w:basedOn w:val="Normal"/>
    <w:pPr>
      <w:widowControl/>
      <w:tabs>
        <w:tab w:val="right" w:pos="454"/>
        <w:tab w:val="left" w:pos="736"/>
      </w:tabs>
      <w:overflowPunct/>
      <w:ind w:left="736" w:hanging="736"/>
    </w:pPr>
    <w:rPr>
      <w:sz w:val="18"/>
    </w:rPr>
  </w:style>
  <w:style w:type="paragraph" w:customStyle="1" w:styleId="LegendStandard">
    <w:name w:val="LegendStandard"/>
    <w:basedOn w:val="LegendSign"/>
    <w:pPr>
      <w:widowControl/>
      <w:ind w:left="0" w:firstLine="0"/>
    </w:pPr>
  </w:style>
  <w:style w:type="paragraph" w:customStyle="1" w:styleId="LegendTitle">
    <w:name w:val="LegendTitle"/>
    <w:basedOn w:val="Normal"/>
    <w:pPr>
      <w:widowControl/>
      <w:spacing w:before="240" w:after="240"/>
    </w:pPr>
    <w:rPr>
      <w:b/>
      <w:i/>
    </w:rPr>
  </w:style>
  <w:style w:type="paragraph" w:styleId="TOC1">
    <w:name w:val="toc 1"/>
    <w:basedOn w:val="Normal12b"/>
    <w:next w:val="Normal12b"/>
    <w:autoRedefine/>
    <w:rsid w:val="00805BCE"/>
    <w:pPr>
      <w:widowControl/>
      <w:spacing w:after="240"/>
    </w:p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Normal12b">
    <w:name w:val="Normal12b"/>
    <w:basedOn w:val="Normal"/>
    <w:pPr>
      <w:widowControl/>
      <w:spacing w:before="240"/>
    </w:pPr>
  </w:style>
  <w:style w:type="paragraph" w:customStyle="1" w:styleId="PMissingStyle">
    <w:name w:val="P_MissingStyle"/>
    <w:basedOn w:val="Normal"/>
    <w:pPr>
      <w:widowControl/>
      <w:spacing w:after="0" w:line="240" w:lineRule="auto"/>
    </w:pPr>
    <w:rPr>
      <w:rFonts w:ascii="Times New Roman" w:eastAsia="Times New Roman" w:hAnsi="Times New Roman" w:cs="Times New Roman"/>
      <w:color w:val="FFFFFF"/>
      <w:sz w:val="24"/>
    </w:rPr>
  </w:style>
  <w:style w:type="character" w:customStyle="1" w:styleId="CMissingStyle">
    <w:name w:val="C_MissingStyle"/>
    <w:rPr>
      <w:color w:val="FFFFFF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Next/>
      <w:widowControl/>
      <w:spacing w:before="240" w:after="240"/>
      <w:jc w:val="center"/>
      <w:outlineLvl w:val="9"/>
    </w:pPr>
    <w:rPr>
      <w:rFonts w:ascii="Arial" w:hAnsi="Arial"/>
      <w:b/>
    </w:rPr>
  </w:style>
  <w:style w:type="paragraph" w:customStyle="1" w:styleId="Normal12">
    <w:name w:val="Normal12"/>
    <w:basedOn w:val="Normal"/>
    <w:pPr>
      <w:widowControl/>
      <w:spacing w:after="24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NormalHanging12a4">
    <w:name w:val="NormalHanging12a4"/>
    <w:basedOn w:val="NormalHanging12a3"/>
    <w:pPr>
      <w:widowControl/>
      <w:ind w:left="2268"/>
    </w:pPr>
  </w:style>
  <w:style w:type="paragraph" w:customStyle="1" w:styleId="NormalHanging12a5">
    <w:name w:val="NormalHanging12a5"/>
    <w:basedOn w:val="NormalHanging12a4"/>
    <w:pPr>
      <w:widowControl/>
      <w:ind w:left="2692"/>
    </w:pPr>
  </w:style>
  <w:style w:type="paragraph" w:customStyle="1" w:styleId="NormalHanging12a6">
    <w:name w:val="NormalHanging12a6"/>
    <w:basedOn w:val="NormalHanging12a5"/>
    <w:pPr>
      <w:widowControl/>
      <w:ind w:left="3118"/>
    </w:pPr>
  </w:style>
  <w:style w:type="paragraph" w:customStyle="1" w:styleId="NormalHanging12a7">
    <w:name w:val="NormalHanging12a7"/>
    <w:basedOn w:val="NormalHanging12a6"/>
    <w:pPr>
      <w:widowControl/>
      <w:ind w:left="3544"/>
    </w:pPr>
  </w:style>
  <w:style w:type="paragraph" w:customStyle="1" w:styleId="NormalHanging12a1">
    <w:name w:val="NormalHanging12a1"/>
    <w:basedOn w:val="Normal"/>
    <w:pPr>
      <w:widowControl/>
      <w:overflowPunct/>
      <w:spacing w:after="240" w:line="240" w:lineRule="auto"/>
      <w:ind w:left="992" w:hanging="424"/>
    </w:pPr>
    <w:rPr>
      <w:rFonts w:ascii="Times New Roman" w:eastAsia="Times New Roman" w:hAnsi="Times New Roman" w:cs="Times New Roman"/>
      <w:sz w:val="24"/>
    </w:rPr>
  </w:style>
  <w:style w:type="paragraph" w:customStyle="1" w:styleId="NormalHanging12a2">
    <w:name w:val="NormalHanging12a2"/>
    <w:basedOn w:val="NormalHanging12a1"/>
    <w:pPr>
      <w:widowControl/>
      <w:ind w:left="1416"/>
    </w:pPr>
  </w:style>
  <w:style w:type="paragraph" w:customStyle="1" w:styleId="NormalHanging12a3">
    <w:name w:val="NormalHanging12a3"/>
    <w:basedOn w:val="NormalHanging12a2"/>
    <w:pPr>
      <w:widowControl/>
      <w:ind w:left="1842"/>
    </w:pPr>
  </w:style>
  <w:style w:type="paragraph" w:customStyle="1" w:styleId="NormalHanging">
    <w:name w:val="NormalHanging"/>
    <w:basedOn w:val="Normal"/>
    <w:pPr>
      <w:widowControl/>
      <w:overflowPunct/>
      <w:spacing w:after="240" w:line="240" w:lineRule="auto"/>
      <w:ind w:left="566" w:hanging="566"/>
    </w:pPr>
    <w:rPr>
      <w:rFonts w:ascii="Times New Roman" w:eastAsia="Times New Roman" w:hAnsi="Times New Roman" w:cs="Times New Roman"/>
      <w:sz w:val="24"/>
    </w:r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paragraph" w:customStyle="1" w:styleId="NormalBold12a">
    <w:name w:val="NormalBold12a"/>
    <w:basedOn w:val="Normal"/>
    <w:pPr>
      <w:widowControl/>
      <w:spacing w:after="240"/>
    </w:pPr>
    <w:rPr>
      <w:b/>
    </w:rPr>
  </w:style>
  <w:style w:type="paragraph" w:customStyle="1" w:styleId="NormalCenter12a">
    <w:name w:val="NormalCenter12a"/>
    <w:basedOn w:val="Normal"/>
    <w:pPr>
      <w:widowControl/>
      <w:spacing w:after="240"/>
      <w:jc w:val="center"/>
    </w:pPr>
  </w:style>
  <w:style w:type="paragraph" w:customStyle="1" w:styleId="Normal12BoldUnderline">
    <w:name w:val="Normal12BoldUnderline"/>
    <w:basedOn w:val="Normal"/>
    <w:pPr>
      <w:widowControl/>
      <w:spacing w:before="480"/>
    </w:pPr>
    <w:rPr>
      <w:b/>
      <w:u w:val="single"/>
    </w:rPr>
  </w:style>
  <w:style w:type="paragraph" w:customStyle="1" w:styleId="Normal12Bullet2">
    <w:name w:val="Normal12Bullet2"/>
    <w:basedOn w:val="Normal"/>
    <w:pPr>
      <w:widowControl/>
      <w:numPr>
        <w:numId w:val="2"/>
      </w:numPr>
    </w:pPr>
  </w:style>
  <w:style w:type="paragraph" w:customStyle="1" w:styleId="NormalHangingJustified">
    <w:name w:val="NormalHangingJustified"/>
    <w:basedOn w:val="Normal"/>
    <w:pPr>
      <w:widowControl/>
      <w:overflowPunct/>
      <w:spacing w:after="240"/>
      <w:ind w:left="714" w:hanging="356"/>
      <w:jc w:val="both"/>
    </w:pPr>
  </w:style>
  <w:style w:type="paragraph" w:customStyle="1" w:styleId="NormalCenter">
    <w:name w:val="NormalCenter"/>
    <w:basedOn w:val="Normal"/>
    <w:pPr>
      <w:widowControl/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674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6</Pages>
  <Words>1546</Words>
  <Characters>8378</Characters>
  <Application>Microsoft Office Word</Application>
  <DocSecurity>0</DocSecurity>
  <Lines>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1336608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.render.id">
    <vt:lpwstr>385992</vt:lpwstr>
  </property>
  <property fmtid="{D5CDD505-2E9C-101B-9397-08002B2CF9AE}" pid="7" name="dmxml.render.traceId">
    <vt:lpwstr>6996cc9efd4f32f7c006e027c1c9f32e</vt:lpwstr>
  </property>
  <property fmtid="{D5CDD505-2E9C-101B-9397-08002B2CF9AE}" pid="8" name="FooterPath">
    <vt:lpwstr>PR\1336608ES.doc</vt:lpwstr>
  </property>
  <property fmtid="{D5CDD505-2E9C-101B-9397-08002B2CF9AE}" pid="9" name="PE Number">
    <vt:lpwstr>784.237</vt:lpwstr>
  </property>
  <property fmtid="{D5CDD505-2E9C-101B-9397-08002B2CF9AE}" pid="10" name="UID">
    <vt:lpwstr>eu.europa.europarl-DIN1-2026-0000024936_01.03-es-01.00_text-xml</vt:lpwstr>
  </property>
</Properties>
</file>