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1.46pt">
                  <v:imagedata r:id="rId5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Kumitat għall-Kontroll tal-Baġit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2025/2237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{06/02/2026}</w:t>
      </w:r>
      <w:r>
        <w:t>6.2.2026</w:t>
      </w:r>
      <w:r>
        <w:rPr>
          <w:rStyle w:val="HideTWBExt"/>
        </w:rPr>
        <w:t>&lt;/Date&gt;</w:t>
      </w:r>
    </w:p>
    <w:p>
      <w:pPr>
        <w:pStyle w:val="CoverDocType24a"/>
      </w:pPr>
      <w:r>
        <w:rPr>
          <w:rStyle w:val="HideTWBExt"/>
        </w:rPr>
        <w:t>&lt;TitreType&gt;</w:t>
      </w:r>
      <w:r>
        <w:t>ABBOZZ TA’ RAPPORT</w:t>
      </w:r>
      <w:r>
        <w:rPr>
          <w:rStyle w:val="HideTWBExt"/>
        </w:rPr>
        <w:t>&lt;/TitreType&gt;</w:t>
      </w:r>
    </w:p>
    <w:p>
      <w:pPr>
        <w:pStyle w:val="CoverNormal"/>
      </w:pPr>
      <w:r>
        <w:rPr>
          <w:rStyle w:val="HideTWBExt"/>
        </w:rPr>
        <w:t>&lt;Titre&gt;</w:t>
      </w:r>
      <w:r>
        <w:t>dwar il-kontroll tal-attivitajiet finanzjarji tal-Grupp tal-Bank Ewropew tal-Investiment – rapport annwali 2024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(2025/2237(INI))</w:t>
      </w:r>
      <w:r>
        <w:rPr>
          <w:rStyle w:val="HideTWBExt"/>
        </w:rPr>
        <w:t>&lt;/DocRef&gt;</w:t>
      </w:r>
    </w:p>
    <w:p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Kumitat għall-Kontroll tal-Baġit</w:t>
      </w:r>
      <w:r>
        <w:rPr>
          <w:rStyle w:val="HideTWBExt"/>
        </w:rPr>
        <w:t>&lt;/Commission&gt;</w:t>
      </w:r>
    </w:p>
    <w:p>
      <w:pPr>
        <w:pStyle w:val="CoverNormal24a"/>
      </w:pPr>
      <w:r>
        <w:t>Rapporteur</w:t>
      </w:r>
      <w:r>
        <w:t xml:space="preserve">: </w:t>
      </w:r>
      <w:r>
        <w:rPr>
          <w:rStyle w:val="HideTWBExt"/>
        </w:rPr>
        <w:t>&lt;Depute&gt;</w:t>
      </w:r>
      <w:r>
        <w:t>Dick Erixon</w:t>
      </w:r>
      <w:r>
        <w:rPr>
          <w:rStyle w:val="HideTWBExt"/>
        </w:rPr>
        <w:t>&lt;/Depute&gt;</w:t>
      </w:r>
    </w:p>
    <w:p>
      <w:r>
        <w:br w:type="page"/>
      </w:r>
      <w:r>
        <w:t>PR_INI</w:t>
      </w:r>
    </w:p>
    <w:p>
      <w:pPr>
        <w:pStyle w:val="TOCHeading"/>
      </w:pPr>
      <w:r>
        <w:t>WERREJ</w:t>
      </w:r>
    </w:p>
    <w:p>
      <w:pPr>
        <w:pStyle w:val="TOCPage"/>
      </w:pPr>
      <w:r>
        <w:t>Paġna</w:t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\t</w:instrText>
      </w:r>
      <w:r>
        <w:instrText xml:space="preserve"> </w:instrText>
      </w:r>
      <w:r>
        <w:instrText>PageHeading</w:instrText>
      </w:r>
      <w:r>
        <w:fldChar w:fldCharType="separate"/>
      </w:r>
      <w:r>
        <w:t>MOZZJONI GĦAL RIŻOLUZZJONI TAL-PARLAMENT EWROPEW</w:t>
      </w:r>
      <w:r>
        <w:tab/>
      </w:r>
      <w:r>
        <w:fldChar w:fldCharType="begin"/>
      </w:r>
      <w:r>
        <w:instrText xml:space="preserve"> PAGEREF _Toc256000000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</w:pPr>
      <w:r>
        <w:fldChar w:fldCharType="end"/>
      </w:r>
    </w:p>
    <w:p>
      <w:r>
        <w:br w:type="page"/>
      </w:r>
    </w:p>
    <w:p>
      <w:pPr>
        <w:pStyle w:val="PageHeading"/>
      </w:pPr>
      <w:bookmarkStart w:id="0" w:name="_Toc256000000"/>
      <w:r>
        <w:t>MOZZJONI GĦAL RIŻOLUZZJONI TAL-PARLAMENT EWROPEW</w:t>
      </w:r>
      <w:bookmarkEnd w:id="0"/>
    </w:p>
    <w:p>
      <w:pPr>
        <w:pStyle w:val="NormalBold"/>
      </w:pPr>
      <w:r>
        <w:t>dwar il-kontroll tal-attivitajiet finanzjarji tal-Grupp tal-Bank Ewropew tal-Investiment – rapport annwali 2024</w:t>
      </w:r>
    </w:p>
    <w:p>
      <w:pPr>
        <w:pStyle w:val="NormalBold"/>
      </w:pPr>
    </w:p>
    <w:p>
      <w:pPr>
        <w:pStyle w:val="NormalBold12a"/>
      </w:pPr>
      <w:r>
        <w:t>(</w:t>
      </w:r>
      <w:r>
        <w:t>2025/2237(INI)</w:t>
      </w:r>
      <w:r>
        <w:t>)</w:t>
      </w:r>
    </w:p>
    <w:p>
      <w:pPr>
        <w:pStyle w:val="Normal12"/>
      </w:pPr>
      <w:r>
        <w:rPr>
          <w:i/>
        </w:rPr>
        <w:t>Il-Parlament Ewropew</w:t>
      </w:r>
      <w:r>
        <w:t>,</w:t>
      </w:r>
    </w:p>
    <w:p>
      <w:pPr>
        <w:pStyle w:val="NormalHanging"/>
      </w:pPr>
      <w:r>
        <w:t>–</w:t>
      </w:r>
      <w:r>
        <w:tab/>
      </w:r>
      <w:r>
        <w:t>wara li kkunsidra r-Rapport tal-BEI dwar l-Investiment 2024/2025 – Innovation, integration and simplification in Europe (Innovazzjoni, integrazzjoni u simplifikazzjoni fl-Ewropa), ippubblikat fil-5 ta’ Marzu 2025,</w:t>
      </w:r>
    </w:p>
    <w:p>
      <w:pPr>
        <w:pStyle w:val="NormalHanging"/>
      </w:pPr>
      <w:r>
        <w:t>–</w:t>
      </w:r>
      <w:r>
        <w:tab/>
      </w:r>
      <w:r>
        <w:t>wara li kkunsidra r-Rapport Speċjali Nru 07/2025 tal-</w:t>
      </w:r>
      <w:r>
        <w:t>Qorti Ewropea tal-Awdituri</w:t>
      </w:r>
      <w:r>
        <w:t xml:space="preserve"> tad-19 ta’ Marzu 2025 dwar il-Fond Ewropew għall-Investimenti Strateġiċi,</w:t>
      </w:r>
    </w:p>
    <w:p>
      <w:pPr>
        <w:pStyle w:val="NormalHanging"/>
      </w:pPr>
      <w:r>
        <w:t>–</w:t>
      </w:r>
      <w:r>
        <w:tab/>
      </w:r>
      <w:r>
        <w:t>wara li kkunsidra d-dikjarazzjoni CC 1/2025 tal-Kumitat ta’ Kuntatt tal-Istituzzjonijiet Supremi tal-Awditjar tal-Unjoni Ewropea tat-30 ta’ Settembru 2025 dwar l-awditjar pubbliku estern tal-</w:t>
      </w:r>
      <w:r>
        <w:t>Bank Ewropew tal-Investiment</w:t>
      </w:r>
      <w:r>
        <w:t>,</w:t>
      </w:r>
    </w:p>
    <w:p>
      <w:pPr>
        <w:pStyle w:val="NormalHanging"/>
      </w:pPr>
      <w:r>
        <w:t>–</w:t>
      </w:r>
      <w:r>
        <w:tab/>
      </w:r>
      <w:r>
        <w:t>wara li kkunsidra l-Artikolu 55 tar-Regoli ta’ Proċedura tiegħu,</w:t>
      </w:r>
    </w:p>
    <w:p>
      <w:pPr>
        <w:pStyle w:val="NormalHanging"/>
      </w:pPr>
      <w:r>
        <w:t>–</w:t>
      </w:r>
      <w:r>
        <w:tab/>
      </w:r>
      <w:r>
        <w:t>wara li kkunsidra r-rapport tal-Kumitat għall-Kontroll tal-Baġit (A10-0000/2026),</w:t>
      </w:r>
    </w:p>
    <w:p>
      <w:pPr>
        <w:pStyle w:val="NormalHanging"/>
      </w:pPr>
      <w:r>
        <w:t>A.</w:t>
      </w:r>
      <w:r>
        <w:tab/>
      </w:r>
      <w:r>
        <w:t>billi l-missjoni ewlenija tal-Grupp tal-</w:t>
      </w:r>
      <w:r>
        <w:t>Bank Ewropew tal-Investiment</w:t>
      </w:r>
      <w:r>
        <w:t xml:space="preserve"> (BEI) hija li jagħti spinta lit-tkabbir ekonomiku fl-UE; billi l-investimenti tiegħu għandhom jindirizzaw fallimenti ġenwini tas-suq;</w:t>
      </w:r>
    </w:p>
    <w:p>
      <w:pPr>
        <w:pStyle w:val="NormalHanging"/>
      </w:pPr>
      <w:r>
        <w:t>B.</w:t>
      </w:r>
      <w:r>
        <w:tab/>
      </w:r>
      <w:r>
        <w:t>billi l-oqsma tal-politika soċjali huma primarjament kompetenzi nazzjonali; billi l-finanzjament tal-BEI ma jistax jintuża bħala sostitut għall-baġits nazzjonali u jrid juri addizzjonalità ġenwina;</w:t>
      </w:r>
    </w:p>
    <w:p>
      <w:pPr>
        <w:pStyle w:val="NormalHanging"/>
      </w:pPr>
      <w:r>
        <w:t>C.</w:t>
      </w:r>
      <w:r>
        <w:tab/>
      </w:r>
      <w:r>
        <w:t>billi l-profondità u l-kwalità tas-sorveljanza tal-Parlament tal-operazzjonijiet finanzjarji tal-BEI għandhom għalhekk jikkorrispondu għall-intensità tal-kooperazzjoni bejn il-BEI u l-Kummissjoni, li saret sinifikanti ħafna;</w:t>
      </w:r>
    </w:p>
    <w:p>
      <w:pPr>
        <w:pStyle w:val="NormalHanging"/>
      </w:pPr>
      <w:r>
        <w:t>D.</w:t>
      </w:r>
      <w:r>
        <w:tab/>
      </w:r>
      <w:r>
        <w:t>billi l-BEI huwa proprjetà tal-Istati Membri, bl-ammont ta’ EUR 248.8 biljun tiegħu f’kapital sottoskritt jirrappreżenta obbligazzjoni tal-kontribwenti; billi s-self tal-BEI ma jidhirx fl-istatistika nazzjonali dwar id-dejn; billi din in-natura li ma tidhirx fil-karta tal-bilanċ tagħmel l-istandards rigorużi ta’ effiċjenza u l-awditu estern essenzjali; billi l-espansjoni tal-mandat tal-BEI trid tkun akkumpanjata mit-tisħiħ tal-arranġamenti tal-awditjar estern;</w:t>
      </w:r>
    </w:p>
    <w:p>
      <w:pPr>
        <w:pStyle w:val="Normal12a"/>
      </w:pPr>
      <w:r>
        <w:t>Operazzjonijiet finanzjarji u prestazzjoni</w:t>
      </w:r>
    </w:p>
    <w:p>
      <w:pPr>
        <w:pStyle w:val="NormalHanging12a"/>
      </w:pPr>
      <w:r>
        <w:t>1.</w:t>
      </w:r>
      <w:r>
        <w:tab/>
      </w:r>
      <w:r>
        <w:t>Jinnota l-prestazzjoni finanzjarja stabbli tal-Grupp tal-BEI fl-2024; jisħaq li s-suċċess irid jitkejjel permezz ta’ eżiti ekonomiċi dimostrabbli, mhux biss volumi ffirmati;</w:t>
      </w:r>
    </w:p>
    <w:p>
      <w:pPr>
        <w:pStyle w:val="NormalHanging12a"/>
      </w:pPr>
      <w:r>
        <w:t>2.</w:t>
      </w:r>
      <w:r>
        <w:tab/>
      </w:r>
      <w:r>
        <w:t>Jinnota bi tħassib li l-porzjon ta’ pagamenti arretrati b’aktar minn 90 jum ittrippla, b’total ta’ EUR 281,3 miljun fi tmiem l-2024 u li jirrappreżenta 0,06 % tal-portafoll totali tas-self (meta mqabbel ma’ EUR 82,4 miljun jew 0,02 % fi tmiem l-2023); jenfasizza li dawn iż-żidiet fl-iskoperturi improduttivi u fil-pagamenti arretrati jaqbżu b’mod sinifikanti t-tkabbir ta’ 2 % fil-portafoll ġenerali tas-self;</w:t>
      </w:r>
    </w:p>
    <w:p>
      <w:pPr>
        <w:pStyle w:val="Normal12a"/>
      </w:pPr>
      <w:r>
        <w:rPr>
          <w:b/>
          <w:i/>
        </w:rPr>
        <w:t>InvestEU, is-simplifikazzjoni tal-qafas finanzjarju pluriennali, u l-Faċilità għall-Irkupru u r-Reżiljenza</w:t>
      </w:r>
    </w:p>
    <w:p>
      <w:pPr>
        <w:pStyle w:val="NormalHanging12a"/>
      </w:pPr>
      <w:r>
        <w:t>3.</w:t>
      </w:r>
      <w:r>
        <w:tab/>
      </w:r>
      <w:r>
        <w:t>Jinnota li fl-2024 il-BEI approva 38 operazzjoni fl-ambitu ta’ InvestEU, bl-użu ta’ EUR 1,7 biljun tal-garanzija tal-UE; jisħaq li l-programm InvestEU għandu jiġi vvalutat skont il-kwalità tal-interventi tiegħu u l-impatt tagħhom li jista’ jitkejjel aktar milli sempliċement fir-rigward tal-kwantità ta’ finanzjament użat; jinsisti li r-rapportar irid jibdel l-enfasi minn metrika bbażata fuq l-input għal indikaturi bbażati fuq l-impatt li juru eżiti ekonomiċi ġenwini;</w:t>
      </w:r>
    </w:p>
    <w:p>
      <w:pPr>
        <w:pStyle w:val="NormalHanging12a"/>
      </w:pPr>
      <w:r>
        <w:t>4.</w:t>
      </w:r>
      <w:r>
        <w:tab/>
      </w:r>
      <w:r>
        <w:rPr>
          <w:b/>
        </w:rPr>
        <w:t xml:space="preserve"> </w:t>
      </w:r>
      <w:r>
        <w:t>Jinnota li x-xenarju frammentat tal-finanzjament tal-UE jwassal għal ineffiċjenzi; jisħaq li t-tnaqqis tal-burokrazija huwa essenzjali biex terġa’ tinkiseb il-kompetittività;</w:t>
      </w:r>
    </w:p>
    <w:p>
      <w:pPr>
        <w:pStyle w:val="Normal12a"/>
      </w:pPr>
      <w:r>
        <w:rPr>
          <w:b/>
          <w:i/>
        </w:rPr>
        <w:t>Sigurtà tal-enerġija</w:t>
      </w:r>
    </w:p>
    <w:p>
      <w:pPr>
        <w:pStyle w:val="NormalHanging12a"/>
      </w:pPr>
      <w:r>
        <w:t>5.</w:t>
      </w:r>
      <w:r>
        <w:tab/>
      </w:r>
      <w:r>
        <w:t>Jistieden lill-BEI jespandi l-finanzjament għall-enerġija nukleari u jevalwa l-proġetti kollha b’livell baxx ta’ emissjonijiet tal-karbonju skont kriterji oġġettivi inklużi l-intensità tal-karbonju tul iċ-ċiklu tal-ħajja u l-istabbiltà tal-grilja, mingħajr ma jiddiskrimina bejn it-teknoloġiji; jisħaq li l-Istati Membri jżommu d-dritt sovran li jiddeterminaw it-taħlita tal-enerġija tagħhom;</w:t>
      </w:r>
    </w:p>
    <w:p>
      <w:pPr>
        <w:pStyle w:val="Normal12a"/>
      </w:pPr>
      <w:r>
        <w:rPr>
          <w:b/>
          <w:i/>
        </w:rPr>
        <w:t>Politika ta’ difiża u ta’ sigurtà</w:t>
      </w:r>
    </w:p>
    <w:p>
      <w:pPr>
        <w:pStyle w:val="NormalHanging12a"/>
      </w:pPr>
      <w:r>
        <w:t>6.</w:t>
      </w:r>
      <w:r>
        <w:tab/>
      </w:r>
      <w:r>
        <w:t>Jisħaq fuq l-importanza tal-kontribut tal-Grupp tal-BEI għall-paċi u s-sigurtà tal-Ewropa, kif stabbilit fil-White Paper għall-Prontezza tad-Difiża Ewropea 2030, permezz tal-appoġġ tiegħu għal inizjattivi li jsaħħu l-industrija tad-difiża tal-UE, itejbu l-infrastruttura taċ-ċibersigurtà u jippromwovu l-innovazzjoni f’teknoloġiji kritiċi tad-difiża billi jipprovdu finanzjament u ingranaġġ tal-investiment privat;</w:t>
      </w:r>
    </w:p>
    <w:p>
      <w:pPr>
        <w:pStyle w:val="NormalHanging12a"/>
      </w:pPr>
      <w:r>
        <w:t>7.</w:t>
      </w:r>
      <w:r>
        <w:tab/>
      </w:r>
      <w:r>
        <w:t>Jisħaq li l-BEI għandu jkun jista’ jiffinanzja t-tipi kollha ta’ proġetti tad-difiża;</w:t>
      </w:r>
    </w:p>
    <w:p>
      <w:pPr>
        <w:pStyle w:val="NormalHanging12a"/>
      </w:pPr>
      <w:r>
        <w:t>8.</w:t>
      </w:r>
      <w:r>
        <w:tab/>
      </w:r>
      <w:r>
        <w:t>Jistieden lill-BEI jidentifika l-ostakli li jimpedixxu l-investimenti fid-difiża u l-protezzjoni tal-fruntieri; jisħaq li t-tneħħija tal-ostakli hija essenzjali għal eżiti tanġibbli tas-sigurtà;</w:t>
      </w:r>
    </w:p>
    <w:p>
      <w:pPr>
        <w:pStyle w:val="NormalHanging12a"/>
      </w:pPr>
      <w:r>
        <w:t>9.</w:t>
      </w:r>
      <w:r>
        <w:tab/>
      </w:r>
      <w:r>
        <w:t>Jisħaq fuq l-importanza li tiġi stabbilita kooperazzjoni strutturata mal-Fond għall-Innovazzjoni tan-NATO biex jiġu żgurati sinerġiji u tiġi evitata d-duplikazzjoni tal-isforzi, b’mod partikolari biex jiżviluppaw it-teknoloġiji fejn il-kapital privat ma jkunx biżżejjed;</w:t>
      </w:r>
    </w:p>
    <w:p>
      <w:pPr>
        <w:pStyle w:val="Normal12a"/>
      </w:pPr>
      <w:r>
        <w:rPr>
          <w:i/>
        </w:rPr>
        <w:t>Investimenti f’oqsma ta’ kompetenza nazzjonali</w:t>
      </w:r>
      <w:r>
        <w:rPr>
          <w:b/>
          <w:i/>
        </w:rPr>
        <w:t xml:space="preserve"> </w:t>
      </w:r>
    </w:p>
    <w:p>
      <w:pPr>
        <w:pStyle w:val="NormalHanging12a"/>
      </w:pPr>
      <w:r>
        <w:t>10.</w:t>
      </w:r>
      <w:r>
        <w:tab/>
      </w:r>
      <w:r>
        <w:t>Ifakkar li l-isfidi tal-akkomodazzjoni għandhom jiġu indirizzati primarjament fil-livell lokali jew nazzjonali; jiddubita jekk il-finanzjament tal-BEI ta’ proġetti ta’ akkomodazzjoni purament lokali mingħajr dimensjoni transfruntiera jirrappreżentax valur ġenwin għall-flus;</w:t>
      </w:r>
    </w:p>
    <w:p>
      <w:pPr>
        <w:pStyle w:val="Normal12a"/>
      </w:pPr>
      <w:r>
        <w:rPr>
          <w:b/>
          <w:i/>
        </w:rPr>
        <w:t>Appoġġ għall-SMEs, il-mid-caps, l-istart-ups, l-iscale-ups u negozji oħra</w:t>
      </w:r>
    </w:p>
    <w:p>
      <w:pPr>
        <w:pStyle w:val="NormalHanging12a"/>
      </w:pPr>
      <w:r>
        <w:t>11.</w:t>
      </w:r>
      <w:r>
        <w:tab/>
      </w:r>
      <w:r>
        <w:t>Jenfasizza li l-BEI jeħtieġlu jimmira lejn fallimenti tas-suq ġenwini u li l-investimenti tiegħu ma jridux iservu bħala sostituti għall-kapital privat jew għall-baġits nazzjonali; jisħaq li l-protezzjoni tal-ambjent tas-suq kompetittiv hija essenzjali;</w:t>
      </w:r>
    </w:p>
    <w:p>
      <w:pPr>
        <w:pStyle w:val="NormalHanging12a"/>
      </w:pPr>
      <w:r>
        <w:t>12.</w:t>
      </w:r>
      <w:r>
        <w:tab/>
      </w:r>
      <w:r>
        <w:t>Jinnota s-sejbiet tar-Rapport Speċjali 07/2025 tal-</w:t>
      </w:r>
      <w:r>
        <w:t>Qorti Ewropea tal-Awdituri</w:t>
      </w:r>
      <w:r>
        <w:t xml:space="preserve"> rigward addizzjonalità insuffiċjenti; iwissi dwar il-periklu ta’ esklużjoni tal-investiment privat; jappella għal limiti ta’ riskju kwantitattivi u valutazzjonijiet ta’ esklużjoni </w:t>
      </w:r>
      <w:r>
        <w:rPr>
          <w:i/>
        </w:rPr>
        <w:t>ex post</w:t>
      </w:r>
      <w:r>
        <w:t>;</w:t>
      </w:r>
    </w:p>
    <w:p>
      <w:pPr>
        <w:pStyle w:val="NormalHanging12a"/>
      </w:pPr>
      <w:r>
        <w:t>13.</w:t>
      </w:r>
      <w:r>
        <w:tab/>
      </w:r>
      <w:r>
        <w:t>Jinnota li s-self tal-BEI jinvolvi piżijiet amministrattivi ogħla mis-self kummerċjali; jistieden lill-BEI jippubblika pjanijiet biex jitnaqqsu r-restrizzjonijiet;</w:t>
      </w:r>
    </w:p>
    <w:p>
      <w:pPr>
        <w:pStyle w:val="Normal12a"/>
      </w:pPr>
      <w:r>
        <w:rPr>
          <w:b/>
          <w:i/>
        </w:rPr>
        <w:t>Oqsma ta’ politika tal-koeżjoni, il-klima, id-diġitalizzazzjoni u s-sostenibbiltà ambjentali</w:t>
      </w:r>
    </w:p>
    <w:p>
      <w:pPr>
        <w:pStyle w:val="NormalHanging12a"/>
      </w:pPr>
      <w:r>
        <w:t>14.</w:t>
      </w:r>
      <w:r>
        <w:tab/>
      </w:r>
      <w:r>
        <w:t>Jisħaq li r-rapportar ibbażat fuq il-volum ikejjel l-outputs u mhux ir-riżultati; jitlob indikaturi orjentati lejn ir-riżultati bħall-emissjonijiet tas-CO</w:t>
      </w:r>
      <w:r>
        <w:rPr>
          <w:vertAlign w:val="subscript"/>
        </w:rPr>
        <w:t>2</w:t>
      </w:r>
      <w:r>
        <w:t xml:space="preserve"> evitati għal kull euro investit; huwa favur valutazzjoni komparattiva tal-interventi komparabbli;</w:t>
      </w:r>
    </w:p>
    <w:p>
      <w:pPr>
        <w:pStyle w:val="NormalHanging12a"/>
      </w:pPr>
      <w:r>
        <w:t>15.</w:t>
      </w:r>
      <w:r>
        <w:tab/>
      </w:r>
      <w:r>
        <w:t>Iwissi li l-akkumulazzjoni kontinwa ta’ miri ta’ integrazzjoni li jikkoinċidu tirriskja li toħloq kompożizzjoni tal-portafoll matematikament impossibbli;</w:t>
      </w:r>
    </w:p>
    <w:p>
      <w:pPr>
        <w:pStyle w:val="Normal12a"/>
      </w:pPr>
      <w:r>
        <w:rPr>
          <w:b/>
          <w:i/>
        </w:rPr>
        <w:t xml:space="preserve">L-attivitajiet tal-BEI barra mill-UE </w:t>
      </w:r>
    </w:p>
    <w:p>
      <w:pPr>
        <w:pStyle w:val="NormalHanging12a"/>
      </w:pPr>
      <w:r>
        <w:t>16.</w:t>
      </w:r>
      <w:r>
        <w:tab/>
      </w:r>
      <w:r>
        <w:t>Jinsisti li s-self lil pajjiżi mhux tal-UE jsir kundizzjonali fuq il-kooperazzjoni mal-UE dwar il-ġestjoni tal-migrazzjoni, inkluża r-riammissjoni;</w:t>
      </w:r>
    </w:p>
    <w:p>
      <w:pPr>
        <w:pStyle w:val="NormalHanging12a"/>
      </w:pPr>
      <w:r>
        <w:t>17.</w:t>
      </w:r>
      <w:r>
        <w:tab/>
      </w:r>
      <w:r>
        <w:t>Jenfasizza li miżuri robusti kontra l-frodi huma essenzjali biex tiġi żgurata l-fiduċja tal-kontribwenti fl-investimenti tal-BEI u l-appoġġ kontinwu tiegħu għall-Ukrajna; jitlob standards ta’ awditjar rigorużi; isostni li l-BEI għandu jkollu sorveljanza mingħajr restrizzjonijiet tal-investimenti kollha tiegħu barra mill-UE;</w:t>
      </w:r>
    </w:p>
    <w:p>
      <w:pPr>
        <w:pStyle w:val="Normal12a"/>
      </w:pPr>
      <w:r>
        <w:rPr>
          <w:b/>
          <w:i/>
        </w:rPr>
        <w:t>Arkitettura tal-obbligu ta’ rendikont tal-BEI</w:t>
      </w:r>
    </w:p>
    <w:p>
      <w:pPr>
        <w:pStyle w:val="NormalHanging12a"/>
      </w:pPr>
      <w:r>
        <w:t>18.</w:t>
      </w:r>
      <w:r>
        <w:tab/>
      </w:r>
      <w:r>
        <w:t>Japprova d-dikjarazzjoni CC 1/2025 tal-Kumitat ta’ Kuntatt li tidentifika lakuni kritiċi fl-awditjar; jinnota l-paradoss bejn l-estensjoni tal-mandat tal-BEI u r-restrizzjoni tas-setgħat ta’ awditjar; jitlob l-involviment tal-istituzzjonijiet supremi tal-awditjar nazzjonali; itenni li hija meħtieġa bidla fit-Trattat biex il-</w:t>
      </w:r>
      <w:r>
        <w:t>Qorti Ewropea tal-Awdituri</w:t>
      </w:r>
      <w:r>
        <w:t xml:space="preserve"> tingħata aċċess sħiħ għall-BEI;</w:t>
      </w:r>
    </w:p>
    <w:p>
      <w:pPr>
        <w:pStyle w:val="NormalHanging12a"/>
      </w:pPr>
      <w:r>
        <w:t>19.</w:t>
      </w:r>
      <w:r>
        <w:tab/>
      </w:r>
      <w:r>
        <w:t>Jesprimi tħassib dwar il-falliment ta’ Northvolt, minkejja li rċeviet EUR 942,6 miljun f’self mill-BEI; jinnota li jidher li jeżistu riskji simili bi Stegra; jitlob id-divulgazzjoni tal-valutazzjonijiet tar-riskju tal-BEI; jeżiġi rieżami tat-tagħlimiet meħuda mill-każ ta’ Northvolt; jistieden lill-BEI jiżvela l-profili tal-valutazzjoni tar-riskju għal dawn l-impenji u impenji simili oħra; itenni t-talba tiegħu lill-BEI biex jipprovdi dettalji tal-proċess ta’ evalwazzjoni u ta’ teħid ta’ deċiżjonijiet li seħħ qabel l-investiment f’Northvolt AB, u biex jispjega kif tali proġett kruċjali falla minkejja l-affermazzjonijiet tal-BEI li jwettaq monitoraġġ adegwat u kontinwu tal-benefiċjarji tal-appoġġ finanzjarju tiegħu; jinnota bi tħassib ir-rabtiet politiċi tal-partiti bejn it-tmexxija tal-BEI u investitur u konsulent bikri ta’ Northvolt;</w:t>
      </w:r>
    </w:p>
    <w:p>
      <w:pPr>
        <w:pStyle w:val="NormalHanging12a"/>
      </w:pPr>
      <w:r>
        <w:t>20.</w:t>
      </w:r>
      <w:r>
        <w:tab/>
      </w:r>
      <w:r>
        <w:t>Jinsisti bil-qawwa fuq it-tisħiħ tal-prevenzjoni tal-kunflitti ta’ interess; jappella għal perjodi ta’ preklużjoni aktar stretti għall-viċi presidenti tal-BEI u regoli aktar ċari għall-parteċipazzjoni tagħhom fid-deċiżjonijiet li jikkonċernaw il-pajjiżi ta’ oriġini tagħhom;</w:t>
      </w:r>
    </w:p>
    <w:p>
      <w:pPr>
        <w:pStyle w:val="Normal12a"/>
      </w:pPr>
      <w:r>
        <w:rPr>
          <w:b/>
          <w:i/>
        </w:rPr>
        <w:t>Trasparenza, skrutinju u sorveljanza</w:t>
      </w:r>
    </w:p>
    <w:p>
      <w:pPr>
        <w:pStyle w:val="NormalHanging12a"/>
      </w:pPr>
      <w:r>
        <w:t>21.</w:t>
      </w:r>
      <w:r>
        <w:tab/>
      </w:r>
      <w:r>
        <w:t>Jiddispjaċih li l-BEI naqas milli jagħti segwitu għar-rapport annwali tal-Parlament dwar l-attivitajiet finanzjarji tiegħu fl-2023</w:t>
      </w:r>
      <w:r>
        <w:rPr>
          <w:rStyle w:val="FootnoteReference"/>
        </w:rPr>
        <w:footnoteReference w:customMarkFollows="1" w:id="2"/>
        <w:t xml:space="preserve">1</w:t>
      </w:r>
      <w:r>
        <w:t>; jisħaq li l-ftehim interistituzzjonali huwa essenzjali għal kooperazzjoni prevedibbli;</w:t>
      </w:r>
    </w:p>
    <w:p>
      <w:pPr>
        <w:pStyle w:val="Normal12a"/>
      </w:pPr>
      <w:r>
        <w:rPr>
          <w:b/>
          <w:i/>
        </w:rPr>
        <w:t>Segwitu għar-rakkomandazzjonijiet tal-Parlament</w:t>
      </w:r>
    </w:p>
    <w:p>
      <w:pPr>
        <w:pStyle w:val="NormalHanging12a"/>
      </w:pPr>
      <w:r>
        <w:t>22.</w:t>
      </w:r>
      <w:r>
        <w:tab/>
      </w:r>
      <w:r>
        <w:t>Jappella għal segwitu f’waqtu dwar: (a) l-impatt tal-investiment; (b) il-prevenzjoni tal-kunflitt ta’ interess; (c) it-trasparenza; (d) din ir-riżoluzzjoni;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23.</w:t>
      </w:r>
      <w:r>
        <w:tab/>
      </w:r>
      <w:r>
        <w:t>Jagħti istruzzjonijiet lill-President tiegħu biex tgħaddi din ir-riżoluzzjoni lill-Kunsill u lill-Kummissjoni u jitlob lill-Kunsill u lill-Bord tad-Diretturi tal-BEI jkollhom dibattitu dwar il-pożizzjonijiet tal-Parlament hawnhekk ippreżentati.</w:t>
      </w:r>
    </w:p>
    <w:sectPr>
      <w:footerReference w:type="even" r:id="rId6"/>
      <w:footerReference w:type="default" r:id="rId7"/>
      <w:footerReference w:type="first" r:id="rId8"/>
      <w:footnotePr>
        <w:numRestart w:val="eachSect"/>
      </w:footnotePr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784.237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6</w:t>
    </w:r>
    <w:r>
      <w:fldChar w:fldCharType="end"/>
    </w:r>
    <w:r>
      <w:tab/>
    </w:r>
    <w:r>
      <w:rPr>
        <w:rStyle w:val="HideTWBExt"/>
      </w:rPr>
      <w:t>&lt;PathFdR&gt;</w:t>
    </w:r>
    <w:r>
      <w:t>PR\1336608EN.docx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PR\1336608EN.docx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6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784.237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PR\1336608EN.docx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784.237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vertAlign w:val="superscript"/>
        </w:rPr>
        <w:t>1</w:t>
      </w:r>
      <w:r>
        <w:t xml:space="preserve"> </w:t>
      </w:r>
      <w:r>
        <w:t xml:space="preserve">Ir-riżoluzzjoni tal-Parlament Ewropew tat-28 ta’ Frar 2024 dwar l-attivitajiet finanzjarji tal-Bank Ewropew tal-Investiment - rapport annwali 2023 (ĠU C, C/2024/6742, 26.11.2024, ELI: </w:t>
      </w:r>
      <w:hyperlink r:id="rId1" w:tgtFrame="http://data.europa.eu/eli/C/2024/6742/oj" w:history="1">
        <w:r>
          <w:rPr>
            <w:rStyle w:val="Hyperlink"/>
          </w:rPr>
          <w:t>http://data.europa.eu/eli/C/2024/6742/oj</w:t>
        </w:r>
      </w:hyperlink>
      <w:r>
        <w:t>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OCPage">
    <w:name w:val="TOC Page"/>
    <w:basedOn w:val="Normal"/>
    <w:pPr>
      <w:keepNext/>
      <w:widowControl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EPComma">
    <w:name w:val="EPComma"/>
    <w:basedOn w:val="Normal"/>
    <w:pPr>
      <w:widowControl/>
      <w:spacing w:before="480"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CoverNormal12a">
    <w:name w:val="CoverNormal12a"/>
    <w:basedOn w:val="Normal"/>
    <w:pPr>
      <w:widowControl/>
      <w:spacing w:after="240"/>
      <w:ind w:left="1418"/>
    </w:pPr>
  </w:style>
  <w:style w:type="paragraph" w:customStyle="1" w:styleId="LegendSign">
    <w:name w:val="LegendSign"/>
    <w:basedOn w:val="Normal"/>
    <w:pPr>
      <w:widowControl/>
      <w:tabs>
        <w:tab w:val="right" w:pos="454"/>
        <w:tab w:val="left" w:pos="736"/>
      </w:tabs>
      <w:overflowPunct/>
      <w:ind w:left="736" w:hanging="736"/>
    </w:pPr>
    <w:rPr>
      <w:sz w:val="18"/>
    </w:rPr>
  </w:style>
  <w:style w:type="paragraph" w:customStyle="1" w:styleId="LegendStandard">
    <w:name w:val="LegendStandard"/>
    <w:basedOn w:val="LegendSign"/>
    <w:pPr>
      <w:widowControl/>
      <w:ind w:left="0" w:firstLine="0"/>
    </w:pPr>
  </w:style>
  <w:style w:type="paragraph" w:customStyle="1" w:styleId="LegendTitle">
    <w:name w:val="LegendTitle"/>
    <w:basedOn w:val="Normal"/>
    <w:pPr>
      <w:widowControl/>
      <w:spacing w:before="240" w:after="240"/>
    </w:pPr>
    <w:rPr>
      <w:b/>
      <w:i/>
    </w:rPr>
  </w:style>
  <w:style w:type="paragraph" w:styleId="TOC1">
    <w:name w:val="toc 1"/>
    <w:basedOn w:val="Normal12b"/>
    <w:next w:val="Normal12b"/>
    <w:autoRedefine/>
    <w:rsid w:val="00805BCE"/>
    <w:pPr>
      <w:widowControl/>
      <w:spacing w:after="240"/>
    </w:p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pPr>
      <w:widowControl/>
      <w:spacing w:before="240"/>
    </w:pPr>
  </w:style>
  <w:style w:type="paragraph" w:customStyle="1" w:styleId="PMissingStyle">
    <w:name w:val="P_MissingStyle"/>
    <w:basedOn w:val="Normal"/>
    <w:pPr>
      <w:widowControl/>
      <w:spacing w:after="0" w:line="240" w:lineRule="auto"/>
    </w:pPr>
    <w:rPr>
      <w:rFonts w:ascii="Times New Roman" w:eastAsia="Times New Roman" w:hAnsi="Times New Roman" w:cs="Times New Roman"/>
      <w:color w:val="FFFFFF"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Next/>
      <w:widowControl/>
      <w:spacing w:before="240" w:after="240"/>
      <w:jc w:val="center"/>
      <w:outlineLvl w:val="9"/>
    </w:pPr>
    <w:rPr>
      <w:rFonts w:ascii="Arial" w:hAnsi="Arial"/>
      <w:b/>
    </w:rPr>
  </w:style>
  <w:style w:type="paragraph" w:customStyle="1" w:styleId="Normal12">
    <w:name w:val="Normal12"/>
    <w:basedOn w:val="Normal"/>
    <w:pPr>
      <w:widowControl/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NormalHanging12a4">
    <w:name w:val="NormalHanging12a4"/>
    <w:basedOn w:val="NormalHanging12a3"/>
    <w:pPr>
      <w:widowControl/>
      <w:ind w:left="2268"/>
    </w:pPr>
  </w:style>
  <w:style w:type="paragraph" w:customStyle="1" w:styleId="NormalHanging12a5">
    <w:name w:val="NormalHanging12a5"/>
    <w:basedOn w:val="NormalHanging12a4"/>
    <w:pPr>
      <w:widowControl/>
      <w:ind w:left="2692"/>
    </w:pPr>
  </w:style>
  <w:style w:type="paragraph" w:customStyle="1" w:styleId="NormalHanging12a6">
    <w:name w:val="NormalHanging12a6"/>
    <w:basedOn w:val="NormalHanging12a5"/>
    <w:pPr>
      <w:widowControl/>
      <w:ind w:left="3118"/>
    </w:pPr>
  </w:style>
  <w:style w:type="paragraph" w:customStyle="1" w:styleId="NormalHanging12a7">
    <w:name w:val="NormalHanging12a7"/>
    <w:basedOn w:val="NormalHanging12a6"/>
    <w:pPr>
      <w:widowControl/>
      <w:ind w:left="3544"/>
    </w:pPr>
  </w:style>
  <w:style w:type="paragraph" w:customStyle="1" w:styleId="NormalHanging12a1">
    <w:name w:val="NormalHanging12a1"/>
    <w:basedOn w:val="Normal"/>
    <w:pPr>
      <w:widowControl/>
      <w:overflowPunct/>
      <w:spacing w:after="240" w:line="240" w:lineRule="auto"/>
      <w:ind w:left="992" w:hanging="424"/>
    </w:pPr>
    <w:rPr>
      <w:rFonts w:ascii="Times New Roman" w:eastAsia="Times New Roman" w:hAnsi="Times New Roman" w:cs="Times New Roman"/>
      <w:sz w:val="24"/>
    </w:rPr>
  </w:style>
  <w:style w:type="paragraph" w:customStyle="1" w:styleId="NormalHanging12a2">
    <w:name w:val="NormalHanging12a2"/>
    <w:basedOn w:val="NormalHanging12a1"/>
    <w:pPr>
      <w:widowControl/>
      <w:ind w:left="1416"/>
    </w:pPr>
  </w:style>
  <w:style w:type="paragraph" w:customStyle="1" w:styleId="NormalHanging12a3">
    <w:name w:val="NormalHanging12a3"/>
    <w:basedOn w:val="NormalHanging12a2"/>
    <w:pPr>
      <w:widowControl/>
      <w:ind w:left="1842"/>
    </w:pPr>
  </w:style>
  <w:style w:type="paragraph" w:customStyle="1" w:styleId="NormalHanging">
    <w:name w:val="NormalHanging"/>
    <w:basedOn w:val="Normal"/>
    <w:pPr>
      <w:widowControl/>
      <w:overflowPunct/>
      <w:spacing w:after="240" w:line="240" w:lineRule="auto"/>
      <w:ind w:left="566" w:hanging="566"/>
    </w:pPr>
    <w:rPr>
      <w:rFonts w:ascii="Times New Roman" w:eastAsia="Times New Roman" w:hAnsi="Times New Roman" w:cs="Times New Roman"/>
      <w:sz w:val="24"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pPr>
      <w:widowControl/>
      <w:spacing w:after="240"/>
    </w:pPr>
    <w:rPr>
      <w:b/>
    </w:r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Normal12BoldUnderline">
    <w:name w:val="Normal12BoldUnderline"/>
    <w:basedOn w:val="Normal"/>
    <w:pPr>
      <w:widowControl/>
      <w:spacing w:before="480"/>
    </w:pPr>
    <w:rPr>
      <w:b/>
      <w:u w:val="single"/>
    </w:rPr>
  </w:style>
  <w:style w:type="paragraph" w:customStyle="1" w:styleId="Normal12Bullet2">
    <w:name w:val="Normal12Bullet2"/>
    <w:basedOn w:val="Normal"/>
    <w:pPr>
      <w:widowControl/>
      <w:numPr>
        <w:numId w:val="2"/>
      </w:numPr>
    </w:pPr>
  </w:style>
  <w:style w:type="paragraph" w:customStyle="1" w:styleId="NormalHangingJustified">
    <w:name w:val="NormalHangingJustified"/>
    <w:basedOn w:val="Normal"/>
    <w:pPr>
      <w:widowControl/>
      <w:overflowPunct/>
      <w:spacing w:after="240"/>
      <w:ind w:left="714" w:hanging="356"/>
      <w:jc w:val="both"/>
    </w:pPr>
  </w:style>
  <w:style w:type="paragraph" w:customStyle="1" w:styleId="NormalCenter">
    <w:name w:val="NormalCenter"/>
    <w:basedOn w:val="Normal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674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6</Pages>
  <Words>1118</Words>
  <Characters>8468</Characters>
  <Application>Microsoft Office Word</Application>
  <DocSecurity>0</DocSecurity>
  <Lines>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1336608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.render.id">
    <vt:lpwstr>380896</vt:lpwstr>
  </property>
  <property fmtid="{D5CDD505-2E9C-101B-9397-08002B2CF9AE}" pid="7" name="dmxml.render.traceId">
    <vt:lpwstr>698eea2ea7455c3b4ab8a793b6918738</vt:lpwstr>
  </property>
  <property fmtid="{D5CDD505-2E9C-101B-9397-08002B2CF9AE}" pid="8" name="FooterPath">
    <vt:lpwstr>PR\1336608EN.doc</vt:lpwstr>
  </property>
  <property fmtid="{D5CDD505-2E9C-101B-9397-08002B2CF9AE}" pid="9" name="PE Number">
    <vt:lpwstr>784.237</vt:lpwstr>
  </property>
  <property fmtid="{D5CDD505-2E9C-101B-9397-08002B2CF9AE}" pid="10" name="UID">
    <vt:lpwstr>eu.europa.europarl-DIN1-2026-0000024936_01.03-mt-01.00_text-xml</vt:lpwstr>
  </property>
</Properties>
</file>