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Komisja Kontroli Budżetowej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w sprawie kontroli działalności finansowej Europejskiego Banku Inwestycyjnego – sprawozdanie roczne za rok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Komisja Kontroli Budżetowej</w:t>
      </w:r>
      <w:r>
        <w:rPr>
          <w:rStyle w:val="HideTWBExt"/>
        </w:rPr>
        <w:t>&lt;/Commission&gt;</w:t>
      </w:r>
    </w:p>
    <w:p>
      <w:pPr>
        <w:pStyle w:val="CoverNormal24a"/>
      </w:pPr>
      <w:r>
        <w:t>Sprawozdawca</w:t>
      </w:r>
      <w:r>
        <w:t xml:space="preserve">: </w:t>
      </w:r>
      <w:r>
        <w:rPr>
          <w:rStyle w:val="HideTWBExt"/>
        </w:rPr>
        <w:t>&lt;Depute&gt;</w:t>
      </w:r>
      <w:r>
        <w:t>Dick Erixon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SPIS STREŚCI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PROJEKT REZOLUCJI PARLAMENTU EUROPEJSKIEGO</w:t>
      </w:r>
      <w:bookmarkEnd w:id="0"/>
    </w:p>
    <w:p>
      <w:pPr>
        <w:pStyle w:val="NormalBold"/>
      </w:pPr>
      <w:r>
        <w:t>w sprawie kontroli działalności finansowej Europejskiego Banku Inwestycyjnego – sprawozdanie roczne za rok 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2025/2237(INI)</w:t>
      </w:r>
      <w:r>
        <w:t>)</w:t>
      </w:r>
    </w:p>
    <w:p>
      <w:pPr>
        <w:pStyle w:val="Normal12"/>
      </w:pPr>
      <w:r>
        <w:t>Parlament Europejski,</w:t>
      </w:r>
    </w:p>
    <w:p>
      <w:pPr>
        <w:pStyle w:val="NormalHanging"/>
      </w:pPr>
      <w:r>
        <w:t>–</w:t>
      </w:r>
      <w:r>
        <w:tab/>
      </w:r>
      <w:r>
        <w:t>uwzględniając sprawozdanie Europejskiego Banku Inwestycyjnego (EBI) dotyczące inwestycji za lata 2024–2025 pt. „Innowacje, integracja i uproszczenie w Europie”, opublikowane 5 marca 2025 r.,</w:t>
      </w:r>
    </w:p>
    <w:p>
      <w:pPr>
        <w:pStyle w:val="NormalHanging"/>
      </w:pPr>
      <w:r>
        <w:t>–</w:t>
      </w:r>
      <w:r>
        <w:tab/>
      </w:r>
      <w:r>
        <w:t xml:space="preserve">uwzględniając sprawozdanie specjalne </w:t>
      </w:r>
      <w:r>
        <w:t>Europejskiego Trybunału Obrachunkowego</w:t>
      </w:r>
      <w:r>
        <w:t xml:space="preserve"> (ETO) nr 07/2025 z 19 marca 2025 r. pt. „Europejski Fundusz na rzecz Inwestycji Strategicznych”,</w:t>
      </w:r>
    </w:p>
    <w:p>
      <w:pPr>
        <w:pStyle w:val="NormalHanging"/>
      </w:pPr>
      <w:r>
        <w:t>–</w:t>
      </w:r>
      <w:r>
        <w:tab/>
      </w:r>
      <w:r>
        <w:t xml:space="preserve">uwzględniając oświadczenie CC 1/2025 komitetu kontaktowego najwyższych organów kontroli Unii Europejskiej z 30 września 2025 r. w sprawie zewnętrznej kontroli publicznej nad </w:t>
      </w:r>
      <w:r>
        <w:t>Europejskim Bankiem Inwestycyjnym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art. 55 Regulaminu,</w:t>
      </w:r>
    </w:p>
    <w:p>
      <w:pPr>
        <w:pStyle w:val="NormalHanging"/>
      </w:pPr>
      <w:r>
        <w:t>–</w:t>
      </w:r>
      <w:r>
        <w:tab/>
      </w:r>
      <w:r>
        <w:t>uwzględniając sprawozdanie Komisji Kontroli Budżetowej (A10-0000/2026),</w:t>
      </w:r>
    </w:p>
    <w:p>
      <w:pPr>
        <w:pStyle w:val="NormalHanging"/>
      </w:pPr>
      <w:r>
        <w:t>A.</w:t>
      </w:r>
      <w:r>
        <w:tab/>
      </w:r>
      <w:r>
        <w:t xml:space="preserve">mając na uwadze, że podstawową misją Grupy </w:t>
      </w:r>
      <w:r>
        <w:t>Europejskiego Banku Inwestycyjnego</w:t>
      </w:r>
      <w:r>
        <w:t xml:space="preserve"> (grupa EBI) jest pobudzanie wzrostu gospodarczego w UE; mając na uwadze, że jego inwestycje powinny służyć eliminowaniu rzeczywistych niedoskonałości rynku;</w:t>
      </w:r>
    </w:p>
    <w:p>
      <w:pPr>
        <w:pStyle w:val="NormalHanging"/>
      </w:pPr>
      <w:r>
        <w:t>B.</w:t>
      </w:r>
      <w:r>
        <w:tab/>
      </w:r>
      <w:r>
        <w:t>mając na uwadze, że obszary polityki społecznej należą przede wszystkim do kompetencji krajowych; mając na uwadze, że finansowanie EBI nie może zastępować krajowych środków budżetowych i musi mieć charakter dodatkowy;</w:t>
      </w:r>
    </w:p>
    <w:p>
      <w:pPr>
        <w:pStyle w:val="NormalHanging"/>
      </w:pPr>
      <w:r>
        <w:t>C.</w:t>
      </w:r>
      <w:r>
        <w:tab/>
      </w:r>
      <w:r>
        <w:t>mając na uwadze, że intensywność i jakość nadzoru Parlamentu nad operacjami finansowymi EBI powinny odpowiadać intensywności współpracy EBI z Komisją, która stała się bardzo znacząca;</w:t>
      </w:r>
    </w:p>
    <w:p>
      <w:pPr>
        <w:pStyle w:val="NormalHanging"/>
      </w:pPr>
      <w:r>
        <w:t>D.</w:t>
      </w:r>
      <w:r>
        <w:tab/>
      </w:r>
      <w:r>
        <w:t>mając na uwadze, że EBI jest własnością państw członkowskich, a jego kapitał subskrybowany w wysokości 248,8 mld EUR stanowi zobowiązanie wobec podatników; mając na uwadze, że pożyczki zaciągane przez EBI nie pojawiają się w krajowych statystykach długu publicznego; mając na uwadze, że ów pozabilansowy charakter sprawia, że zasadnicze znaczenie mają rygorystyczne normy efektywności i kontrola zewnętrzna; mając na uwadze, że rozszerzeniu mandatu EBI musi towarzyszyć wzmocnienie mechanizmów kontroli zewnętrznej;</w:t>
      </w:r>
    </w:p>
    <w:p>
      <w:pPr>
        <w:pStyle w:val="Normal12a"/>
      </w:pPr>
      <w:r>
        <w:t>Operacje finansowe i wyniki</w:t>
      </w:r>
    </w:p>
    <w:p>
      <w:pPr>
        <w:pStyle w:val="NormalHanging12a"/>
      </w:pPr>
      <w:r>
        <w:t>1.</w:t>
      </w:r>
      <w:r>
        <w:tab/>
      </w:r>
      <w:r>
        <w:t>odnotowuje stabilny wynik finansowy grupy EBI w 2024 r.; podkreśla, że sukces musi być mierzony konkretnymi wynikami gospodarczymi, a nie tylko zatwierdzonymi wolumenami;</w:t>
      </w:r>
    </w:p>
    <w:p>
      <w:pPr>
        <w:pStyle w:val="NormalHanging12a"/>
      </w:pPr>
      <w:r>
        <w:t>2.</w:t>
      </w:r>
      <w:r>
        <w:tab/>
      </w:r>
      <w:r>
        <w:t>zauważa z zaniepokojeniem, że część płatności opóźnionych o ponad 90 dni potroiła się i wyniosła 281,3 mln EUR na koniec 2024 r., co stanowi 0,06% całkowitego portfela kredytowego (w porównaniu z 82,4 mln EUR, czyli 0,02%, na koniec 2023 r.); podkreśla, że ów wzrost ekspozycji nieobsługiwanych i zaległych płatności znacznie przekracza wzrost ogólnego portfela kredytowego o 2%;</w:t>
      </w:r>
    </w:p>
    <w:p>
      <w:pPr>
        <w:pStyle w:val="Normal12a"/>
      </w:pPr>
      <w:r>
        <w:rPr>
          <w:b/>
          <w:i/>
        </w:rPr>
        <w:t>InvestEU, uproszczenie wieloletnich ram finansowych oraz Instrument na rzecz Odbudowy i Zwiększania Odporności</w:t>
      </w:r>
    </w:p>
    <w:p>
      <w:pPr>
        <w:pStyle w:val="NormalHanging12a"/>
      </w:pPr>
      <w:r>
        <w:t>3.</w:t>
      </w:r>
      <w:r>
        <w:tab/>
      </w:r>
      <w:r>
        <w:t>zauważa, że w 2024 r. EBI zatwierdził 38 operacji w ramach InvestEU i wykorzystał w tym celu gwarancje UE na kwotę 1,7 mld EUR; podkreśla, że program InvestEU należy oceniać na podstawie jakości jego interwencji i ich wymiernego wpływu, a nie tylko wysokości wykorzystanych środków finansowych; podkreśla, że w sprawozdawczości należy przesunąć punkt ciężkości z wskaźników opartych na nakładach na wskaźniki oparte na skutkach, pokazujące rzeczywiste wyniki gospodarcze;</w:t>
      </w:r>
    </w:p>
    <w:p>
      <w:pPr>
        <w:pStyle w:val="NormalHanging12a"/>
      </w:pPr>
      <w:r>
        <w:t>4.</w:t>
      </w:r>
      <w:r>
        <w:tab/>
      </w:r>
      <w:r>
        <w:rPr>
          <w:b/>
        </w:rPr>
        <w:t xml:space="preserve"> </w:t>
      </w:r>
      <w:r>
        <w:t>zauważa, że wielość unijnych instrumentów finansowania skutkuje brakiem efektywności; podkreśla, że ograniczenie biurokracji ma zasadnicze znaczenie dla przywrócenia konkurencyjności;</w:t>
      </w:r>
    </w:p>
    <w:p>
      <w:pPr>
        <w:pStyle w:val="Normal12a"/>
      </w:pPr>
      <w:r>
        <w:rPr>
          <w:b/>
          <w:i/>
        </w:rPr>
        <w:t>Bezpieczeństwo energetyczne</w:t>
      </w:r>
    </w:p>
    <w:p>
      <w:pPr>
        <w:pStyle w:val="NormalHanging12a"/>
      </w:pPr>
      <w:r>
        <w:t>5.</w:t>
      </w:r>
      <w:r>
        <w:tab/>
      </w:r>
      <w:r>
        <w:t>wzywa EBI do rozszerzenia finansowania energii jądrowej i do oceny wszystkich projektów niskoemisyjnych pod kątem obiektywnych kryteriów, w tym intensywności emisji dwutlenku węgla w całym cyklu życia i stabilności sieci, bez dyskryminowania żadnej technologii; podkreśla, że państwa członkowskie zachowują suwerenne prawo do decydowania o własnym koszyku energetycznym;</w:t>
      </w:r>
    </w:p>
    <w:p>
      <w:pPr>
        <w:pStyle w:val="Normal12a"/>
      </w:pPr>
      <w:r>
        <w:rPr>
          <w:b/>
          <w:i/>
        </w:rPr>
        <w:t>Polityka obrony i bezpieczeństwa</w:t>
      </w:r>
    </w:p>
    <w:p>
      <w:pPr>
        <w:pStyle w:val="NormalHanging12a"/>
      </w:pPr>
      <w:r>
        <w:t>6.</w:t>
      </w:r>
      <w:r>
        <w:tab/>
      </w:r>
      <w:r>
        <w:t>podkreśla, jak ważny jest wkład grupy EBI w pokój i bezpieczeństwo Europy, na co wskazano w białej księdze w sprawie obronności europejskiej „Gotowość 2030”, a to dzięki temu, że EBI wspiera inicjatywy mające na celu wzmocnienie przemysłu obronnego UE, poprawę infrastruktury cyberbezpieczeństwa i promowanie innowacji w zakresie krytycznych technologii obronnych poprzez zapewnienie finansowania i pobudzanie inwestycji prywatnych;</w:t>
      </w:r>
    </w:p>
    <w:p>
      <w:pPr>
        <w:pStyle w:val="NormalHanging12a"/>
      </w:pPr>
      <w:r>
        <w:t>7.</w:t>
      </w:r>
      <w:r>
        <w:tab/>
      </w:r>
      <w:r>
        <w:t>podkreśla, że EBI powinien być w stanie finansować wszystkie rodzaje projektów obronnych;</w:t>
      </w:r>
    </w:p>
    <w:p>
      <w:pPr>
        <w:pStyle w:val="NormalHanging12a"/>
      </w:pPr>
      <w:r>
        <w:t>8.</w:t>
      </w:r>
      <w:r>
        <w:tab/>
      </w:r>
      <w:r>
        <w:t>wzywa EBI do zidentyfikowania barier utrudniających inwestycje w obronność i ochronę granic; podkreśla, że usunięcie przeszkód ma zasadnicze znaczenie dla wymiernej poprawy bezpieczeństwa;</w:t>
      </w:r>
    </w:p>
    <w:p>
      <w:pPr>
        <w:pStyle w:val="NormalHanging12a"/>
      </w:pPr>
      <w:r>
        <w:t>9.</w:t>
      </w:r>
      <w:r>
        <w:tab/>
      </w:r>
      <w:r>
        <w:t>podkreśla, jak ważne jest nawiązanie zorganizowanej współpracy z Funduszem Innowacyjnym NATO z myślą o synergii i niepowielaniu wysiłków, w szczególności w zakresie zwiększania skali zastosowania technologii tam, gdzie kapitał prywatny jest niewystarczający;</w:t>
      </w:r>
    </w:p>
    <w:p>
      <w:pPr>
        <w:pStyle w:val="Normal12a"/>
      </w:pPr>
      <w:r>
        <w:t>Inwestycje w obszarach należących do kompetencji krajowych</w:t>
      </w:r>
      <w:r>
        <w:rPr>
          <w:b/>
          <w:i/>
        </w:rPr>
        <w:t xml:space="preserve"> </w:t>
      </w:r>
    </w:p>
    <w:p>
      <w:pPr>
        <w:pStyle w:val="NormalHanging12a"/>
      </w:pPr>
      <w:r>
        <w:t>10.</w:t>
      </w:r>
      <w:r>
        <w:tab/>
      </w:r>
      <w:r>
        <w:t>przypomina, że problemy z dostępem mieszkań należy rozwiązywać przede wszystkim na szczeblu lokalnym lub krajowym; ma wątpliwości, czy finansowanie przez EBI czysto lokalnych projektów mieszkaniowych niemających wymiaru transgranicznego rzeczywiście stanowi dobry stosunek wartości do ceny;</w:t>
      </w:r>
    </w:p>
    <w:p>
      <w:pPr>
        <w:pStyle w:val="Normal12a"/>
      </w:pPr>
      <w:r>
        <w:rPr>
          <w:b/>
          <w:i/>
        </w:rPr>
        <w:t>Wsparcie dla małych i średnich przedsiębiorstw, spółek o średniej kapitalizacji, przedsiębiorstw typu start-up i scale-up oraz innych przedsiębiorstw</w:t>
      </w:r>
    </w:p>
    <w:p>
      <w:pPr>
        <w:pStyle w:val="NormalHanging12a"/>
      </w:pPr>
      <w:r>
        <w:t>11.</w:t>
      </w:r>
      <w:r>
        <w:tab/>
      </w:r>
      <w:r>
        <w:t>podkreśla, że EBI musi zajmować się rzeczywistymi niedoskonałościami rynku oraz że jego inwestycje nie mogą zastępować kapitału prywatnego ani krajowych środków budżetowych; podkreśla, że ochrona konkurencji na rynku ma zasadnicze znaczenie;</w:t>
      </w:r>
    </w:p>
    <w:p>
      <w:pPr>
        <w:pStyle w:val="NormalHanging12a"/>
      </w:pPr>
      <w:r>
        <w:t>12.</w:t>
      </w:r>
      <w:r>
        <w:tab/>
      </w:r>
      <w:r>
        <w:t xml:space="preserve">odnotowuje ustalenia zawarte w sprawozdaniu specjalnym </w:t>
      </w:r>
      <w:r>
        <w:t>ETO</w:t>
      </w:r>
      <w:r>
        <w:t xml:space="preserve"> nr 07/2025 dotyczące niewystarczającej dodatkowości; ostrzega przed niebezpieczeństwem wyparcia inwestycji prywatnych; apeluje o ilościowe progi ryzyka i oceny ex post dotyczące zjawiska wypierania;</w:t>
      </w:r>
    </w:p>
    <w:p>
      <w:pPr>
        <w:pStyle w:val="NormalHanging12a"/>
      </w:pPr>
      <w:r>
        <w:t>13.</w:t>
      </w:r>
      <w:r>
        <w:tab/>
      </w:r>
      <w:r>
        <w:t>zauważa, że pożyczki EBI wiążą się z większymi obciążeniami administracyjnymi niż pożyczki komercyjne; wzywa EBI do opublikowania planów zmniejszenia ograniczeń;</w:t>
      </w:r>
    </w:p>
    <w:p>
      <w:pPr>
        <w:pStyle w:val="Normal12a"/>
      </w:pPr>
      <w:r>
        <w:rPr>
          <w:b/>
          <w:i/>
        </w:rPr>
        <w:t>Spójność, klimat, cyfryzacja i zrównoważenie środowiskowe</w:t>
      </w:r>
    </w:p>
    <w:p>
      <w:pPr>
        <w:pStyle w:val="NormalHanging12a"/>
      </w:pPr>
      <w:r>
        <w:t>14.</w:t>
      </w:r>
      <w:r>
        <w:tab/>
      </w:r>
      <w:r>
        <w:t>podkreśla, że sprawozdawczość, której podstawą są wolumeny, mierzy produkty, a nie rezultaty; apeluje o wskaźniki zorientowane na rezultaty, takie jak emisje CO2, których uniknięto w przeliczeniu na każde zainwestowane euro; opowiada się za analizą porównawczą względem porównywalnych interwencji;</w:t>
      </w:r>
    </w:p>
    <w:p>
      <w:pPr>
        <w:pStyle w:val="NormalHanging12a"/>
      </w:pPr>
      <w:r>
        <w:t>15.</w:t>
      </w:r>
      <w:r>
        <w:tab/>
      </w:r>
      <w:r>
        <w:t>ostrzega, że ciągła akumulacja pokrywających się celów w zakresie włączania w główny nurt polityki grozi powstaniem struktury portfela, która z matematycznego punktu widzenia nie ma sensu;</w:t>
      </w:r>
    </w:p>
    <w:p>
      <w:pPr>
        <w:pStyle w:val="Normal12a"/>
      </w:pPr>
      <w:r>
        <w:rPr>
          <w:b/>
          <w:i/>
        </w:rPr>
        <w:t xml:space="preserve">Działalność EBI poza UE </w:t>
      </w:r>
    </w:p>
    <w:p>
      <w:pPr>
        <w:pStyle w:val="NormalHanging12a"/>
      </w:pPr>
      <w:r>
        <w:t>16.</w:t>
      </w:r>
      <w:r>
        <w:tab/>
      </w:r>
      <w:r>
        <w:t>nalega, aby udzielanie pożyczek państwom spoza UE było uzależnione od współpracy z UE w zakresie zarządzania migracją, w tym readmisji;</w:t>
      </w:r>
    </w:p>
    <w:p>
      <w:pPr>
        <w:pStyle w:val="NormalHanging12a"/>
      </w:pPr>
      <w:r>
        <w:t>17.</w:t>
      </w:r>
      <w:r>
        <w:tab/>
      </w:r>
      <w:r>
        <w:t>podkreśla, że solidne środki służące zwalczaniu nadużyć finansowych mają zasadnicze, jeśli chodzi o zaufanie podatników do inwestycji EBI i jego stałe wsparcie dla Ukrainy; apeluje o rygorystyczne standardy kontroli; utrzymuje, że EBI powinien sprawować nieograniczony nadzór nad wszystkimi swoimi inwestycjami poza UE;</w:t>
      </w:r>
    </w:p>
    <w:p>
      <w:pPr>
        <w:pStyle w:val="Normal12a"/>
      </w:pPr>
      <w:r>
        <w:rPr>
          <w:b/>
          <w:i/>
        </w:rPr>
        <w:t>Struktura rozliczalności w EBI</w:t>
      </w:r>
    </w:p>
    <w:p>
      <w:pPr>
        <w:pStyle w:val="NormalHanging12a"/>
      </w:pPr>
      <w:r>
        <w:t>18.</w:t>
      </w:r>
      <w:r>
        <w:tab/>
      </w:r>
      <w:r>
        <w:t xml:space="preserve">wyraża aprobatę dla oświadczenia komitetu kontaktowego CC 1/2025, w którym to oświadczeniu wskazano krytyczne braki w zakresie audytu; zwraca uwagę na paradoks polegający na rozszerzonym mandacie EBI i ograniczonych uprawnieniach kontrolnych; wzywa do zaangażowania krajowych najwyższych organów kontroli; przypomina, że zmiana traktatu jest konieczna, aby </w:t>
      </w:r>
      <w:r>
        <w:t>Europejski Trybunał Obrachunkowy</w:t>
      </w:r>
      <w:r>
        <w:t xml:space="preserve"> otrzymał pełny dostęp do EBI;</w:t>
      </w:r>
    </w:p>
    <w:p>
      <w:pPr>
        <w:pStyle w:val="NormalHanging12a"/>
      </w:pPr>
      <w:r>
        <w:t>19.</w:t>
      </w:r>
      <w:r>
        <w:tab/>
      </w:r>
      <w:r>
        <w:t>wyraża zaniepokojenie upadłością przedsiębiorstwa Northvolt, mimo że otrzymało ono 942,6 mln EUR w postaci pożyczek od EBI; zauważa, że podobne ryzyko istnieje w przypadku przedsiębiorstwa Stegra; wzywa do ujawnienia ocen ryzyka sporządzanych przez EBI; domaga się przeglądu wniosków wyciągniętych w przypadku przedsiębiorstwa Northvolt; wzywa EBI do ujawnienia profili oceny ryzyka w odniesieniu do tych i innych podobnych zobowiązań; ponawia swój apel do EBI o przedstawienie szczegółowych informacji na temat oceny i procesu decyzyjnego przed inwestycją w Northvolt AB oraz o wyjaśnienie, w jaki sposób taki kluczowy projekt zakończył się niepowodzeniem pomimo zapewnień EBI, że odpowiednio i stale monitoruje on beneficjentów otrzymujących od niego wsparcie finansowe; z zaniepokojeniem odnotowuje powiązania polityczno-partyjne między kierownictwem EBI a jednym z pierwszych inwestorów i doradców w przedsiębiorstwie Northvolt;</w:t>
      </w:r>
    </w:p>
    <w:p>
      <w:pPr>
        <w:pStyle w:val="NormalHanging12a"/>
      </w:pPr>
      <w:r>
        <w:t>20.</w:t>
      </w:r>
      <w:r>
        <w:tab/>
      </w:r>
      <w:r>
        <w:t>zdecydowanie domaga się wzmocnienia procedur zapobiegania konfliktom interesów; wzywa do wprowadzenia bardziej rygorystycznych okresów karencji dla wiceprezesów EBI oraz jaśniejszych zasad ich udziału w podejmowaniu decyzji dotyczących ich krajów pochodzenia;</w:t>
      </w:r>
    </w:p>
    <w:p>
      <w:pPr>
        <w:pStyle w:val="Normal12a"/>
      </w:pPr>
      <w:r>
        <w:rPr>
          <w:b/>
          <w:i/>
        </w:rPr>
        <w:t>Przejrzystość, kontrola i nadzór</w:t>
      </w:r>
    </w:p>
    <w:p>
      <w:pPr>
        <w:pStyle w:val="NormalHanging12a"/>
      </w:pPr>
      <w:r>
        <w:t>21.</w:t>
      </w:r>
      <w:r>
        <w:tab/>
      </w:r>
      <w:r>
        <w:t>ubolewa, że EBI nie podjął działań w związku ze sprawozdaniem rocznym Parlamentu z jego działalności finansowej w 2023 r.</w:t>
      </w:r>
      <w:r>
        <w:rPr>
          <w:rStyle w:val="FootnoteReference"/>
        </w:rPr>
        <w:footnoteReference w:customMarkFollows="1" w:id="2"/>
        <w:t xml:space="preserve">1</w:t>
      </w:r>
      <w:r>
        <w:t>; podkreśla, że porozumienie międzyinstytucjonalne ma zasadnicze znaczenie dla przewidywalnej współpracy;</w:t>
      </w:r>
    </w:p>
    <w:p>
      <w:pPr>
        <w:pStyle w:val="Normal12a"/>
      </w:pPr>
      <w:r>
        <w:rPr>
          <w:b/>
          <w:i/>
        </w:rPr>
        <w:t>Działania następcze w związku z zaleceniami Parlamentu</w:t>
      </w:r>
    </w:p>
    <w:p>
      <w:pPr>
        <w:pStyle w:val="NormalHanging12a"/>
      </w:pPr>
      <w:r>
        <w:t>22.</w:t>
      </w:r>
      <w:r>
        <w:tab/>
      </w:r>
      <w:r>
        <w:t>wzywa do podjęcia w odpowiednim czasie działań następczych w związku z następującymi kwestiami: a) skutki inwestycyjne; b) zapobieganie konfliktom interesów; c) przejrzystość; d) ta rezolucja;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23.</w:t>
      </w:r>
      <w:r>
        <w:tab/>
      </w:r>
      <w:r>
        <w:t>zobowiązuje swoją przewodniczącą do przekazania niniejszej rezolucji Radzie i Komisji oraz zwraca się do Rady i do Rady Dyrektorów EBI o przeprowadzenie debaty na temat stanowisk przedstawionych przez Parlament w tej rezolucji.</w:t>
      </w:r>
    </w:p>
    <w:sectPr>
      <w:footerReference w:type="even" r:id="rId6"/>
      <w:footerReference w:type="default" r:id="rId7"/>
      <w:footerReference w:type="first" r:id="rId8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PR\1336608PL.docx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Rezolucja Parlamentu Europejskiego z 28 lutego 2024 r. w sprawie działalności finansowej Europejskiego Banku Inwestycyjnego – sprawozdanie roczne za rok 2023 (Dz.U. C, C/2024/6742 z 26.11.2024, ELI: </w:t>
      </w:r>
      <w:hyperlink r:id="rId1" w:tgtFrame="http://data.europa.eu/eli/C/2024/6742/oj" w:history="1">
        <w:r>
          <w:rPr>
            <w:rStyle w:val="Hyperlink"/>
          </w:rPr>
          <w:t>http://data.europa.eu/eli/C/2024/6742/oj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674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1263</Words>
  <Characters>8498</Characters>
  <Application>Microsoft Office Word</Application>
  <DocSecurity>0</DocSecurity>
  <Lines>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1336608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388636</vt:lpwstr>
  </property>
  <property fmtid="{D5CDD505-2E9C-101B-9397-08002B2CF9AE}" pid="7" name="dmxml.render.traceId">
    <vt:lpwstr>699c2efd8216202576e419bfeafa7003</vt:lpwstr>
  </property>
  <property fmtid="{D5CDD505-2E9C-101B-9397-08002B2CF9AE}" pid="8" name="FooterPath">
    <vt:lpwstr>PR\1336608PL.doc</vt:lpwstr>
  </property>
  <property fmtid="{D5CDD505-2E9C-101B-9397-08002B2CF9AE}" pid="9" name="PE Number">
    <vt:lpwstr>784.237</vt:lpwstr>
  </property>
  <property fmtid="{D5CDD505-2E9C-101B-9397-08002B2CF9AE}" pid="10" name="UID">
    <vt:lpwstr>eu.europa.europarl-DIN1-2026-0000024936_01.03-pl-01.00_text-xml</vt:lpwstr>
  </property>
</Properties>
</file>