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Parlamento Europeu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1.46pt">
                  <v:imagedata r:id="rId5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{CONT}</w:t>
      </w:r>
      <w:r>
        <w:t>Comissão do Controlo Orçamental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2025/2237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{06/02/2026}</w:t>
      </w:r>
      <w:r>
        <w:t>6.2.2026</w:t>
      </w:r>
      <w:r>
        <w:rPr>
          <w:rStyle w:val="HideTWBExt"/>
        </w:rPr>
        <w:t>&lt;/Date&gt;</w:t>
      </w:r>
    </w:p>
    <w:p>
      <w:pPr>
        <w:pStyle w:val="CoverDocType24a"/>
      </w:pPr>
      <w:r>
        <w:rPr>
          <w:rStyle w:val="HideTWBExt"/>
        </w:rPr>
        <w:t>&lt;TitreType&gt;</w:t>
      </w:r>
      <w:r>
        <w:t>PROJETO DE RELATÓRIO</w:t>
      </w:r>
      <w:r>
        <w:rPr>
          <w:rStyle w:val="HideTWBExt"/>
        </w:rPr>
        <w:t>&lt;/TitreType&gt;</w:t>
      </w:r>
    </w:p>
    <w:p>
      <w:pPr>
        <w:pStyle w:val="CoverNormal"/>
      </w:pPr>
      <w:r>
        <w:rPr>
          <w:rStyle w:val="HideTWBExt"/>
        </w:rPr>
        <w:t>&lt;Titre&gt;</w:t>
      </w:r>
      <w:r>
        <w:t>sobre o controlo das atividades financeiras do Grupo do Banco Europeu de Investimento — relatório anual 2024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(2025/2237(INI))</w:t>
      </w:r>
      <w:r>
        <w:rPr>
          <w:rStyle w:val="HideTWBExt"/>
        </w:rPr>
        <w:t>&lt;/DocRef&gt;</w:t>
      </w:r>
    </w:p>
    <w:p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{CONT}</w:t>
      </w:r>
      <w:r>
        <w:t>Comissão do Controlo Orçamental</w:t>
      </w:r>
      <w:r>
        <w:rPr>
          <w:rStyle w:val="HideTWBExt"/>
        </w:rPr>
        <w:t>&lt;/Commission&gt;</w:t>
      </w:r>
    </w:p>
    <w:p>
      <w:pPr>
        <w:pStyle w:val="CoverNormal24a"/>
      </w:pPr>
      <w:r>
        <w:t>Relator</w:t>
      </w:r>
      <w:r>
        <w:t xml:space="preserve">: </w:t>
      </w:r>
      <w:r>
        <w:rPr>
          <w:rStyle w:val="HideTWBExt"/>
        </w:rPr>
        <w:t>&lt;Depute&gt;</w:t>
      </w:r>
      <w:r>
        <w:t>Dick Erixon</w:t>
      </w:r>
      <w:r>
        <w:rPr>
          <w:rStyle w:val="HideTWBExt"/>
        </w:rPr>
        <w:t>&lt;/Depute&gt;</w:t>
      </w:r>
    </w:p>
    <w:p>
      <w:r>
        <w:br w:type="page"/>
      </w:r>
      <w:r>
        <w:t>PR_INI</w:t>
      </w:r>
    </w:p>
    <w:p>
      <w:pPr>
        <w:pStyle w:val="TOCHeading"/>
      </w:pPr>
      <w:r>
        <w:t>ÍNDICE</w:t>
      </w:r>
    </w:p>
    <w:p>
      <w:pPr>
        <w:pStyle w:val="TOCPage"/>
      </w:pPr>
      <w:r>
        <w:t>Página</w:t>
      </w:r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\t</w:instrText>
      </w:r>
      <w:r>
        <w:instrText xml:space="preserve"> </w:instrText>
      </w:r>
      <w:r>
        <w:instrText>PageHeading</w:instrText>
      </w:r>
      <w:r>
        <w:fldChar w:fldCharType="separate"/>
      </w:r>
      <w:r>
        <w:t>PROPOSTA DE RESOLUÇÃO DO PARLAMENTO EUROPEU</w:t>
      </w:r>
      <w:r>
        <w:tab/>
      </w:r>
      <w:r>
        <w:fldChar w:fldCharType="begin"/>
      </w:r>
      <w:r>
        <w:instrText xml:space="preserve"> PAGEREF _Toc256000000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</w:pPr>
      <w:r>
        <w:fldChar w:fldCharType="end"/>
      </w:r>
    </w:p>
    <w:p>
      <w:r>
        <w:br w:type="page"/>
      </w:r>
    </w:p>
    <w:p>
      <w:pPr>
        <w:pStyle w:val="PageHeading"/>
      </w:pPr>
      <w:bookmarkStart w:id="0" w:name="_Toc256000000"/>
      <w:r>
        <w:t>PROPOSTA DE RESOLUÇÃO DO PARLAMENTO EUROPEU</w:t>
      </w:r>
      <w:bookmarkEnd w:id="0"/>
    </w:p>
    <w:p>
      <w:pPr>
        <w:pStyle w:val="NormalBold"/>
      </w:pPr>
      <w:r>
        <w:t>sobre o controlo das atividades financeiras do Grupo do Banco Europeu de Investimento — relatório anual 2024</w:t>
      </w:r>
    </w:p>
    <w:p>
      <w:pPr>
        <w:pStyle w:val="NormalBold"/>
      </w:pPr>
    </w:p>
    <w:p>
      <w:pPr>
        <w:pStyle w:val="NormalBold12a"/>
      </w:pPr>
      <w:r>
        <w:t>(</w:t>
      </w:r>
      <w:r>
        <w:t>2025/2237(INI)</w:t>
      </w:r>
      <w:r>
        <w:t>)</w:t>
      </w:r>
    </w:p>
    <w:p>
      <w:pPr>
        <w:pStyle w:val="Normal12"/>
      </w:pPr>
      <w:r>
        <w:rPr>
          <w:i/>
        </w:rPr>
        <w:t>O Parlamento Europeu</w:t>
      </w:r>
      <w:r>
        <w:t>,</w:t>
      </w:r>
    </w:p>
    <w:p>
      <w:pPr>
        <w:pStyle w:val="NormalHanging"/>
      </w:pPr>
      <w:r>
        <w:t>–</w:t>
      </w:r>
      <w:r>
        <w:tab/>
      </w:r>
      <w:r>
        <w:t>Tendo em conta o relatório de investimento 2024/2025 do BEI intitulado «Innovation, integration and simplification in Europe» [Inovação, integração e simplificação na Europa], publicado em 5 de março de 2025,</w:t>
      </w:r>
    </w:p>
    <w:p>
      <w:pPr>
        <w:pStyle w:val="NormalHanging"/>
      </w:pPr>
      <w:r>
        <w:t>–</w:t>
      </w:r>
      <w:r>
        <w:tab/>
      </w:r>
      <w:r>
        <w:t xml:space="preserve">Tendo em conta o Relatório Especial 07/2025 do </w:t>
      </w:r>
      <w:r>
        <w:t>Tribunal de Contas Europeu</w:t>
      </w:r>
      <w:r>
        <w:t>, de 19 de março de 2025, sobre o Fundo Europeu para Investimentos Estratégicos,</w:t>
      </w:r>
    </w:p>
    <w:p>
      <w:pPr>
        <w:pStyle w:val="NormalHanging"/>
      </w:pPr>
      <w:r>
        <w:t>–</w:t>
      </w:r>
      <w:r>
        <w:tab/>
      </w:r>
      <w:r>
        <w:t xml:space="preserve">Tendo em conta a declaração CC 1/2025 do Comité de Contacto das Instituições Superiores de Controlo da União Europeia, de 30 de setembro de 2025, sobre a auditoria pública externa do </w:t>
      </w:r>
      <w:r>
        <w:t>Banco Europeu de Investimento</w:t>
      </w:r>
      <w:r>
        <w:t>,</w:t>
      </w:r>
    </w:p>
    <w:p>
      <w:pPr>
        <w:pStyle w:val="NormalHanging"/>
      </w:pPr>
      <w:r>
        <w:t>–</w:t>
      </w:r>
      <w:r>
        <w:tab/>
      </w:r>
      <w:r>
        <w:t>Tendo em conta o artigo 55.º do seu Regimento,</w:t>
      </w:r>
    </w:p>
    <w:p>
      <w:pPr>
        <w:pStyle w:val="NormalHanging"/>
      </w:pPr>
      <w:r>
        <w:t>–</w:t>
      </w:r>
      <w:r>
        <w:tab/>
      </w:r>
      <w:r>
        <w:t>Tendo em conta o relatório da Comissão do Controlo Orçamental (A10-0000/2026),</w:t>
      </w:r>
    </w:p>
    <w:p>
      <w:pPr>
        <w:pStyle w:val="NormalHanging"/>
      </w:pPr>
      <w:r>
        <w:t>A.</w:t>
      </w:r>
      <w:r>
        <w:tab/>
      </w:r>
      <w:r>
        <w:t xml:space="preserve">Considerando que a principal missão do Grupo do </w:t>
      </w:r>
      <w:r>
        <w:t>Banco Europeu de Investimento</w:t>
      </w:r>
      <w:r>
        <w:t xml:space="preserve"> (BEI) consiste em impulsionar o crescimento económico da UE; que os seus investimentos devem dar resposta a verdadeiras deficiências do mercado;</w:t>
      </w:r>
    </w:p>
    <w:p>
      <w:pPr>
        <w:pStyle w:val="NormalHanging"/>
      </w:pPr>
      <w:r>
        <w:t>B.</w:t>
      </w:r>
      <w:r>
        <w:tab/>
      </w:r>
      <w:r>
        <w:t>Considerando que os domínios da política social são essencialmente competências nacionais; que o financiamento do BEI não pode ser utilizado como substituto dos orçamentos nacionais e deve demonstrar uma verdadeira adicionalidade;</w:t>
      </w:r>
    </w:p>
    <w:p>
      <w:pPr>
        <w:pStyle w:val="NormalHanging"/>
      </w:pPr>
      <w:r>
        <w:t>C.</w:t>
      </w:r>
      <w:r>
        <w:tab/>
      </w:r>
      <w:r>
        <w:t>Considerando que a intensidade e a qualidade do controlo das operações financeiras do BEI por parte do Parlamento devem ser consonantes com a intensidade da cooperação entre o BEI e a Comissão, que se tornou muito significativa;</w:t>
      </w:r>
    </w:p>
    <w:p>
      <w:pPr>
        <w:pStyle w:val="NormalHanging"/>
      </w:pPr>
      <w:r>
        <w:t>D.</w:t>
      </w:r>
      <w:r>
        <w:tab/>
      </w:r>
      <w:r>
        <w:t>Considerando que o BEI é propriedade dos Estados-Membros, com um capital subscrito de 248,8 mil milhões de EUR, o qual representa a responsabilidade dos contribuintes; que os empréstimos contraídos pelo BEI não figuram nas estatísticas da dívida nacional; que esta sua natureza exterior ao balanço torna essencial a aplicação de normas rigorosas de eficiência e auditoria externa; que o alargamento do mandato do BEI deve ser acompanhado pelo reforço das disposições em matéria de auditoria externa;</w:t>
      </w:r>
    </w:p>
    <w:p>
      <w:pPr>
        <w:pStyle w:val="Normal12a"/>
      </w:pPr>
      <w:r>
        <w:t>Operações e resultados financeiros</w:t>
      </w:r>
    </w:p>
    <w:p>
      <w:pPr>
        <w:pStyle w:val="NormalHanging12a"/>
      </w:pPr>
      <w:r>
        <w:t>1.</w:t>
      </w:r>
      <w:r>
        <w:tab/>
      </w:r>
      <w:r>
        <w:t>Regista a estabilidade dos resultados financeiros do Grupo BEI em 2024; salienta que o êxito deve ser medido por resultados económicos demonstráveis, e não apenas por volumes assinados;</w:t>
      </w:r>
    </w:p>
    <w:p>
      <w:pPr>
        <w:pStyle w:val="NormalHanging12a"/>
      </w:pPr>
      <w:r>
        <w:t>2.</w:t>
      </w:r>
      <w:r>
        <w:tab/>
      </w:r>
      <w:r>
        <w:t>Observa com preocupação que a parte dos pagamentos com um atraso superior a 90 dias triplicou, totalizando 281,3 milhões de EUR no final de 2024, o que representa 0,06 % da carteira total de empréstimos (em comparação com 82,4 milhões de EUR, ou seja, 0,02 % no final de 2023); salienta que estes aumentos das exposições não produtivas e dos pagamentos em atraso excedem consideravelmente o crescimento de 2 % da carteira global de empréstimos;</w:t>
      </w:r>
    </w:p>
    <w:p>
      <w:pPr>
        <w:pStyle w:val="Normal12a"/>
      </w:pPr>
      <w:r>
        <w:rPr>
          <w:b/>
          <w:i/>
        </w:rPr>
        <w:t>O Programa InvestEU, a simplificação do quadro financeiro plurianual e o Mecanismo de Recuperação e Resiliência</w:t>
      </w:r>
    </w:p>
    <w:p>
      <w:pPr>
        <w:pStyle w:val="NormalHanging12a"/>
      </w:pPr>
      <w:r>
        <w:t>3.</w:t>
      </w:r>
      <w:r>
        <w:tab/>
      </w:r>
      <w:r>
        <w:t>Constata que, em 2024, o BEI aprovou 38 operações ao abrigo do InvestEU, utilizando 1,7 mil milhões de EUR da garantia da UE; salienta que o programa InvestEU deve ser avaliado em função da qualidade das suas intervenções e do seu efeito mensurável, e não apenas da quantidade de financiamento utilizado; insiste em que a comunicação de informações deve mudar de foco, passando das métricas baseadas nos recursos utilizados para indicadores de impacto que demonstrem resultados económicos reais;</w:t>
      </w:r>
    </w:p>
    <w:p>
      <w:pPr>
        <w:pStyle w:val="NormalHanging12a"/>
      </w:pPr>
      <w:r>
        <w:t>4.</w:t>
      </w:r>
      <w:r>
        <w:tab/>
      </w:r>
      <w:r>
        <w:rPr>
          <w:b/>
        </w:rPr>
        <w:t xml:space="preserve"> </w:t>
      </w:r>
      <w:r>
        <w:t>Observa que a fragmentação do panorama de financiamento da UE conduz a ineficiências; sublinha que é essencial reduzir a burocracia para restabelecer a competitividade;</w:t>
      </w:r>
    </w:p>
    <w:p>
      <w:pPr>
        <w:pStyle w:val="Normal12a"/>
      </w:pPr>
      <w:r>
        <w:rPr>
          <w:b/>
          <w:i/>
        </w:rPr>
        <w:t>Segurança energética</w:t>
      </w:r>
    </w:p>
    <w:p>
      <w:pPr>
        <w:pStyle w:val="NormalHanging12a"/>
      </w:pPr>
      <w:r>
        <w:t>5.</w:t>
      </w:r>
      <w:r>
        <w:tab/>
      </w:r>
      <w:r>
        <w:t>Insta o BEI a aumentar o financiamento da energia nuclear e a avaliar todos os projetos hipocarbónicos em função de critérios objetivos, incluindo a intensidade de carbono ao longo do ciclo de vida e a estabilidade da rede, sem discriminar tecnologias; destaca que os Estados-Membros mantêm o direito soberano de determinar a sua matriz energética;</w:t>
      </w:r>
    </w:p>
    <w:p>
      <w:pPr>
        <w:pStyle w:val="Normal12a"/>
      </w:pPr>
      <w:r>
        <w:rPr>
          <w:b/>
          <w:i/>
        </w:rPr>
        <w:t>Política de defesa e de segurança</w:t>
      </w:r>
    </w:p>
    <w:p>
      <w:pPr>
        <w:pStyle w:val="NormalHanging12a"/>
      </w:pPr>
      <w:r>
        <w:t>6.</w:t>
      </w:r>
      <w:r>
        <w:tab/>
      </w:r>
      <w:r>
        <w:t>Salienta a importância do contributo do Grupo BEI para a paz e a segurança da Europa, tal como mencionado no Livro Branco Conjunto — Preparação da defesa europeia 2030, através do seu apoio a iniciativas destinadas a reforçar a indústria de defesa da UE, melhorar as infraestruturas de cibersegurança e promover a inovação em tecnologias críticas de defesa, concedendo financiamento e mobilizando investimento privado;</w:t>
      </w:r>
    </w:p>
    <w:p>
      <w:pPr>
        <w:pStyle w:val="NormalHanging12a"/>
      </w:pPr>
      <w:r>
        <w:t>7.</w:t>
      </w:r>
      <w:r>
        <w:tab/>
      </w:r>
      <w:r>
        <w:t>Frisa que o BEI deve poder financiar todos os tipos de projetos de defesa;</w:t>
      </w:r>
    </w:p>
    <w:p>
      <w:pPr>
        <w:pStyle w:val="NormalHanging12a"/>
      </w:pPr>
      <w:r>
        <w:t>8.</w:t>
      </w:r>
      <w:r>
        <w:tab/>
      </w:r>
      <w:r>
        <w:t>Insta o BEI a identificar os obstáculos que impedem os investimentos na defesa e na proteção das fronteiras; frisa que a eliminação dos obstáculos é essencial para obter resultados tangíveis em matéria de segurança;</w:t>
      </w:r>
    </w:p>
    <w:p>
      <w:pPr>
        <w:pStyle w:val="NormalHanging12a"/>
      </w:pPr>
      <w:r>
        <w:t>9.</w:t>
      </w:r>
      <w:r>
        <w:tab/>
      </w:r>
      <w:r>
        <w:t>Realça que é importante estabelecer uma cooperação estruturada com o Fundo de Inovação da OTAN, a fim de assegurar sinergias e evitar a duplicação de esforços, em particular na expansão de tecnologias em que o capital privado seja insuficiente;</w:t>
      </w:r>
    </w:p>
    <w:p>
      <w:pPr>
        <w:pStyle w:val="Normal12a"/>
      </w:pPr>
      <w:r>
        <w:rPr>
          <w:b/>
          <w:i/>
        </w:rPr>
        <w:t>Investimentos em domínios de competência nacional</w:t>
      </w:r>
      <w:r>
        <w:rPr>
          <w:b/>
          <w:i/>
        </w:rPr>
        <w:t xml:space="preserve"> </w:t>
      </w:r>
    </w:p>
    <w:p>
      <w:pPr>
        <w:pStyle w:val="NormalHanging12a"/>
      </w:pPr>
      <w:r>
        <w:t>10.</w:t>
      </w:r>
      <w:r>
        <w:tab/>
      </w:r>
      <w:r>
        <w:t>Recorda que os desafios em matéria de habitação devem ser enfrentados principalmente ao nível local ou nacional; questiona se o financiamento pelo BEI de projetos de habitação puramente locais, sem uma dimensão transfronteiriça, representa uma verdadeira otimização dos recursos;</w:t>
      </w:r>
    </w:p>
    <w:p>
      <w:pPr>
        <w:pStyle w:val="Normal12a"/>
      </w:pPr>
      <w:r>
        <w:rPr>
          <w:b/>
          <w:i/>
        </w:rPr>
        <w:t>Apoio às PME, às empresas de média capitalização, às empresas em fase de arranque, às empresas em fase de expansão e a outras empresas</w:t>
      </w:r>
    </w:p>
    <w:p>
      <w:pPr>
        <w:pStyle w:val="NormalHanging12a"/>
      </w:pPr>
      <w:r>
        <w:t>11.</w:t>
      </w:r>
      <w:r>
        <w:tab/>
      </w:r>
      <w:r>
        <w:t>Salienta que o BEI deve focar-se nas verdadeiras deficiências do mercado e que os seus investimentos não devem substituir o capital privado ou os orçamentos nacionais; sublinha que é imprescindível proteger o ambiente concorrencial do mercado;</w:t>
      </w:r>
    </w:p>
    <w:p>
      <w:pPr>
        <w:pStyle w:val="NormalHanging12a"/>
      </w:pPr>
      <w:r>
        <w:t>12.</w:t>
      </w:r>
      <w:r>
        <w:tab/>
      </w:r>
      <w:r>
        <w:t xml:space="preserve">Regista as conclusões do Relatório Especial 07/2025 do </w:t>
      </w:r>
      <w:r>
        <w:t>Tribunal de Contas Europeu</w:t>
      </w:r>
      <w:r>
        <w:t xml:space="preserve"> sobre a adicionalidade insuficiente; alerta para o risco de evicção do investimento privado; solicita limiares de risco quantitativos e avaliações </w:t>
      </w:r>
      <w:r>
        <w:rPr>
          <w:i/>
        </w:rPr>
        <w:t>ex post</w:t>
      </w:r>
      <w:r>
        <w:t xml:space="preserve"> de evicção;</w:t>
      </w:r>
    </w:p>
    <w:p>
      <w:pPr>
        <w:pStyle w:val="NormalHanging12a"/>
      </w:pPr>
      <w:r>
        <w:t>13.</w:t>
      </w:r>
      <w:r>
        <w:tab/>
      </w:r>
      <w:r>
        <w:t>Observa que os empréstimos do BEI implicam encargos administrativos mais elevados do que os empréstimos comerciais; insta o BEI a publicar planos para reduzir os condicionalismos;</w:t>
      </w:r>
    </w:p>
    <w:p>
      <w:pPr>
        <w:pStyle w:val="Normal12a"/>
      </w:pPr>
      <w:r>
        <w:rPr>
          <w:b/>
          <w:i/>
        </w:rPr>
        <w:t>Domínios de intervenção da coesão, do clima, da digitalização e da sustentabilidade ambiental</w:t>
      </w:r>
    </w:p>
    <w:p>
      <w:pPr>
        <w:pStyle w:val="NormalHanging12a"/>
      </w:pPr>
      <w:r>
        <w:t>14.</w:t>
      </w:r>
      <w:r>
        <w:tab/>
      </w:r>
      <w:r>
        <w:t>Salienta que os relatórios baseados em medidas de volume medem o produto e não os resultados; solicita a utilização de indicadores orientados para os resultados, como as emissões de CO</w:t>
      </w:r>
      <w:r>
        <w:rPr>
          <w:vertAlign w:val="subscript"/>
        </w:rPr>
        <w:t>2</w:t>
      </w:r>
      <w:r>
        <w:t xml:space="preserve"> evitadas por euro investido; defende a avaliação comparativa de intervenções comparáveis;</w:t>
      </w:r>
    </w:p>
    <w:p>
      <w:pPr>
        <w:pStyle w:val="NormalHanging12a"/>
      </w:pPr>
      <w:r>
        <w:t>15.</w:t>
      </w:r>
      <w:r>
        <w:tab/>
      </w:r>
      <w:r>
        <w:t>Adverte que a acumulação contínua de objetivos de integração que se sobrepõem pode criar uma composição matematicamente impossível da carteira;</w:t>
      </w:r>
    </w:p>
    <w:p>
      <w:pPr>
        <w:pStyle w:val="Normal12a"/>
      </w:pPr>
      <w:r>
        <w:rPr>
          <w:b/>
          <w:i/>
        </w:rPr>
        <w:t>Atividades do BEI fora da UE</w:t>
      </w:r>
      <w:r>
        <w:rPr>
          <w:b/>
          <w:i/>
        </w:rPr>
        <w:t xml:space="preserve"> </w:t>
      </w:r>
    </w:p>
    <w:p>
      <w:pPr>
        <w:pStyle w:val="NormalHanging12a"/>
      </w:pPr>
      <w:r>
        <w:t>16.</w:t>
      </w:r>
      <w:r>
        <w:tab/>
      </w:r>
      <w:r>
        <w:t>Insiste em que a concessão de empréstimos a países terceiros seja condicionada à cooperação com a UE em matéria de gestão da migração, incluindo a readmissão;</w:t>
      </w:r>
    </w:p>
    <w:p>
      <w:pPr>
        <w:pStyle w:val="NormalHanging12a"/>
      </w:pPr>
      <w:r>
        <w:t>17.</w:t>
      </w:r>
      <w:r>
        <w:tab/>
      </w:r>
      <w:r>
        <w:t>Salienta que é indispensável aplicar medidas antifraude sólidas para garantir a confiança dos contribuintes nos investimentos do BEI e o seu apoio contínuo à Ucrânia; apela à adoção de normas de auditoria rigorosas; defende que o BEI deve supervisionar sem restrições todos os seus investimentos fora da UE;</w:t>
      </w:r>
    </w:p>
    <w:p>
      <w:pPr>
        <w:pStyle w:val="Normal12a"/>
      </w:pPr>
      <w:r>
        <w:rPr>
          <w:b/>
          <w:i/>
        </w:rPr>
        <w:t>Arquitetura de responsabilização do BEI</w:t>
      </w:r>
    </w:p>
    <w:p>
      <w:pPr>
        <w:pStyle w:val="NormalHanging12a"/>
      </w:pPr>
      <w:r>
        <w:t>18.</w:t>
      </w:r>
      <w:r>
        <w:tab/>
      </w:r>
      <w:r>
        <w:t xml:space="preserve">Subscreve a declaração CC 1/2025 do Comité de Contacto, que identifica lacunas de auditoria críticas; regista o paradoxo entre o mandato alargado do BEI e os seus poderes de auditoria limitados; solicita o envolvimento das instituições superiores de controlo nacionais; reitera que o Tratado deve ser alterado para dar ao </w:t>
      </w:r>
      <w:r>
        <w:t>Tribunal de Contas Europeu</w:t>
      </w:r>
      <w:r>
        <w:t xml:space="preserve"> pleno acesso ao BEI;</w:t>
      </w:r>
    </w:p>
    <w:p>
      <w:pPr>
        <w:pStyle w:val="NormalHanging12a"/>
      </w:pPr>
      <w:r>
        <w:t>19.</w:t>
      </w:r>
      <w:r>
        <w:tab/>
      </w:r>
      <w:r>
        <w:t>Manifesta a sua preocupação com a falência da Northvolt, apesar de ter recebido 942,6 milhões de EUR em empréstimos do BEI; observa que parecem existir riscos semelhantes com a Stegra; solicita a divulgação das avaliações de risco do BEI; exige uma análise dos ensinamentos retirados do processo Northvolt; insta o BEI a divulgar os perfis de avaliação dos riscos relativos a estes compromissos e outros similares; reitera o seu apelo ao BEI para que forneça pormenores sobre o processo de avaliação e tomada de decisão que decorreu antes do investimento na Northvolt AB e explique como foi possível que um projeto tão crucial tenha falhado, apesar das alegações do BEI de que realiza um acompanhamento adequado e contínuo dos beneficiários do seu apoio financeiro; regista com preocupação as ligações político-partidárias entre a direção do BEI e um investidor e consultor inicial da Northvolt;</w:t>
      </w:r>
    </w:p>
    <w:p>
      <w:pPr>
        <w:pStyle w:val="NormalHanging12a"/>
      </w:pPr>
      <w:r>
        <w:t>20.</w:t>
      </w:r>
      <w:r>
        <w:tab/>
      </w:r>
      <w:r>
        <w:t>Insiste firmemente no reforço da prevenção de conflitos de interesses; solicita a adoção de períodos de nojo mais rigorosos para os vice-presidentes do BEI e regras mais claras para a sua participação nas decisões relativas aos seus países de origem;</w:t>
      </w:r>
    </w:p>
    <w:p>
      <w:pPr>
        <w:pStyle w:val="Normal12a"/>
      </w:pPr>
      <w:r>
        <w:rPr>
          <w:b/>
          <w:i/>
        </w:rPr>
        <w:t>Transparência, controlo e supervisão</w:t>
      </w:r>
    </w:p>
    <w:p>
      <w:pPr>
        <w:pStyle w:val="NormalHanging12a"/>
      </w:pPr>
      <w:r>
        <w:t>21.</w:t>
      </w:r>
      <w:r>
        <w:tab/>
      </w:r>
      <w:r>
        <w:t>Lamenta que o BEI não tenha dado seguimento ao relatório anual do Parlamento sobre as suas atividades financeiras de 2023</w:t>
      </w:r>
      <w:r>
        <w:rPr>
          <w:rStyle w:val="FootnoteReference"/>
        </w:rPr>
        <w:footnoteReference w:customMarkFollows="1" w:id="2"/>
        <w:t xml:space="preserve">1</w:t>
      </w:r>
      <w:r>
        <w:t>; salienta que o acordo interinstitucional é essencial para a previsibilidade da cooperação;</w:t>
      </w:r>
    </w:p>
    <w:p>
      <w:pPr>
        <w:pStyle w:val="Normal12a"/>
      </w:pPr>
      <w:r>
        <w:rPr>
          <w:b/>
          <w:i/>
        </w:rPr>
        <w:t>Seguimento dado às recomendações do Parlamento</w:t>
      </w:r>
    </w:p>
    <w:p>
      <w:pPr>
        <w:pStyle w:val="NormalHanging12a"/>
      </w:pPr>
      <w:r>
        <w:t>22.</w:t>
      </w:r>
      <w:r>
        <w:tab/>
      </w:r>
      <w:r>
        <w:t>Solicita que seja dado seguimento, em tempo útil, aos seguintes aspetos: a) Impacto dos investimentos; b) Prevenção de conflitos de interesses; c) Transparência; d) A presente resolução;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23.</w:t>
      </w:r>
      <w:r>
        <w:tab/>
      </w:r>
      <w:r>
        <w:t>Encarrega a sua Presidente de transmitir a presente resolução ao Conselho e à Comissão, e solicita ao Conselho e ao Conselho de Administração do BEI que realizem um debate sobre as posições do Parlamento aqui apresentadas.</w:t>
      </w:r>
    </w:p>
    <w:sectPr>
      <w:footerReference w:type="even" r:id="rId6"/>
      <w:footerReference w:type="default" r:id="rId7"/>
      <w:footerReference w:type="first" r:id="rId8"/>
      <w:footnotePr>
        <w:numRestart w:val="eachSect"/>
      </w:footnotePr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784.237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6</w:t>
    </w:r>
    <w:r>
      <w:fldChar w:fldCharType="end"/>
    </w:r>
    <w:r>
      <w:tab/>
    </w:r>
    <w:r>
      <w:rPr>
        <w:rStyle w:val="HideTWBExt"/>
      </w:rPr>
      <w:t>&lt;PathFdR&gt;</w:t>
    </w:r>
    <w:r>
      <w:t>PR\1336608EN.docx</w:t>
    </w:r>
    <w:r>
      <w:rPr>
        <w:rStyle w:val="HideTWBExt"/>
      </w:rPr>
      <w:t>&lt;/PathFdR&gt;</w:t>
    </w:r>
  </w:p>
  <w:p>
    <w:pPr>
      <w:pStyle w:val="EPFooter2"/>
    </w:pPr>
    <w:r>
      <w:t>PT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PR\1336608EN.docx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6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784.237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PT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PR\1336608EN.docx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784.237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PT</w:t>
    </w:r>
    <w:r>
      <w:tab/>
    </w:r>
    <w:r>
      <w:rPr>
        <w:rStyle w:val="EPFooter2Motto"/>
      </w:rPr>
      <w:t>Unida na diversidade</w:t>
    </w:r>
    <w:r>
      <w:tab/>
    </w:r>
    <w:r>
      <w:t>PT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vertAlign w:val="superscript"/>
        </w:rPr>
        <w:t>1</w:t>
      </w:r>
      <w:r>
        <w:t xml:space="preserve"> </w:t>
      </w:r>
      <w:r>
        <w:t xml:space="preserve">Resolução do Parlamento Europeu, de 28 de fevereiro de 2024, sobre as atividades financeiras do Banco Europeu de Investimento – relatório anual de 2023 (JO C, C/2024/6742, 26.11.2024, ELI:  </w:t>
      </w:r>
      <w:hyperlink r:id="rId1" w:tgtFrame="http://data.europa.eu/eli/C/2024/6742/oj" w:history="1">
        <w:r>
          <w:rPr>
            <w:rStyle w:val="Hyperlink"/>
          </w:rPr>
          <w:t>http://data.europa.eu/eli/C/2024/6742/oj</w:t>
        </w:r>
      </w:hyperlink>
      <w:r>
        <w:t>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TOCPage">
    <w:name w:val="TOC Page"/>
    <w:basedOn w:val="Normal"/>
    <w:pPr>
      <w:keepNext/>
      <w:widowControl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EPComma">
    <w:name w:val="EPComma"/>
    <w:basedOn w:val="Normal"/>
    <w:pPr>
      <w:widowControl/>
      <w:spacing w:before="480" w:after="240"/>
    </w:p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Int">
    <w:name w:val="HideTWBInt"/>
    <w:rPr>
      <w:rFonts w:ascii="Arial" w:hAnsi="Arial"/>
      <w:vanish/>
      <w:color w:val="808080"/>
      <w:sz w:val="20"/>
    </w:r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hAnsi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hAnsi="Arial"/>
      <w:sz w:val="16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CoverNormal12a">
    <w:name w:val="CoverNormal12a"/>
    <w:basedOn w:val="Normal"/>
    <w:pPr>
      <w:widowControl/>
      <w:spacing w:after="240"/>
      <w:ind w:left="1418"/>
    </w:pPr>
  </w:style>
  <w:style w:type="paragraph" w:customStyle="1" w:styleId="LegendSign">
    <w:name w:val="LegendSign"/>
    <w:basedOn w:val="Normal"/>
    <w:pPr>
      <w:widowControl/>
      <w:tabs>
        <w:tab w:val="right" w:pos="454"/>
        <w:tab w:val="left" w:pos="736"/>
      </w:tabs>
      <w:overflowPunct/>
      <w:ind w:left="736" w:hanging="736"/>
    </w:pPr>
    <w:rPr>
      <w:sz w:val="18"/>
    </w:rPr>
  </w:style>
  <w:style w:type="paragraph" w:customStyle="1" w:styleId="LegendStandard">
    <w:name w:val="LegendStandard"/>
    <w:basedOn w:val="LegendSign"/>
    <w:pPr>
      <w:widowControl/>
      <w:ind w:left="0" w:firstLine="0"/>
    </w:pPr>
  </w:style>
  <w:style w:type="paragraph" w:customStyle="1" w:styleId="LegendTitle">
    <w:name w:val="LegendTitle"/>
    <w:basedOn w:val="Normal"/>
    <w:pPr>
      <w:widowControl/>
      <w:spacing w:before="240" w:after="240"/>
    </w:pPr>
    <w:rPr>
      <w:b/>
      <w:i/>
    </w:rPr>
  </w:style>
  <w:style w:type="paragraph" w:styleId="TOC1">
    <w:name w:val="toc 1"/>
    <w:basedOn w:val="Normal12b"/>
    <w:next w:val="Normal12b"/>
    <w:autoRedefine/>
    <w:rsid w:val="00805BCE"/>
    <w:pPr>
      <w:widowControl/>
      <w:spacing w:after="240"/>
    </w:p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Normal12b">
    <w:name w:val="Normal12b"/>
    <w:basedOn w:val="Normal"/>
    <w:pPr>
      <w:widowControl/>
      <w:spacing w:before="240"/>
    </w:pPr>
  </w:style>
  <w:style w:type="paragraph" w:customStyle="1" w:styleId="PMissingStyle">
    <w:name w:val="P_MissingStyle"/>
    <w:basedOn w:val="Normal"/>
    <w:pPr>
      <w:widowControl/>
      <w:spacing w:after="0" w:line="240" w:lineRule="auto"/>
    </w:pPr>
    <w:rPr>
      <w:rFonts w:ascii="Times New Roman" w:eastAsia="Times New Roman" w:hAnsi="Times New Roman" w:cs="Times New Roman"/>
      <w:color w:val="FFFFFF"/>
      <w:sz w:val="24"/>
    </w:rPr>
  </w:style>
  <w:style w:type="character" w:customStyle="1" w:styleId="CMissingStyle">
    <w:name w:val="C_MissingStyle"/>
    <w:rPr>
      <w:color w:val="FFFFFF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Next/>
      <w:widowControl/>
      <w:spacing w:before="240" w:after="240"/>
      <w:jc w:val="center"/>
      <w:outlineLvl w:val="9"/>
    </w:pPr>
    <w:rPr>
      <w:rFonts w:ascii="Arial" w:hAnsi="Arial"/>
      <w:b/>
    </w:rPr>
  </w:style>
  <w:style w:type="paragraph" w:customStyle="1" w:styleId="Normal12">
    <w:name w:val="Normal12"/>
    <w:basedOn w:val="Normal"/>
    <w:pPr>
      <w:widowControl/>
      <w:spacing w:after="24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NormalHanging12a4">
    <w:name w:val="NormalHanging12a4"/>
    <w:basedOn w:val="NormalHanging12a3"/>
    <w:pPr>
      <w:widowControl/>
      <w:ind w:left="2268"/>
    </w:pPr>
  </w:style>
  <w:style w:type="paragraph" w:customStyle="1" w:styleId="NormalHanging12a5">
    <w:name w:val="NormalHanging12a5"/>
    <w:basedOn w:val="NormalHanging12a4"/>
    <w:pPr>
      <w:widowControl/>
      <w:ind w:left="2692"/>
    </w:pPr>
  </w:style>
  <w:style w:type="paragraph" w:customStyle="1" w:styleId="NormalHanging12a6">
    <w:name w:val="NormalHanging12a6"/>
    <w:basedOn w:val="NormalHanging12a5"/>
    <w:pPr>
      <w:widowControl/>
      <w:ind w:left="3118"/>
    </w:pPr>
  </w:style>
  <w:style w:type="paragraph" w:customStyle="1" w:styleId="NormalHanging12a7">
    <w:name w:val="NormalHanging12a7"/>
    <w:basedOn w:val="NormalHanging12a6"/>
    <w:pPr>
      <w:widowControl/>
      <w:ind w:left="3544"/>
    </w:pPr>
  </w:style>
  <w:style w:type="paragraph" w:customStyle="1" w:styleId="NormalHanging12a1">
    <w:name w:val="NormalHanging12a1"/>
    <w:basedOn w:val="Normal"/>
    <w:pPr>
      <w:widowControl/>
      <w:overflowPunct/>
      <w:spacing w:after="240" w:line="240" w:lineRule="auto"/>
      <w:ind w:left="992" w:hanging="424"/>
    </w:pPr>
    <w:rPr>
      <w:rFonts w:ascii="Times New Roman" w:eastAsia="Times New Roman" w:hAnsi="Times New Roman" w:cs="Times New Roman"/>
      <w:sz w:val="24"/>
    </w:rPr>
  </w:style>
  <w:style w:type="paragraph" w:customStyle="1" w:styleId="NormalHanging12a2">
    <w:name w:val="NormalHanging12a2"/>
    <w:basedOn w:val="NormalHanging12a1"/>
    <w:pPr>
      <w:widowControl/>
      <w:ind w:left="1416"/>
    </w:pPr>
  </w:style>
  <w:style w:type="paragraph" w:customStyle="1" w:styleId="NormalHanging12a3">
    <w:name w:val="NormalHanging12a3"/>
    <w:basedOn w:val="NormalHanging12a2"/>
    <w:pPr>
      <w:widowControl/>
      <w:ind w:left="1842"/>
    </w:pPr>
  </w:style>
  <w:style w:type="paragraph" w:customStyle="1" w:styleId="NormalHanging">
    <w:name w:val="NormalHanging"/>
    <w:basedOn w:val="Normal"/>
    <w:pPr>
      <w:widowControl/>
      <w:overflowPunct/>
      <w:spacing w:after="240" w:line="240" w:lineRule="auto"/>
      <w:ind w:left="566" w:hanging="566"/>
    </w:pPr>
    <w:rPr>
      <w:rFonts w:ascii="Times New Roman" w:eastAsia="Times New Roman" w:hAnsi="Times New Roman" w:cs="Times New Roman"/>
      <w:sz w:val="24"/>
    </w:r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</w:rPr>
  </w:style>
  <w:style w:type="paragraph" w:customStyle="1" w:styleId="NormalBold12a">
    <w:name w:val="NormalBold12a"/>
    <w:basedOn w:val="Normal"/>
    <w:pPr>
      <w:widowControl/>
      <w:spacing w:after="240"/>
    </w:pPr>
    <w:rPr>
      <w:b/>
    </w:rPr>
  </w:style>
  <w:style w:type="paragraph" w:customStyle="1" w:styleId="NormalCenter12a">
    <w:name w:val="NormalCenter12a"/>
    <w:basedOn w:val="Normal"/>
    <w:pPr>
      <w:widowControl/>
      <w:spacing w:after="240"/>
      <w:jc w:val="center"/>
    </w:pPr>
  </w:style>
  <w:style w:type="paragraph" w:customStyle="1" w:styleId="Normal12BoldUnderline">
    <w:name w:val="Normal12BoldUnderline"/>
    <w:basedOn w:val="Normal"/>
    <w:pPr>
      <w:widowControl/>
      <w:spacing w:before="480"/>
    </w:pPr>
    <w:rPr>
      <w:b/>
      <w:u w:val="single"/>
    </w:rPr>
  </w:style>
  <w:style w:type="paragraph" w:customStyle="1" w:styleId="Normal12Bullet2">
    <w:name w:val="Normal12Bullet2"/>
    <w:basedOn w:val="Normal"/>
    <w:pPr>
      <w:widowControl/>
      <w:numPr>
        <w:numId w:val="2"/>
      </w:numPr>
    </w:pPr>
  </w:style>
  <w:style w:type="paragraph" w:customStyle="1" w:styleId="NormalHangingJustified">
    <w:name w:val="NormalHangingJustified"/>
    <w:basedOn w:val="Normal"/>
    <w:pPr>
      <w:widowControl/>
      <w:overflowPunct/>
      <w:spacing w:after="240"/>
      <w:ind w:left="714" w:hanging="356"/>
      <w:jc w:val="both"/>
    </w:pPr>
  </w:style>
  <w:style w:type="paragraph" w:customStyle="1" w:styleId="NormalCenter">
    <w:name w:val="NormalCenter"/>
    <w:basedOn w:val="Normal"/>
    <w:pPr>
      <w:widowControl/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674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6</Pages>
  <Words>1492</Words>
  <Characters>8210</Characters>
  <Application>Microsoft Office Word</Application>
  <DocSecurity>0</DocSecurity>
  <Lines>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1336608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.render.id">
    <vt:lpwstr>388559</vt:lpwstr>
  </property>
  <property fmtid="{D5CDD505-2E9C-101B-9397-08002B2CF9AE}" pid="7" name="dmxml.render.traceId">
    <vt:lpwstr>699c23496326cee8dab1f087994b8b12</vt:lpwstr>
  </property>
  <property fmtid="{D5CDD505-2E9C-101B-9397-08002B2CF9AE}" pid="8" name="FooterPath">
    <vt:lpwstr>PR\1336608EN.doc</vt:lpwstr>
  </property>
  <property fmtid="{D5CDD505-2E9C-101B-9397-08002B2CF9AE}" pid="9" name="PE Number">
    <vt:lpwstr>784.237</vt:lpwstr>
  </property>
  <property fmtid="{D5CDD505-2E9C-101B-9397-08002B2CF9AE}" pid="10" name="UID">
    <vt:lpwstr>eu.europa.europarl-DIN1-2026-0000024936_01.03-pt-01.00_text-xml</vt:lpwstr>
  </property>
</Properties>
</file>