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2025/2237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24a"/>
      </w:pPr>
      <w:r>
        <w:rPr>
          <w:rStyle w:val="HideTWBExt"/>
        </w:rPr>
        <w:t>&lt;TitreType&gt;</w:t>
      </w:r>
      <w:r>
        <w:t>PROIECT DE RAPORT</w:t>
      </w:r>
      <w:r>
        <w:rPr>
          <w:rStyle w:val="HideTWBExt"/>
        </w:rPr>
        <w:t>&lt;/TitreType&gt;</w:t>
      </w:r>
    </w:p>
    <w:p>
      <w:pPr>
        <w:pStyle w:val="CoverNormal"/>
      </w:pPr>
      <w:r>
        <w:rPr>
          <w:rStyle w:val="HideTWBExt"/>
        </w:rPr>
        <w:t>&lt;Titre&gt;</w:t>
      </w:r>
      <w:r>
        <w:t>referitor la controlul activităților financiare ale Băncii Europene de Investiții – raportul anual pe 2024</w:t>
      </w:r>
      <w:r>
        <w:rPr>
          <w:rStyle w:val="HideTWBExt"/>
        </w:rPr>
        <w:t>&lt;/Titre&gt;</w:t>
      </w:r>
    </w:p>
    <w:p>
      <w:pPr>
        <w:pStyle w:val="CoverNormal24a"/>
      </w:pPr>
      <w:r>
        <w:rPr>
          <w:rStyle w:val="HideTWBExt"/>
        </w:rPr>
        <w:t>&lt;DocRef&gt;</w:t>
      </w:r>
      <w:r>
        <w:t>(2025/2237(INI))</w:t>
      </w:r>
      <w:r>
        <w:rPr>
          <w:rStyle w:val="HideTWBExt"/>
        </w:rPr>
        <w:t>&lt;/DocRef&gt;</w:t>
      </w:r>
    </w:p>
    <w:p>
      <w:pPr>
        <w:pStyle w:val="CoverNormal24a"/>
      </w:pPr>
      <w:r>
        <w:rPr>
          <w:rStyle w:val="HideTWBExt"/>
        </w:rPr>
        <w:t>&lt;Commission&gt;</w:t>
      </w:r>
      <w:r>
        <w:rPr>
          <w:rStyle w:val="HideTWBInt"/>
        </w:rPr>
        <w:t>{CONT}</w:t>
      </w:r>
      <w:r>
        <w:t>Comisia pentru control bugetar</w:t>
      </w:r>
      <w:r>
        <w:rPr>
          <w:rStyle w:val="HideTWBExt"/>
        </w:rPr>
        <w:t>&lt;/Commission&gt;</w:t>
      </w:r>
    </w:p>
    <w:p>
      <w:pPr>
        <w:pStyle w:val="CoverNormal24a"/>
      </w:pPr>
      <w:r>
        <w:t>Raportor</w:t>
      </w:r>
      <w:r>
        <w:t xml:space="preserve">: </w:t>
      </w:r>
      <w:r>
        <w:rPr>
          <w:rStyle w:val="HideTWBExt"/>
        </w:rPr>
        <w:t>&lt;Depute&gt;</w:t>
      </w:r>
      <w:r>
        <w:t>Dick Erixon</w:t>
      </w:r>
      <w:r>
        <w:rPr>
          <w:rStyle w:val="HideTWBExt"/>
        </w:rPr>
        <w:t>&lt;/Depute&gt;</w:t>
      </w:r>
    </w:p>
    <w:p>
      <w:r>
        <w:br w:type="page"/>
      </w:r>
      <w:r>
        <w:t>PR_INI</w:t>
      </w:r>
    </w:p>
    <w:p>
      <w:pPr>
        <w:pStyle w:val="TOCHeading"/>
      </w:pPr>
      <w:r>
        <w:t>CUPRINS</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PROPUNERE DE REZOLUȚIE A PARLAMENTULUI EUROPEAN</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PROPUNERE DE REZOLUȚIE A PARLAMENTULUI EUROPEAN</w:t>
      </w:r>
      <w:bookmarkEnd w:id="0"/>
    </w:p>
    <w:p>
      <w:pPr>
        <w:pStyle w:val="NormalBold"/>
      </w:pPr>
      <w:r>
        <w:t>referitor la controlul activităților financiare ale Băncii Europene de Investiții – raportul anual pe 2024</w:t>
      </w:r>
    </w:p>
    <w:p>
      <w:pPr>
        <w:pStyle w:val="NormalBold"/>
      </w:pPr>
    </w:p>
    <w:p>
      <w:pPr>
        <w:pStyle w:val="NormalBold12a"/>
      </w:pPr>
      <w:r>
        <w:t>(</w:t>
      </w:r>
      <w:r>
        <w:t>2025/2237(INI)</w:t>
      </w:r>
      <w:r>
        <w:t>)</w:t>
      </w:r>
    </w:p>
    <w:p>
      <w:pPr>
        <w:pStyle w:val="Normal12"/>
      </w:pPr>
      <w:r>
        <w:t>Parlamentul European,</w:t>
      </w:r>
    </w:p>
    <w:p>
      <w:pPr>
        <w:pStyle w:val="NormalHanging"/>
      </w:pPr>
      <w:r>
        <w:t>–</w:t>
      </w:r>
      <w:r>
        <w:tab/>
      </w:r>
      <w:r>
        <w:t>având în vedere Raportul BEI privind investițiile 2024/2025 – Inovare, integrare și simplificare în Europa, publicat la 5 martie 2025,</w:t>
      </w:r>
    </w:p>
    <w:p>
      <w:pPr>
        <w:pStyle w:val="NormalHanging"/>
      </w:pPr>
      <w:r>
        <w:t>–</w:t>
      </w:r>
      <w:r>
        <w:tab/>
      </w:r>
      <w:r>
        <w:t xml:space="preserve">având în vedere Raportul special nr. 07/2025 al </w:t>
      </w:r>
      <w:r>
        <w:t>Curții de Conturi Europene</w:t>
      </w:r>
      <w:r>
        <w:t xml:space="preserve"> din 19 martie 2025 referitor la Fondul european pentru investiții strategice,</w:t>
      </w:r>
    </w:p>
    <w:p>
      <w:pPr>
        <w:pStyle w:val="NormalHanging"/>
      </w:pPr>
      <w:r>
        <w:t>–</w:t>
      </w:r>
      <w:r>
        <w:tab/>
      </w:r>
      <w:r>
        <w:t xml:space="preserve">având în vedere declarația CC 1/2025 a Comitetului de contact al instituțiilor supreme de audit din Uniunea Europeană din 30 septembrie 2025 privind auditul public extern al </w:t>
      </w:r>
      <w:r>
        <w:t>Băncii Europene de Investiții</w:t>
      </w:r>
      <w:r>
        <w:t>,</w:t>
      </w:r>
    </w:p>
    <w:p>
      <w:pPr>
        <w:pStyle w:val="NormalHanging"/>
      </w:pPr>
      <w:r>
        <w:t>–</w:t>
      </w:r>
      <w:r>
        <w:tab/>
      </w:r>
      <w:r>
        <w:t>având în vedere articolul 55 din Regulamentul său de procedură,</w:t>
      </w:r>
    </w:p>
    <w:p>
      <w:pPr>
        <w:pStyle w:val="NormalHanging"/>
      </w:pPr>
      <w:r>
        <w:t>–</w:t>
      </w:r>
      <w:r>
        <w:tab/>
      </w:r>
      <w:r>
        <w:t>având în vedere raportul Comisiei pentru control bugetar (A10-0000/2026),</w:t>
      </w:r>
    </w:p>
    <w:p>
      <w:pPr>
        <w:pStyle w:val="NormalHanging"/>
      </w:pPr>
      <w:r>
        <w:t>A.</w:t>
      </w:r>
      <w:r>
        <w:tab/>
      </w:r>
      <w:r>
        <w:t xml:space="preserve">întrucât misiunea principală a Grupului </w:t>
      </w:r>
      <w:r>
        <w:t>Băncii Europene de Investiții</w:t>
      </w:r>
      <w:r>
        <w:t xml:space="preserve"> (BEI) este de a stimula creșterea economică în UE; întrucât investițiile sale ar trebui să vizeze disfuncționalități reale ale pieței;</w:t>
      </w:r>
    </w:p>
    <w:p>
      <w:pPr>
        <w:pStyle w:val="NormalHanging"/>
      </w:pPr>
      <w:r>
        <w:t>B.</w:t>
      </w:r>
      <w:r>
        <w:tab/>
      </w:r>
      <w:r>
        <w:t>întrucât domeniile de politică socială sunt, în primul rând, competențe naționale; întrucât finanțarea BEI nu poate fi utilizată ca un substitut pentru bugetele naționale și trebuie să demonstreze o complementaritate reală;</w:t>
      </w:r>
    </w:p>
    <w:p>
      <w:pPr>
        <w:pStyle w:val="NormalHanging"/>
      </w:pPr>
      <w:r>
        <w:t>C.</w:t>
      </w:r>
      <w:r>
        <w:tab/>
      </w:r>
      <w:r>
        <w:t>întrucât profunzimea și calitatea controlului exercitat de Parlamentul European asupra operațiunilor financiare ale BEI ar trebui să urmeze tendința cooperării BEI-Comisie, care a devenit foarte importantă;</w:t>
      </w:r>
    </w:p>
    <w:p>
      <w:pPr>
        <w:pStyle w:val="NormalHanging"/>
      </w:pPr>
      <w:r>
        <w:t>D.</w:t>
      </w:r>
      <w:r>
        <w:tab/>
      </w:r>
      <w:r>
        <w:t>întrucât BEI este deținută de statele membre, capitalul său subscris în valoare de 248,8 miliarde EUR impunând răspunderea față de contribuabili; întrucât împrumuturile BEI nu apar în statisticile naționale privind datoria; întrucât acest caracter extrabilanțier face ca standardele riguroase de eficiență și auditul extern să se impună cu necesitate; întrucât o extindere a mandatului BEI trebuie dublată de consolidarea mecanismelor de audit extern;</w:t>
      </w:r>
    </w:p>
    <w:p>
      <w:pPr>
        <w:pStyle w:val="Normal12a"/>
      </w:pPr>
      <w:r>
        <w:t>Operațiuni financiare și performanță</w:t>
      </w:r>
    </w:p>
    <w:p>
      <w:pPr>
        <w:pStyle w:val="NormalHanging12a"/>
      </w:pPr>
      <w:r>
        <w:t>1.</w:t>
      </w:r>
      <w:r>
        <w:tab/>
      </w:r>
      <w:r>
        <w:t>ia act de performanțele financiare stabile ale Grupului BEI în 2024; subliniază că succesul trebuie măsurat prin rezultate economice demonstrabile, nu doar prin volumul de împrumuturi semnate;</w:t>
      </w:r>
    </w:p>
    <w:p>
      <w:pPr>
        <w:pStyle w:val="NormalHanging12a"/>
      </w:pPr>
      <w:r>
        <w:t>2.</w:t>
      </w:r>
      <w:r>
        <w:tab/>
      </w:r>
      <w:r>
        <w:t>constată cu îngrijorare că proporția plăților restante de peste 90 de zile s-a triplat, totalizând 281,3 milioane EUR la sfârșitul anului 2024 și reprezentând 0,06 % din portofoliul total de împrumuturi (față de 82,4 milioane EUR sau 0,02 % la sfârșitul anului 2023); subliniază că aceste creșteri de expuneri neperformante și de plăți restante depășesc cu mult creșterea de 2 % a portofoliului total de împrumuturi;</w:t>
      </w:r>
    </w:p>
    <w:p>
      <w:pPr>
        <w:pStyle w:val="Normal12a"/>
      </w:pPr>
      <w:r>
        <w:rPr>
          <w:b/>
          <w:i/>
        </w:rPr>
        <w:t>InvestEU, simplificarea cadrului financiar multianual și Mecanismul de redresare și reziliență</w:t>
      </w:r>
    </w:p>
    <w:p>
      <w:pPr>
        <w:pStyle w:val="NormalHanging12a"/>
      </w:pPr>
      <w:r>
        <w:t>3.</w:t>
      </w:r>
      <w:r>
        <w:tab/>
      </w:r>
      <w:r>
        <w:t>ia act de cele 38 de operațiuni aprobate în 2024 de BEI în cadrul InvestEU, utilizând 1,7 miliarde EUR din garanția UE; subliniază că programul InvestEU ar trebui evaluat în funcție de calitatea intervențiilor sale și de impactul măsurabil al acestora, și nu doar în funcție de volumul fondurilor mobilizate; insistă că raportarea trebuie să treacă de la indicatori de input la indicatori de impact, care să demonstreze rezultate economice reale;</w:t>
      </w:r>
    </w:p>
    <w:p>
      <w:pPr>
        <w:pStyle w:val="NormalHanging12a"/>
      </w:pPr>
      <w:r>
        <w:t>4.</w:t>
      </w:r>
      <w:r>
        <w:tab/>
      </w:r>
      <w:r>
        <w:rPr>
          <w:b/>
        </w:rPr>
        <w:t xml:space="preserve"> </w:t>
      </w:r>
      <w:r>
        <w:t>constată că peisajul fragmentat al finanțării UE conduce la ineficiențe; subliniază că reducerea birocrației este esențială pentru restabilirea competitivității;</w:t>
      </w:r>
    </w:p>
    <w:p>
      <w:pPr>
        <w:pStyle w:val="Normal12a"/>
      </w:pPr>
      <w:r>
        <w:rPr>
          <w:b/>
          <w:i/>
        </w:rPr>
        <w:t>Securitate energetică</w:t>
      </w:r>
    </w:p>
    <w:p>
      <w:pPr>
        <w:pStyle w:val="NormalHanging12a"/>
      </w:pPr>
      <w:r>
        <w:t>5.</w:t>
      </w:r>
      <w:r>
        <w:tab/>
      </w:r>
      <w:r>
        <w:t>invită BEI să extindă finanțarea energiei nucleare și să evalueze toate proiectele cu emisii scăzute de dioxid de carbon pe baza unor criterii obiective, inclusiv intensitatea emisiilor de dioxid de carbon pe durata ciclului de viață și stabilitatea rețelei, fără a face discriminări între tehnologii; subliniază că statele membre își păstrează dreptul suveran de a-și stabili propriul mix energetic;</w:t>
      </w:r>
    </w:p>
    <w:p>
      <w:pPr>
        <w:pStyle w:val="Normal12a"/>
      </w:pPr>
      <w:r>
        <w:rPr>
          <w:b/>
          <w:i/>
        </w:rPr>
        <w:t>Politica de apărare și de securitate</w:t>
      </w:r>
    </w:p>
    <w:p>
      <w:pPr>
        <w:pStyle w:val="NormalHanging12a"/>
      </w:pPr>
      <w:r>
        <w:t>6.</w:t>
      </w:r>
      <w:r>
        <w:tab/>
      </w:r>
      <w:r>
        <w:t>subliniază importanța contribuției Grupului BEI la pacea și securitatea Europei, astfel cum se prevede în Cartea albă privind pregătirea pentru apărare a Europei 2030, prin sprijin pentru inițiative de consolidare a industriei de apărare a UE, de îmbunătățire a infrastructurii de securitate cibernetică și de promovare a inovării în domeniul tehnologiilor critice pentru apărare prin furnizarea de finanțare și mobilizarea investițiilor private;</w:t>
      </w:r>
    </w:p>
    <w:p>
      <w:pPr>
        <w:pStyle w:val="NormalHanging12a"/>
      </w:pPr>
      <w:r>
        <w:t>7.</w:t>
      </w:r>
      <w:r>
        <w:tab/>
      </w:r>
      <w:r>
        <w:t>subliniază că BEI ar trebui să poată finanța toate tipurile de proiecte de apărare;</w:t>
      </w:r>
    </w:p>
    <w:p>
      <w:pPr>
        <w:pStyle w:val="NormalHanging12a"/>
      </w:pPr>
      <w:r>
        <w:t>8.</w:t>
      </w:r>
      <w:r>
        <w:tab/>
      </w:r>
      <w:r>
        <w:t>invită BEI să identifice barierele la investiții în domeniul apărării și al protecției frontierelor; subliniază că eliminarea acestora este esențială pentru obținerea unor rezultate tangibile în materie de securitate;</w:t>
      </w:r>
    </w:p>
    <w:p>
      <w:pPr>
        <w:pStyle w:val="NormalHanging12a"/>
      </w:pPr>
      <w:r>
        <w:t>9.</w:t>
      </w:r>
      <w:r>
        <w:tab/>
      </w:r>
      <w:r>
        <w:t>subliniază importanța stabilirii unei cooperări structurate cu Fondul pentru inovare al NATO pentru a asigura sinergii și a evita dublajele, în special pentru investițiile în tehnologiile pentru care capitalul privat este insuficient;</w:t>
      </w:r>
    </w:p>
    <w:p>
      <w:pPr>
        <w:pStyle w:val="Normal12a"/>
      </w:pPr>
      <w:r>
        <w:rPr>
          <w:i/>
        </w:rPr>
        <w:t>Investiții în domenii de competență națională</w:t>
      </w:r>
      <w:r>
        <w:rPr>
          <w:b/>
          <w:i/>
        </w:rPr>
        <w:t xml:space="preserve"> </w:t>
      </w:r>
    </w:p>
    <w:p>
      <w:pPr>
        <w:pStyle w:val="NormalHanging12a"/>
      </w:pPr>
      <w:r>
        <w:t>10.</w:t>
      </w:r>
      <w:r>
        <w:tab/>
      </w:r>
      <w:r>
        <w:t>reamintește că problemele din sectorul locuințelor ar trebui abordate în primul rând la nivel local sau național; se întreabă dacă finanțarea de către BEI a unor proiecte strict locale, fără o dimensiune transfrontalieră, chiar este eficientă;</w:t>
      </w:r>
    </w:p>
    <w:p>
      <w:pPr>
        <w:pStyle w:val="Normal12a"/>
      </w:pPr>
      <w:r>
        <w:rPr>
          <w:b/>
          <w:i/>
        </w:rPr>
        <w:t>Sprijin pentru IMM-uri, întreprinderi cu capitalizare medie, întreprinderi nou-înființate, întreprinderi în curs de extindere și alte întreprinderi</w:t>
      </w:r>
    </w:p>
    <w:p>
      <w:pPr>
        <w:pStyle w:val="NormalHanging12a"/>
      </w:pPr>
      <w:r>
        <w:t>11.</w:t>
      </w:r>
      <w:r>
        <w:tab/>
      </w:r>
      <w:r>
        <w:t>crede că BEI trebuie să vizeze disfuncționalități reale ale pieței și că investițiile sale nu trebuie să servească drept substitut pentru capitalul privat sau bugetele naționale; subliniază că protejarea unui mediu de piață competitiv este esențială;</w:t>
      </w:r>
    </w:p>
    <w:p>
      <w:pPr>
        <w:pStyle w:val="NormalHanging12a"/>
      </w:pPr>
      <w:r>
        <w:t>12.</w:t>
      </w:r>
      <w:r>
        <w:tab/>
      </w:r>
      <w:r>
        <w:t xml:space="preserve">ia act de constatările din Raportul special nr. 07/2025 al </w:t>
      </w:r>
      <w:r>
        <w:t>Curții de Conturi Europene</w:t>
      </w:r>
      <w:r>
        <w:t>, în ceea ce privește nivelul insuficient de complementaritate; avertizează cu privire la pericolul excluderii investițiilor private; solicită praguri cantitative de risc și evaluări ex post ale excluderii acestor investiții;</w:t>
      </w:r>
    </w:p>
    <w:p>
      <w:pPr>
        <w:pStyle w:val="NormalHanging12a"/>
      </w:pPr>
      <w:r>
        <w:t>13.</w:t>
      </w:r>
      <w:r>
        <w:tab/>
      </w:r>
      <w:r>
        <w:t>constată că acordarea de împrumuturi BEI implică sarcini administrative mai mari decât împrumuturile comerciale; invită BEI să publice planuri de reducere a acestora;</w:t>
      </w:r>
    </w:p>
    <w:p>
      <w:pPr>
        <w:pStyle w:val="Normal12a"/>
      </w:pPr>
      <w:r>
        <w:rPr>
          <w:b/>
          <w:i/>
        </w:rPr>
        <w:t>Domeniile de politică privind coeziunea, clima, digitalizarea și sustenabilitatea mediului</w:t>
      </w:r>
    </w:p>
    <w:p>
      <w:pPr>
        <w:pStyle w:val="NormalHanging12a"/>
      </w:pPr>
      <w:r>
        <w:t>14.</w:t>
      </w:r>
      <w:r>
        <w:tab/>
      </w:r>
      <w:r>
        <w:t>subliniază că raportarea în funcție de volumul împrumuturilor relevă ieșirile, nu rezultatele; solicită indicatori orientați spre rezultate, cum ar fi emisiile de CO2 evitate per euro investit; pledează pentru efectuarea unei analize comparative în raport cu intervenții comparabile;</w:t>
      </w:r>
    </w:p>
    <w:p>
      <w:pPr>
        <w:pStyle w:val="NormalHanging12a"/>
      </w:pPr>
      <w:r>
        <w:t>15.</w:t>
      </w:r>
      <w:r>
        <w:tab/>
      </w:r>
      <w:r>
        <w:t>avertizează că acumularea continuă a obiectivelor de integrare care se suprapun riscă să creeze o structură a portofoliului imposibilă matematic;</w:t>
      </w:r>
    </w:p>
    <w:p>
      <w:pPr>
        <w:pStyle w:val="Normal12a"/>
      </w:pPr>
      <w:r>
        <w:rPr>
          <w:b/>
          <w:i/>
        </w:rPr>
        <w:t xml:space="preserve">Activitățile BEI în afara UE </w:t>
      </w:r>
    </w:p>
    <w:p>
      <w:pPr>
        <w:pStyle w:val="NormalHanging12a"/>
      </w:pPr>
      <w:r>
        <w:t>16.</w:t>
      </w:r>
      <w:r>
        <w:tab/>
      </w:r>
      <w:r>
        <w:t>insistă ca acordarea de împrumuturi țărilor din afara UE să fie condiționată de cooperarea cu UE în gestionarea migrației, inclusiv practicile de readmisie;</w:t>
      </w:r>
    </w:p>
    <w:p>
      <w:pPr>
        <w:pStyle w:val="NormalHanging12a"/>
      </w:pPr>
      <w:r>
        <w:t>17.</w:t>
      </w:r>
      <w:r>
        <w:tab/>
      </w:r>
      <w:r>
        <w:t>subliniază că măsurile antifraudă solide sunt esențiale pentru a asigura încrederea contribuabililor în investițiile BEI și sprijinul său continuu pentru Ucraina; solicită standarde riguroase de audit; susține că BEI ar trebui să supravegheze cu strictețe toate investițiile sale în afara UE;</w:t>
      </w:r>
    </w:p>
    <w:p>
      <w:pPr>
        <w:pStyle w:val="Normal12a"/>
      </w:pPr>
      <w:r>
        <w:rPr>
          <w:b/>
          <w:i/>
        </w:rPr>
        <w:t>Structura sistemului de răspundere la BEI</w:t>
      </w:r>
    </w:p>
    <w:p>
      <w:pPr>
        <w:pStyle w:val="NormalHanging12a"/>
      </w:pPr>
      <w:r>
        <w:t>18.</w:t>
      </w:r>
      <w:r>
        <w:tab/>
      </w:r>
      <w:r>
        <w:t xml:space="preserve">aprobă declarația Comitetului de contact CC 1/2025 care identifică lacunele critice în materie de audit; ia act de paradoxul creat de un mandat lărgit, dar cu competențe limitate de audit ale BEI; solicită implicarea instituțiilor naționale supreme de audit; reiterează aici că este necesară o modificare a tratatului pentru a acorda </w:t>
      </w:r>
      <w:r>
        <w:t>Curții de Conturi Europene</w:t>
      </w:r>
      <w:r>
        <w:t xml:space="preserve"> acces deplin la BEI;</w:t>
      </w:r>
    </w:p>
    <w:p>
      <w:pPr>
        <w:pStyle w:val="NormalHanging12a"/>
      </w:pPr>
      <w:r>
        <w:t>19.</w:t>
      </w:r>
      <w:r>
        <w:tab/>
      </w:r>
      <w:r>
        <w:t>își exprimă îngrijorarea cu privire la falimentul Northvolt, în pofida faptului că a primit împrumuturi BEI în valoare de 942,6 milioane EUR; constată riscuri similare în cazul Stegra; solicită publicarea evaluărilor de riscuri efectuate de BEI; solicită o revizuire a lecțiilor învățate din cazul Northvolt; invită BEI să publice profilurile de evaluare a riscurilor pentru aceste angajamente și pentru angajamente similare; își reiterează apelul către BEI de a furniza detalii cu privire la procesul de evaluare și de luare a deciziilor care a avut loc înainte de investiția în Northvolt AB și de a explica modul în care un astfel de proiect important a eșuat, în pofida asigurărilor BEI că efectuează o monitorizare adecvată și continuă a beneficiarilor sprijinului său financiar; ia act cu îngrijorare de legăturile politice de partid dintre conducerea BEI și un investitor inițial și consilier la Northvolt;</w:t>
      </w:r>
    </w:p>
    <w:p>
      <w:pPr>
        <w:pStyle w:val="NormalHanging12a"/>
      </w:pPr>
      <w:r>
        <w:t>20.</w:t>
      </w:r>
      <w:r>
        <w:tab/>
      </w:r>
      <w:r>
        <w:t>insistă cu fermitate asupra consolidării prevenirii conflictelor de interese; solicită perioade de existență a stării de incompatibilitate mai stricte pentru vicepreședinții BEI și norme mai clare pentru participarea acestora la deciziile privind țările lor de origine;</w:t>
      </w:r>
    </w:p>
    <w:p>
      <w:pPr>
        <w:pStyle w:val="Normal12a"/>
      </w:pPr>
      <w:r>
        <w:rPr>
          <w:b/>
          <w:i/>
        </w:rPr>
        <w:t>Transparență, control și supraveghere</w:t>
      </w:r>
    </w:p>
    <w:p>
      <w:pPr>
        <w:pStyle w:val="NormalHanging12a"/>
      </w:pPr>
      <w:r>
        <w:t>21.</w:t>
      </w:r>
      <w:r>
        <w:tab/>
      </w:r>
      <w:r>
        <w:t>regretă că BEI nu a dat curs raportului anual al Parlamentului privind activitățile sale financiare din 2023</w:t>
      </w:r>
      <w:r>
        <w:rPr>
          <w:rStyle w:val="FootnoteReference"/>
        </w:rPr>
        <w:footnoteReference w:customMarkFollows="1" w:id="2"/>
        <w:t xml:space="preserve">1</w:t>
      </w:r>
      <w:r>
        <w:t>; subliniază că acordul interinstituțional este esențial pentru o cooperare previzibilă;</w:t>
      </w:r>
    </w:p>
    <w:p>
      <w:pPr>
        <w:pStyle w:val="Normal12a"/>
      </w:pPr>
      <w:r>
        <w:rPr>
          <w:b/>
          <w:i/>
        </w:rPr>
        <w:t>Acțiuni întreprinse în urma recomandărilor Parlamentului</w:t>
      </w:r>
    </w:p>
    <w:p>
      <w:pPr>
        <w:pStyle w:val="NormalHanging12a"/>
      </w:pPr>
      <w:r>
        <w:t>22.</w:t>
      </w:r>
      <w:r>
        <w:tab/>
      </w:r>
      <w:r>
        <w:t>solicită să se ia măsuri în timp util cu privire la: (a) impactul investițiilor; (b) prevenirea conflictelor de interese; (c) transparența; (d) rezoluția menționată;</w:t>
      </w:r>
    </w:p>
    <w:p>
      <w:pPr>
        <w:pStyle w:val="NormalCenter12a"/>
      </w:pPr>
      <w:r>
        <w:t>°</w:t>
      </w:r>
    </w:p>
    <w:p>
      <w:pPr>
        <w:pStyle w:val="NormalCenter12a"/>
      </w:pPr>
      <w:r>
        <w:t>°</w:t>
      </w:r>
      <w:r>
        <w:tab/>
      </w:r>
      <w:r>
        <w:t>°</w:t>
      </w:r>
    </w:p>
    <w:p>
      <w:pPr>
        <w:pStyle w:val="NormalHanging12a"/>
      </w:pPr>
      <w:r>
        <w:t>23.</w:t>
      </w:r>
      <w:r>
        <w:tab/>
      </w:r>
      <w:r>
        <w:t>încredințează Președintei sarcina de a transmite prezenta rezoluție Consiliului și Comisiei și solicită Consiliului și Consiliului de administrație al BEI să poarte o dezbatere despre pozițiile Parlamentului prezentate mai sus.</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PR\1336608RO.docx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PR\1336608RO.docx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PR\1336608RO.docx</w:t>
    </w:r>
    <w:r>
      <w:rPr>
        <w:rStyle w:val="HideTWBExt"/>
      </w:rPr>
      <w:t>&lt;/PathFdR&gt;</w:t>
    </w:r>
    <w:r>
      <w:tab/>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Rezoluția Parlamentului European din 28 februarie 2024 referitoare la controlul activităților financiare ale Băncii Europene de Investiții – raportul anual pe 2023 (JO C, C/2024/6742, 26.11.2024, ELI:  </w:t>
      </w:r>
      <w:hyperlink r:id="rId1" w:tgtFrame="http://data.europa.eu/eli/C/2024/6742/oj" w:history="1">
        <w:r>
          <w:rPr>
            <w:rStyle w:val="Hyperlink"/>
          </w:rPr>
          <w:t>http://data.europa.eu/eli/C/2024/6742/oj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674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1364</Words>
  <Characters>8210</Characters>
  <Application>Microsoft Office Word</Application>
  <DocSecurity>0</DocSecurity>
  <Lines>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1336608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388722</vt:lpwstr>
  </property>
  <property fmtid="{D5CDD505-2E9C-101B-9397-08002B2CF9AE}" pid="7" name="dmxml.render.traceId">
    <vt:lpwstr>699c3424cc2154a9e78b7879c7c392eb</vt:lpwstr>
  </property>
  <property fmtid="{D5CDD505-2E9C-101B-9397-08002B2CF9AE}" pid="8" name="FooterPath">
    <vt:lpwstr>PR\1336608RO.doc</vt:lpwstr>
  </property>
  <property fmtid="{D5CDD505-2E9C-101B-9397-08002B2CF9AE}" pid="9" name="PE Number">
    <vt:lpwstr>784.237</vt:lpwstr>
  </property>
  <property fmtid="{D5CDD505-2E9C-101B-9397-08002B2CF9AE}" pid="10" name="UID">
    <vt:lpwstr>eu.europa.europarl-DIN1-2026-0000024936_01.03-ro-01.00_text-xml</vt:lpwstr>
  </property>
</Properties>
</file>