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24A66" w:rsidRPr="001371BE" w:rsidTr="00255CE7">
        <w:trPr>
          <w:trHeight w:hRule="exact" w:val="1418"/>
        </w:trPr>
        <w:tc>
          <w:tcPr>
            <w:tcW w:w="6804" w:type="dxa"/>
            <w:shd w:val="clear" w:color="auto" w:fill="auto"/>
            <w:vAlign w:val="center"/>
          </w:tcPr>
          <w:p w:rsidR="00B13D6F" w:rsidRPr="001371BE" w:rsidRDefault="00592AAB" w:rsidP="00255CE7">
            <w:pPr>
              <w:pStyle w:val="EPName"/>
            </w:pPr>
            <w:r w:rsidRPr="001371BE">
              <w:t>Europa-Parlamentet</w:t>
            </w:r>
          </w:p>
          <w:p w:rsidR="00B13D6F" w:rsidRPr="001371BE" w:rsidRDefault="00592AAB" w:rsidP="005A15A8">
            <w:pPr>
              <w:pStyle w:val="EPTerm"/>
            </w:pPr>
            <w:r w:rsidRPr="001371BE">
              <w:t>2019-2024</w:t>
            </w:r>
          </w:p>
        </w:tc>
        <w:tc>
          <w:tcPr>
            <w:tcW w:w="2268" w:type="dxa"/>
            <w:shd w:val="clear" w:color="auto" w:fill="auto"/>
          </w:tcPr>
          <w:p w:rsidR="00B13D6F" w:rsidRPr="001371BE" w:rsidRDefault="00592AAB" w:rsidP="00255CE7">
            <w:pPr>
              <w:pStyle w:val="EPLogo"/>
            </w:pPr>
            <w:r w:rsidRPr="001371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02505"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371BE" w:rsidRDefault="00461601" w:rsidP="00461601">
      <w:pPr>
        <w:pStyle w:val="LineTop"/>
      </w:pPr>
    </w:p>
    <w:p w:rsidR="00461601" w:rsidRPr="001371BE" w:rsidRDefault="00592AAB" w:rsidP="00461601">
      <w:pPr>
        <w:pStyle w:val="EPBody"/>
      </w:pPr>
      <w:r w:rsidRPr="001371BE">
        <w:rPr>
          <w:rStyle w:val="HideTWBExt"/>
          <w:noProof w:val="0"/>
        </w:rPr>
        <w:t>&lt;</w:t>
      </w:r>
      <w:r w:rsidRPr="001371BE">
        <w:rPr>
          <w:rStyle w:val="HideTWBExt"/>
          <w:i w:val="0"/>
          <w:noProof w:val="0"/>
        </w:rPr>
        <w:t>Commission</w:t>
      </w:r>
      <w:r w:rsidRPr="001371BE">
        <w:rPr>
          <w:rStyle w:val="HideTWBExt"/>
          <w:noProof w:val="0"/>
        </w:rPr>
        <w:t>&gt;</w:t>
      </w:r>
      <w:r w:rsidRPr="001371BE">
        <w:rPr>
          <w:rStyle w:val="HideTWBInt"/>
          <w:color w:val="auto"/>
        </w:rPr>
        <w:t>{ECON}</w:t>
      </w:r>
      <w:r w:rsidRPr="001371BE">
        <w:t>Økonomi- og Valutaudvalget</w:t>
      </w:r>
      <w:r w:rsidRPr="001371BE">
        <w:rPr>
          <w:rStyle w:val="HideTWBExt"/>
          <w:noProof w:val="0"/>
        </w:rPr>
        <w:t>&lt;/</w:t>
      </w:r>
      <w:r w:rsidRPr="001371BE">
        <w:rPr>
          <w:rStyle w:val="HideTWBExt"/>
          <w:i w:val="0"/>
          <w:noProof w:val="0"/>
        </w:rPr>
        <w:t>Commission</w:t>
      </w:r>
      <w:r w:rsidRPr="001371BE">
        <w:rPr>
          <w:rStyle w:val="HideTWBExt"/>
          <w:noProof w:val="0"/>
        </w:rPr>
        <w:t>&gt;</w:t>
      </w:r>
    </w:p>
    <w:p w:rsidR="00461601" w:rsidRPr="001371BE" w:rsidRDefault="00461601" w:rsidP="00461601">
      <w:pPr>
        <w:pStyle w:val="LineBottom"/>
      </w:pPr>
    </w:p>
    <w:p w:rsidR="00793EA9" w:rsidRPr="001371BE" w:rsidRDefault="00592AAB">
      <w:pPr>
        <w:pStyle w:val="CoverReference"/>
      </w:pPr>
      <w:r w:rsidRPr="001371BE">
        <w:rPr>
          <w:rStyle w:val="HideTWBExt"/>
          <w:b w:val="0"/>
          <w:noProof w:val="0"/>
        </w:rPr>
        <w:t>&lt;RefProc&gt;</w:t>
      </w:r>
      <w:r w:rsidRPr="001371BE">
        <w:t>2022/0074</w:t>
      </w:r>
      <w:r w:rsidRPr="001371BE">
        <w:rPr>
          <w:rStyle w:val="HideTWBExt"/>
          <w:b w:val="0"/>
          <w:noProof w:val="0"/>
        </w:rPr>
        <w:t>&lt;/RefProc&gt;&lt;RefTypeProc&gt;</w:t>
      </w:r>
      <w:r w:rsidRPr="001371BE">
        <w:t>(COD)</w:t>
      </w:r>
      <w:r w:rsidRPr="001371BE">
        <w:rPr>
          <w:rStyle w:val="HideTWBExt"/>
          <w:b w:val="0"/>
          <w:noProof w:val="0"/>
        </w:rPr>
        <w:t>&lt;/RefTypeProc&gt;</w:t>
      </w:r>
    </w:p>
    <w:p w:rsidR="00793EA9" w:rsidRPr="001371BE" w:rsidRDefault="00592AAB">
      <w:pPr>
        <w:pStyle w:val="CoverDate"/>
      </w:pPr>
      <w:r w:rsidRPr="001371BE">
        <w:rPr>
          <w:rStyle w:val="HideTWBExt"/>
          <w:noProof w:val="0"/>
        </w:rPr>
        <w:t>&lt;Date&gt;</w:t>
      </w:r>
      <w:r w:rsidRPr="001371BE">
        <w:rPr>
          <w:rStyle w:val="HideTWBInt"/>
          <w:color w:val="auto"/>
        </w:rPr>
        <w:t>{11/10/2022}</w:t>
      </w:r>
      <w:r w:rsidRPr="001371BE">
        <w:t>11.10.2022</w:t>
      </w:r>
      <w:r w:rsidRPr="001371BE">
        <w:rPr>
          <w:rStyle w:val="HideTWBExt"/>
          <w:noProof w:val="0"/>
        </w:rPr>
        <w:t>&lt;/Date&gt;</w:t>
      </w:r>
    </w:p>
    <w:p w:rsidR="00793EA9" w:rsidRPr="001371BE" w:rsidRDefault="00592AAB">
      <w:pPr>
        <w:pStyle w:val="CoverDocType"/>
      </w:pPr>
      <w:r w:rsidRPr="001371BE">
        <w:rPr>
          <w:rStyle w:val="HideTWBExt"/>
          <w:b w:val="0"/>
          <w:noProof w:val="0"/>
        </w:rPr>
        <w:t>&lt;RefProcLect&gt;</w:t>
      </w:r>
      <w:r w:rsidRPr="001371BE">
        <w:t>***I</w:t>
      </w:r>
      <w:r w:rsidRPr="001371BE">
        <w:rPr>
          <w:rStyle w:val="HideTWBExt"/>
          <w:b w:val="0"/>
          <w:noProof w:val="0"/>
        </w:rPr>
        <w:t>&lt;/RefProcLect&gt;</w:t>
      </w:r>
    </w:p>
    <w:p w:rsidR="00793EA9" w:rsidRPr="001371BE" w:rsidRDefault="00592AAB">
      <w:pPr>
        <w:pStyle w:val="CoverDocType24a"/>
      </w:pPr>
      <w:r w:rsidRPr="001371BE">
        <w:rPr>
          <w:rStyle w:val="HideTWBExt"/>
          <w:b w:val="0"/>
          <w:noProof w:val="0"/>
        </w:rPr>
        <w:t>&lt;TitreType&gt;</w:t>
      </w:r>
      <w:r w:rsidRPr="001371BE">
        <w:t>UDKAST TIL BETÆNKNING</w:t>
      </w:r>
      <w:r w:rsidRPr="001371BE">
        <w:rPr>
          <w:rStyle w:val="HideTWBExt"/>
          <w:b w:val="0"/>
          <w:noProof w:val="0"/>
        </w:rPr>
        <w:t>&lt;/TitreType&gt;</w:t>
      </w:r>
    </w:p>
    <w:p w:rsidR="00793EA9" w:rsidRPr="001371BE" w:rsidRDefault="00592AAB">
      <w:pPr>
        <w:pStyle w:val="CoverNormal"/>
      </w:pPr>
      <w:r w:rsidRPr="001371BE">
        <w:rPr>
          <w:rStyle w:val="HideTWBExt"/>
          <w:noProof w:val="0"/>
        </w:rPr>
        <w:t>&lt;Titre&gt;</w:t>
      </w:r>
      <w:r w:rsidRPr="001371BE">
        <w:t>om forslag til Europa-Parlamentets og Rådets forordning om ændring af forordning (EU) nr. 909/2014 for så vidt angår afviklingsdisciplin, grænseoverskridende levering af tjenesteydelser, tilsynssamarbejde, levering af bankmæssige accessoriske tjenesteydelser og krav til tredjelandes værdipapircentraler</w:t>
      </w:r>
      <w:r w:rsidRPr="001371BE">
        <w:rPr>
          <w:rStyle w:val="HideTWBExt"/>
          <w:noProof w:val="0"/>
        </w:rPr>
        <w:t>&lt;/Titre&gt;</w:t>
      </w:r>
    </w:p>
    <w:p w:rsidR="00793EA9" w:rsidRPr="001371BE" w:rsidRDefault="00592AAB">
      <w:pPr>
        <w:pStyle w:val="CoverNormal24a"/>
      </w:pPr>
      <w:r w:rsidRPr="001371BE">
        <w:rPr>
          <w:rStyle w:val="HideTWBExt"/>
          <w:noProof w:val="0"/>
        </w:rPr>
        <w:t>&lt;DocRef&gt;</w:t>
      </w:r>
      <w:r w:rsidRPr="001371BE">
        <w:t>(COM(2022)0120 – C9</w:t>
      </w:r>
      <w:r w:rsidRPr="001371BE">
        <w:noBreakHyphen/>
        <w:t>0118/2022 – 2022/0074(COD))</w:t>
      </w:r>
      <w:r w:rsidRPr="001371BE">
        <w:rPr>
          <w:rStyle w:val="HideTWBExt"/>
          <w:noProof w:val="0"/>
        </w:rPr>
        <w:t>&lt;/DocRef&gt;</w:t>
      </w:r>
    </w:p>
    <w:p w:rsidR="00793EA9" w:rsidRPr="001371BE" w:rsidRDefault="00592AAB">
      <w:pPr>
        <w:pStyle w:val="CoverNormal24a"/>
      </w:pPr>
      <w:r w:rsidRPr="001371BE">
        <w:rPr>
          <w:rStyle w:val="HideTWBExt"/>
          <w:noProof w:val="0"/>
        </w:rPr>
        <w:t>&lt;Commission&gt;</w:t>
      </w:r>
      <w:r w:rsidRPr="001371BE">
        <w:rPr>
          <w:rStyle w:val="HideTWBInt"/>
          <w:color w:val="auto"/>
        </w:rPr>
        <w:t>{ECON}</w:t>
      </w:r>
      <w:r w:rsidRPr="001371BE">
        <w:t>Økonomi- og Valutaudvalget</w:t>
      </w:r>
      <w:r w:rsidRPr="001371BE">
        <w:rPr>
          <w:rStyle w:val="HideTWBExt"/>
          <w:noProof w:val="0"/>
        </w:rPr>
        <w:t>&lt;/Commission&gt;</w:t>
      </w:r>
    </w:p>
    <w:p w:rsidR="00793EA9" w:rsidRPr="001371BE" w:rsidRDefault="00592AAB">
      <w:pPr>
        <w:pStyle w:val="CoverNormal24a"/>
      </w:pPr>
      <w:r w:rsidRPr="001371BE">
        <w:t xml:space="preserve">Ordfører for udtalelse: </w:t>
      </w:r>
      <w:r w:rsidRPr="001371BE">
        <w:rPr>
          <w:rStyle w:val="HideTWBExt"/>
          <w:noProof w:val="0"/>
        </w:rPr>
        <w:t>&lt;Depute&gt;</w:t>
      </w:r>
      <w:r w:rsidRPr="001371BE">
        <w:t>Johan Van Overtveldt</w:t>
      </w:r>
      <w:r w:rsidRPr="001371BE">
        <w:rPr>
          <w:rStyle w:val="HideTWBExt"/>
          <w:noProof w:val="0"/>
        </w:rPr>
        <w:t>&lt;/Depute&gt;</w:t>
      </w:r>
    </w:p>
    <w:p w:rsidR="001C5B44" w:rsidRPr="001371BE" w:rsidRDefault="001C5B44" w:rsidP="001C5B44">
      <w:pPr>
        <w:pStyle w:val="CoverNormal"/>
      </w:pPr>
    </w:p>
    <w:p w:rsidR="005A15A8" w:rsidRPr="001371BE" w:rsidRDefault="00592AAB" w:rsidP="00255CE7">
      <w:r w:rsidRPr="001371BE">
        <w:br w:type="page"/>
      </w:r>
      <w:r w:rsidR="00CD4444" w:rsidRPr="001371BE">
        <w:lastRenderedPageBreak/>
        <w:fldChar w:fldCharType="begin"/>
      </w:r>
      <w:r w:rsidRPr="001371BE">
        <w:instrText xml:space="preserve"> TITLE  \* MERGEFORMAT </w:instrText>
      </w:r>
      <w:r w:rsidR="00CD4444" w:rsidRPr="001371BE">
        <w:fldChar w:fldCharType="separate"/>
      </w:r>
      <w:r w:rsidR="008D7A9C">
        <w:t>PR_COD_1amCom</w:t>
      </w:r>
      <w:r w:rsidR="00CD4444" w:rsidRPr="001371BE">
        <w:fldChar w:fldCharType="end"/>
      </w:r>
    </w:p>
    <w:p w:rsidR="005A15A8" w:rsidRPr="001371BE" w:rsidRDefault="005A15A8" w:rsidP="00255CE7"/>
    <w:p w:rsidR="005A15A8" w:rsidRPr="001371BE" w:rsidRDefault="005A15A8" w:rsidP="00255CE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24A66" w:rsidRPr="001371BE">
        <w:tc>
          <w:tcPr>
            <w:tcW w:w="5811" w:type="dxa"/>
          </w:tcPr>
          <w:p w:rsidR="005A15A8" w:rsidRPr="001371BE" w:rsidRDefault="00592AAB" w:rsidP="00255CE7">
            <w:pPr>
              <w:pStyle w:val="Lgendetitre"/>
            </w:pPr>
            <w:r w:rsidRPr="001371BE">
              <w:t>Tegnforklaring</w:t>
            </w:r>
          </w:p>
        </w:tc>
      </w:tr>
      <w:tr w:rsidR="00024A66" w:rsidRPr="001371BE" w:rsidTr="00255CE7">
        <w:trPr>
          <w:cantSplit/>
          <w:trHeight w:val="1807"/>
        </w:trPr>
        <w:tc>
          <w:tcPr>
            <w:tcW w:w="5811" w:type="dxa"/>
            <w:tcBorders>
              <w:bottom w:val="single" w:sz="4" w:space="0" w:color="auto"/>
            </w:tcBorders>
          </w:tcPr>
          <w:p w:rsidR="005A15A8" w:rsidRPr="001371BE" w:rsidRDefault="00592AAB" w:rsidP="00255CE7">
            <w:pPr>
              <w:pStyle w:val="Lgendesigne"/>
            </w:pPr>
            <w:r w:rsidRPr="001371BE">
              <w:tab/>
              <w:t>*</w:t>
            </w:r>
            <w:r w:rsidRPr="001371BE">
              <w:tab/>
              <w:t>Høringsprocedure</w:t>
            </w:r>
          </w:p>
          <w:p w:rsidR="005A15A8" w:rsidRPr="001371BE" w:rsidRDefault="00592AAB" w:rsidP="00255CE7">
            <w:pPr>
              <w:pStyle w:val="Lgendesigne"/>
            </w:pPr>
            <w:r w:rsidRPr="001371BE">
              <w:tab/>
              <w:t>***</w:t>
            </w:r>
            <w:r w:rsidRPr="001371BE">
              <w:tab/>
              <w:t>Godkendelsesprocedure</w:t>
            </w:r>
          </w:p>
          <w:p w:rsidR="005A15A8" w:rsidRPr="001371BE" w:rsidRDefault="00592AAB" w:rsidP="00255CE7">
            <w:pPr>
              <w:pStyle w:val="Lgendesigne"/>
            </w:pPr>
            <w:r w:rsidRPr="001371BE">
              <w:tab/>
              <w:t>***I</w:t>
            </w:r>
            <w:r w:rsidRPr="001371BE">
              <w:tab/>
              <w:t>Almindelig lovgivningsprocedure (førstebehandling)</w:t>
            </w:r>
          </w:p>
          <w:p w:rsidR="005A15A8" w:rsidRPr="001371BE" w:rsidRDefault="00592AAB" w:rsidP="00255CE7">
            <w:pPr>
              <w:pStyle w:val="Lgendesigne"/>
            </w:pPr>
            <w:r w:rsidRPr="001371BE">
              <w:tab/>
              <w:t>***II</w:t>
            </w:r>
            <w:r w:rsidRPr="001371BE">
              <w:tab/>
              <w:t>Almindelig lovgivningsprocedure (andenbehandling)</w:t>
            </w:r>
          </w:p>
          <w:p w:rsidR="005A15A8" w:rsidRPr="001371BE" w:rsidRDefault="00592AAB" w:rsidP="00255CE7">
            <w:pPr>
              <w:pStyle w:val="Lgendesigne"/>
            </w:pPr>
            <w:r w:rsidRPr="001371BE">
              <w:tab/>
              <w:t>***III</w:t>
            </w:r>
            <w:r w:rsidRPr="001371BE">
              <w:tab/>
              <w:t>Almindelig lovgivningsprocedure (tredjebehandling)</w:t>
            </w:r>
          </w:p>
          <w:p w:rsidR="005A15A8" w:rsidRPr="001371BE" w:rsidRDefault="005A15A8" w:rsidP="00255CE7">
            <w:pPr>
              <w:pStyle w:val="Lgendestandard"/>
            </w:pPr>
          </w:p>
          <w:p w:rsidR="005A15A8" w:rsidRPr="001371BE" w:rsidRDefault="00592AAB" w:rsidP="00255CE7">
            <w:pPr>
              <w:pStyle w:val="Lgendestandard"/>
            </w:pPr>
            <w:r w:rsidRPr="001371BE">
              <w:t>(Proceduren afhænger af, hvilket retsgrundlag der er valgt i udkastet til retsakt)</w:t>
            </w:r>
          </w:p>
          <w:p w:rsidR="005A15A8" w:rsidRPr="001371BE" w:rsidRDefault="005A15A8" w:rsidP="00255CE7">
            <w:pPr>
              <w:pStyle w:val="Lgendestandard"/>
            </w:pPr>
          </w:p>
        </w:tc>
      </w:tr>
    </w:tbl>
    <w:p w:rsidR="005A15A8" w:rsidRPr="001371BE" w:rsidRDefault="005A15A8" w:rsidP="00255CE7"/>
    <w:p w:rsidR="005A15A8" w:rsidRPr="001371BE" w:rsidRDefault="005A15A8" w:rsidP="00255CE7"/>
    <w:p w:rsidR="005A15A8" w:rsidRPr="001371BE" w:rsidRDefault="005A15A8" w:rsidP="00255CE7"/>
    <w:p w:rsidR="005A15A8" w:rsidRPr="001371BE" w:rsidRDefault="005A15A8" w:rsidP="00255CE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24A66" w:rsidRPr="001371BE">
        <w:tc>
          <w:tcPr>
            <w:tcW w:w="5811" w:type="dxa"/>
          </w:tcPr>
          <w:p w:rsidR="005A15A8" w:rsidRPr="001371BE" w:rsidRDefault="00592AAB" w:rsidP="00255CE7">
            <w:pPr>
              <w:pStyle w:val="Lgendetitre"/>
            </w:pPr>
            <w:r w:rsidRPr="001371BE">
              <w:t>Ændringsforslag til et udkast til retsakt</w:t>
            </w:r>
          </w:p>
        </w:tc>
      </w:tr>
      <w:tr w:rsidR="00024A66" w:rsidRPr="001371BE" w:rsidTr="00255CE7">
        <w:trPr>
          <w:trHeight w:val="4496"/>
        </w:trPr>
        <w:tc>
          <w:tcPr>
            <w:tcW w:w="5811" w:type="dxa"/>
          </w:tcPr>
          <w:p w:rsidR="005A15A8" w:rsidRPr="001371BE" w:rsidRDefault="00592AAB" w:rsidP="00255CE7">
            <w:pPr>
              <w:pStyle w:val="Lgendestandard"/>
              <w:rPr>
                <w:szCs w:val="24"/>
              </w:rPr>
            </w:pPr>
            <w:r w:rsidRPr="001371BE">
              <w:rPr>
                <w:b/>
              </w:rPr>
              <w:t>Ændringsforslag fra Parlamentet opstillet i to kolonner</w:t>
            </w:r>
          </w:p>
          <w:p w:rsidR="005A15A8" w:rsidRPr="001371BE" w:rsidRDefault="005A15A8" w:rsidP="00255CE7">
            <w:pPr>
              <w:pStyle w:val="Lgendestandard"/>
              <w:rPr>
                <w:szCs w:val="24"/>
              </w:rPr>
            </w:pPr>
          </w:p>
          <w:p w:rsidR="005A15A8" w:rsidRPr="001371BE" w:rsidRDefault="00592AAB" w:rsidP="00255CE7">
            <w:pPr>
              <w:pStyle w:val="Lgendestandard"/>
              <w:rPr>
                <w:szCs w:val="24"/>
              </w:rPr>
            </w:pPr>
            <w:r w:rsidRPr="001371BE">
              <w:t>Tekst, der udgår, er markeret med fede typer og kursiv i venstre kolonne. Tekst, der udskiftes, er markeret med fede typer og kursiv i begge kolonner. Ny tekst er markeret med fede typer og kursiv i højre kolonne.</w:t>
            </w:r>
          </w:p>
          <w:p w:rsidR="005A15A8" w:rsidRPr="001371BE" w:rsidRDefault="005A15A8" w:rsidP="00255CE7">
            <w:pPr>
              <w:pStyle w:val="Lgendestandard"/>
              <w:rPr>
                <w:szCs w:val="24"/>
              </w:rPr>
            </w:pPr>
          </w:p>
          <w:p w:rsidR="005A15A8" w:rsidRPr="001371BE" w:rsidRDefault="00592AAB" w:rsidP="00255CE7">
            <w:pPr>
              <w:pStyle w:val="Lgendestandard"/>
              <w:rPr>
                <w:szCs w:val="24"/>
              </w:rPr>
            </w:pPr>
            <w:r w:rsidRPr="001371BE">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rsidR="005A15A8" w:rsidRPr="001371BE" w:rsidRDefault="005A15A8" w:rsidP="00255CE7">
            <w:pPr>
              <w:pStyle w:val="Lgendestandard"/>
              <w:rPr>
                <w:szCs w:val="24"/>
              </w:rPr>
            </w:pPr>
          </w:p>
          <w:p w:rsidR="005A15A8" w:rsidRPr="001371BE" w:rsidRDefault="00592AAB" w:rsidP="00255CE7">
            <w:pPr>
              <w:pStyle w:val="Lgendestandard"/>
              <w:rPr>
                <w:b/>
                <w:szCs w:val="24"/>
              </w:rPr>
            </w:pPr>
            <w:r w:rsidRPr="001371BE">
              <w:rPr>
                <w:b/>
              </w:rPr>
              <w:t>Ændringsforslag fra Parlamentet i form af en konsolideret tekst</w:t>
            </w:r>
          </w:p>
          <w:p w:rsidR="005A15A8" w:rsidRPr="001371BE" w:rsidRDefault="005A15A8" w:rsidP="00255CE7">
            <w:pPr>
              <w:pStyle w:val="Lgendestandard"/>
              <w:rPr>
                <w:szCs w:val="24"/>
              </w:rPr>
            </w:pPr>
          </w:p>
          <w:p w:rsidR="005A15A8" w:rsidRPr="001371BE" w:rsidRDefault="00592AAB" w:rsidP="00255CE7">
            <w:pPr>
              <w:pStyle w:val="Lgendestandard"/>
              <w:rPr>
                <w:szCs w:val="24"/>
              </w:rPr>
            </w:pPr>
            <w:r w:rsidRPr="001371BE">
              <w:t xml:space="preserve">Ny tekst er markeret med fede typer og kursiv. Tekst, som er bortfaldet, markeres med symbolet ▌eller med overstregning. Ved udskiftninger markeres den nye tekst med fede typer og kursiv, og den udskiftede tekst slettes eller overstreges. </w:t>
            </w:r>
          </w:p>
          <w:p w:rsidR="005A15A8" w:rsidRPr="001371BE" w:rsidRDefault="00592AAB" w:rsidP="00255CE7">
            <w:pPr>
              <w:pStyle w:val="Lgendestandard"/>
            </w:pPr>
            <w:r w:rsidRPr="001371BE">
              <w:t>Som en undtagelse bliver rent tekniske justeringer, der er foretaget af de berørte tjenestegrene med henblik på udarbejdelsen af den endelige tekst, ikke markeret.</w:t>
            </w:r>
          </w:p>
          <w:p w:rsidR="005A15A8" w:rsidRPr="001371BE" w:rsidRDefault="005A15A8" w:rsidP="00255CE7">
            <w:pPr>
              <w:pStyle w:val="Lgendestandard"/>
            </w:pPr>
          </w:p>
        </w:tc>
      </w:tr>
    </w:tbl>
    <w:p w:rsidR="005A15A8" w:rsidRPr="001371BE" w:rsidRDefault="005A15A8" w:rsidP="00255CE7"/>
    <w:p w:rsidR="00793EA9" w:rsidRPr="001371BE" w:rsidRDefault="00793EA9" w:rsidP="00012351">
      <w:pPr>
        <w:widowControl/>
        <w:tabs>
          <w:tab w:val="center" w:pos="4677"/>
        </w:tabs>
      </w:pPr>
    </w:p>
    <w:p w:rsidR="00793EA9" w:rsidRPr="001371BE" w:rsidRDefault="00592AAB">
      <w:pPr>
        <w:pStyle w:val="TOCHeading"/>
      </w:pPr>
      <w:r w:rsidRPr="001371BE">
        <w:br w:type="page"/>
        <w:t>INDHOLD</w:t>
      </w:r>
    </w:p>
    <w:p w:rsidR="00793EA9" w:rsidRPr="001371BE" w:rsidRDefault="00592AAB">
      <w:pPr>
        <w:pStyle w:val="TOCPage"/>
      </w:pPr>
      <w:r w:rsidRPr="001371BE">
        <w:t>Side</w:t>
      </w:r>
    </w:p>
    <w:p w:rsidR="008D7A9C" w:rsidRDefault="00592AAB">
      <w:pPr>
        <w:pStyle w:val="TOC1"/>
        <w:tabs>
          <w:tab w:val="right" w:leader="dot" w:pos="9060"/>
        </w:tabs>
        <w:rPr>
          <w:rFonts w:asciiTheme="minorHAnsi" w:eastAsiaTheme="minorEastAsia" w:hAnsiTheme="minorHAnsi" w:cstheme="minorBidi"/>
          <w:noProof/>
          <w:sz w:val="22"/>
          <w:szCs w:val="22"/>
          <w:lang w:val="en-GB"/>
        </w:rPr>
      </w:pPr>
      <w:r w:rsidRPr="001371BE">
        <w:rPr>
          <w:b/>
        </w:rPr>
        <w:fldChar w:fldCharType="begin"/>
      </w:r>
      <w:r w:rsidRPr="001371BE">
        <w:rPr>
          <w:b/>
        </w:rPr>
        <w:instrText xml:space="preserve"> TOC \t "PageHeading</w:instrText>
      </w:r>
      <w:r w:rsidR="008D7A9C">
        <w:rPr>
          <w:b/>
        </w:rPr>
        <w:instrText>;</w:instrText>
      </w:r>
      <w:r w:rsidRPr="001371BE">
        <w:rPr>
          <w:b/>
        </w:rPr>
        <w:instrText xml:space="preserve">1" </w:instrText>
      </w:r>
      <w:r w:rsidRPr="001371BE">
        <w:rPr>
          <w:b/>
        </w:rPr>
        <w:fldChar w:fldCharType="separate"/>
      </w:r>
      <w:r w:rsidR="008D7A9C">
        <w:rPr>
          <w:noProof/>
        </w:rPr>
        <w:t>FORSLAG TIL EUROPA-PARLAMENTETS LOVGIVNINGSMÆSSIGE BESLUTNING</w:t>
      </w:r>
      <w:r w:rsidR="008D7A9C">
        <w:rPr>
          <w:noProof/>
        </w:rPr>
        <w:tab/>
      </w:r>
      <w:r w:rsidR="008D7A9C">
        <w:rPr>
          <w:noProof/>
        </w:rPr>
        <w:fldChar w:fldCharType="begin"/>
      </w:r>
      <w:r w:rsidR="008D7A9C">
        <w:rPr>
          <w:noProof/>
        </w:rPr>
        <w:instrText xml:space="preserve"> PAGEREF _Toc117775392 \h </w:instrText>
      </w:r>
      <w:r w:rsidR="008D7A9C">
        <w:rPr>
          <w:noProof/>
        </w:rPr>
      </w:r>
      <w:r w:rsidR="008D7A9C">
        <w:rPr>
          <w:noProof/>
        </w:rPr>
        <w:fldChar w:fldCharType="separate"/>
      </w:r>
      <w:r w:rsidR="008D7A9C">
        <w:rPr>
          <w:noProof/>
        </w:rPr>
        <w:t>5</w:t>
      </w:r>
      <w:r w:rsidR="008D7A9C">
        <w:rPr>
          <w:noProof/>
        </w:rPr>
        <w:fldChar w:fldCharType="end"/>
      </w:r>
    </w:p>
    <w:p w:rsidR="008D7A9C" w:rsidRDefault="008D7A9C">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_Toc117775393 \h </w:instrText>
      </w:r>
      <w:r>
        <w:rPr>
          <w:noProof/>
        </w:rPr>
      </w:r>
      <w:r>
        <w:rPr>
          <w:noProof/>
        </w:rPr>
        <w:fldChar w:fldCharType="separate"/>
      </w:r>
      <w:r>
        <w:rPr>
          <w:noProof/>
        </w:rPr>
        <w:t>78</w:t>
      </w:r>
      <w:r>
        <w:rPr>
          <w:noProof/>
        </w:rPr>
        <w:fldChar w:fldCharType="end"/>
      </w:r>
    </w:p>
    <w:p w:rsidR="002346B0" w:rsidRPr="001371BE" w:rsidRDefault="00592AAB" w:rsidP="00C23324">
      <w:r w:rsidRPr="001371BE">
        <w:rPr>
          <w:b/>
        </w:rPr>
        <w:fldChar w:fldCharType="end"/>
      </w:r>
    </w:p>
    <w:p w:rsidR="00793EA9" w:rsidRPr="001371BE" w:rsidRDefault="00592AAB">
      <w:pPr>
        <w:pStyle w:val="PageHeading"/>
      </w:pPr>
      <w:r w:rsidRPr="001371BE">
        <w:br w:type="page"/>
      </w:r>
      <w:r w:rsidRPr="001371BE">
        <w:br w:type="page"/>
      </w:r>
      <w:bookmarkStart w:id="0" w:name="_Toc117775392"/>
      <w:r w:rsidRPr="001371BE">
        <w:t>FORSLAG TIL EUROPA-PARLAMENTETS LOVGIVNINGSMÆSSIGE BESLUTNING</w:t>
      </w:r>
      <w:bookmarkEnd w:id="0"/>
    </w:p>
    <w:p w:rsidR="00793EA9" w:rsidRPr="001371BE" w:rsidRDefault="00592AAB">
      <w:pPr>
        <w:pStyle w:val="NormalBold"/>
      </w:pPr>
      <w:r w:rsidRPr="001371BE">
        <w:t>om forslag til Europa-Parlamentets og Rådets forordning om ændring af forordning (EU) nr. 909/2014 for så vidt angår afviklingsdisciplin, grænseoverskridende levering af tjenesteydelser, tilsynssamarbejde, levering af bankmæssige accessoriske tjenesteydelser og krav til tredjelandes værdipapircentraler</w:t>
      </w:r>
    </w:p>
    <w:p w:rsidR="00793EA9" w:rsidRPr="001371BE" w:rsidRDefault="00592AAB">
      <w:pPr>
        <w:pStyle w:val="NormalBold12a"/>
      </w:pPr>
      <w:r w:rsidRPr="001371BE">
        <w:t>(COM(2022)0120 – C9</w:t>
      </w:r>
      <w:r w:rsidRPr="001371BE">
        <w:noBreakHyphen/>
        <w:t>0118/2022 – 2022/0074(COD))</w:t>
      </w:r>
    </w:p>
    <w:p w:rsidR="00793EA9" w:rsidRPr="001371BE" w:rsidRDefault="00592AAB" w:rsidP="00A910C9">
      <w:pPr>
        <w:pStyle w:val="NormalBold"/>
      </w:pPr>
      <w:r w:rsidRPr="001371BE">
        <w:t>(Almindelig lovgivningsprocedure: førstebehandling)</w:t>
      </w:r>
    </w:p>
    <w:p w:rsidR="00793EA9" w:rsidRPr="001371BE" w:rsidRDefault="00592AAB" w:rsidP="00A910C9">
      <w:pPr>
        <w:pStyle w:val="EPComma"/>
      </w:pPr>
      <w:r w:rsidRPr="001371BE">
        <w:t>Europa-Parlamentet,</w:t>
      </w:r>
    </w:p>
    <w:p w:rsidR="00793EA9" w:rsidRPr="001371BE" w:rsidRDefault="00592AAB">
      <w:pPr>
        <w:pStyle w:val="NormalHanging12a"/>
      </w:pPr>
      <w:r w:rsidRPr="001371BE">
        <w:t>–</w:t>
      </w:r>
      <w:r w:rsidRPr="001371BE">
        <w:tab/>
        <w:t>der henviser til Kommissionens forslag til Europa-Parlamentet og Rådet (COM(2022)0120),</w:t>
      </w:r>
    </w:p>
    <w:p w:rsidR="00793EA9" w:rsidRPr="001371BE" w:rsidRDefault="00592AAB">
      <w:pPr>
        <w:pStyle w:val="NormalHanging12a"/>
      </w:pPr>
      <w:r w:rsidRPr="001371BE">
        <w:t>–</w:t>
      </w:r>
      <w:r w:rsidRPr="001371BE">
        <w:tab/>
        <w:t>der henviser til artikel 294, stk. 2, og artikel 114 i traktaten om Den Europæiske Unions funktionsmåde, på grundlag af hvilke Kommissionen har forelagt forslaget for Parlamentet (C9</w:t>
      </w:r>
      <w:r w:rsidRPr="001371BE">
        <w:noBreakHyphen/>
        <w:t>0118/2022),</w:t>
      </w:r>
    </w:p>
    <w:p w:rsidR="00A26F46" w:rsidRPr="001371BE" w:rsidRDefault="00592AAB" w:rsidP="00A26F46">
      <w:pPr>
        <w:pStyle w:val="NormalHanging12a"/>
      </w:pPr>
      <w:r w:rsidRPr="001371BE">
        <w:t>–</w:t>
      </w:r>
      <w:r w:rsidRPr="001371BE">
        <w:tab/>
        <w:t>der henviser til artikel 294, stk. 3, i traktaten om Den Europæiske Unions funktionsmåde,</w:t>
      </w:r>
    </w:p>
    <w:p w:rsidR="008512C8" w:rsidRPr="001371BE" w:rsidRDefault="00592AAB" w:rsidP="00AD7FA6">
      <w:pPr>
        <w:pStyle w:val="NormalHanging12a"/>
      </w:pPr>
      <w:r w:rsidRPr="001371BE">
        <w:t>–</w:t>
      </w:r>
      <w:r w:rsidRPr="001371BE">
        <w:tab/>
        <w:t>der henviser til udtalelse af 28. juli 2022</w:t>
      </w:r>
      <w:r w:rsidRPr="001371BE">
        <w:rPr>
          <w:rStyle w:val="FootnoteReference"/>
        </w:rPr>
        <w:footnoteReference w:id="1"/>
      </w:r>
      <w:r w:rsidRPr="001371BE">
        <w:t xml:space="preserve"> fra Den Europæiske Centralbank,</w:t>
      </w:r>
    </w:p>
    <w:p w:rsidR="00793EA9" w:rsidRPr="001371BE" w:rsidRDefault="00592AAB">
      <w:pPr>
        <w:pStyle w:val="NormalHanging12a"/>
      </w:pPr>
      <w:r w:rsidRPr="001371BE">
        <w:t>–</w:t>
      </w:r>
      <w:r w:rsidRPr="001371BE">
        <w:tab/>
        <w:t>der henviser til forretningsordenens artikel 59 og 40,</w:t>
      </w:r>
    </w:p>
    <w:p w:rsidR="006A2F5D" w:rsidRPr="001371BE" w:rsidRDefault="00592AAB" w:rsidP="006A2F5D">
      <w:pPr>
        <w:pStyle w:val="NormalHanging12a"/>
      </w:pPr>
      <w:r w:rsidRPr="001371BE">
        <w:t>–</w:t>
      </w:r>
      <w:r w:rsidRPr="001371BE">
        <w:tab/>
        <w:t>der henviser til betænkning fra Økonomi- og Valutaudvalget (A9</w:t>
      </w:r>
      <w:r w:rsidRPr="001371BE">
        <w:noBreakHyphen/>
        <w:t>0000/2022),</w:t>
      </w:r>
    </w:p>
    <w:p w:rsidR="00C31D3A" w:rsidRPr="001371BE" w:rsidRDefault="00592AAB" w:rsidP="00C31D3A">
      <w:pPr>
        <w:pStyle w:val="NormalHanging12a"/>
      </w:pPr>
      <w:r w:rsidRPr="001371BE">
        <w:t>1.</w:t>
      </w:r>
      <w:r w:rsidRPr="001371BE">
        <w:tab/>
        <w:t>vedtager nedenstående holdning ved førstebehandling;</w:t>
      </w:r>
    </w:p>
    <w:p w:rsidR="00C31D3A" w:rsidRPr="001371BE" w:rsidRDefault="00592AAB" w:rsidP="00C31D3A">
      <w:pPr>
        <w:pStyle w:val="NormalHanging12a"/>
      </w:pPr>
      <w:r w:rsidRPr="001371BE">
        <w:t>2.</w:t>
      </w:r>
      <w:r w:rsidRPr="001371BE">
        <w:tab/>
        <w:t>anmoder om fornyet forelæggelse, hvis Kommissionen erstatter, i væsentlig grad ændrer eller agter i væsentlig grad at ændre sit forslag;</w:t>
      </w:r>
    </w:p>
    <w:p w:rsidR="00C31D3A" w:rsidRPr="001371BE" w:rsidRDefault="00592AAB" w:rsidP="00C31D3A">
      <w:pPr>
        <w:pStyle w:val="NormalHanging12a"/>
        <w:rPr>
          <w:b/>
        </w:rPr>
      </w:pPr>
      <w:r w:rsidRPr="001371BE">
        <w:t>3.</w:t>
      </w:r>
      <w:r w:rsidRPr="001371BE">
        <w:tab/>
        <w:t>pålægger sin formand at sende Parlamentets holdning til Rådet og Kommissionen samt til de nationale parlamenter.</w:t>
      </w:r>
    </w:p>
    <w:p w:rsidR="00D30DE2" w:rsidRPr="001371BE" w:rsidRDefault="00D30DE2" w:rsidP="00D30DE2"/>
    <w:p w:rsidR="00255CE7" w:rsidRPr="001371BE" w:rsidRDefault="00592AAB" w:rsidP="00255CE7">
      <w:pPr>
        <w:pStyle w:val="AMNumberTabs0"/>
        <w:keepNext/>
      </w:pPr>
      <w:r w:rsidRPr="001371BE">
        <w:rPr>
          <w:rStyle w:val="HideTWBExt"/>
          <w:b w:val="0"/>
          <w:noProof w:val="0"/>
        </w:rPr>
        <w:t>&lt;RepeatBlock-Amend&gt;&lt;Amend&gt;</w:t>
      </w:r>
      <w:r w:rsidRPr="001371BE">
        <w:t>Ændringsforslag</w:t>
      </w:r>
      <w:r w:rsidRPr="001371BE">
        <w:tab/>
      </w:r>
      <w:r w:rsidRPr="001371BE">
        <w:tab/>
      </w:r>
      <w:r w:rsidRPr="001371BE">
        <w:rPr>
          <w:rStyle w:val="HideTWBExt"/>
          <w:b w:val="0"/>
          <w:noProof w:val="0"/>
        </w:rPr>
        <w:t>&lt;NumAm&gt;</w:t>
      </w:r>
      <w:r w:rsidRPr="001371BE">
        <w:t>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4 a (ny)</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(4a)</w:t>
            </w:r>
            <w:r w:rsidRPr="001371BE">
              <w:rPr>
                <w:b/>
                <w:i/>
              </w:rPr>
              <w:tab/>
              <w:t>Delegerede retsakter og gennemførelsesretsakter vedtaget i overensstemmelse med artikel 290 og 291 i traktaten om Den Europæiske Unions funktionsmåde (TEUF) udgør Unionens retsakter. I henhold til artikel 127, stk. 4, og artikel 282, stk. 5, i TEUF skal ECB høres om ethvert forslag til EU-retsakt inden for dets kompetenceområde. Sikre og effektive markedsinfrastrukturer og en gnidningsfri funktion af de finansielle markeder er væsentligt for opfyldelsen af ESCB's grundlæggende opgaver i henhold til artikel 127, stk. 2, i TEUF og for opnåelse af dets primære mål om at fastholde prisstabilitet i henhold til artikel 127, stk. 1, i TEUF. ECB bør høres behørigt om delegerede retsakter og gennemførelsesretsakter, der vedtages i henhold til denne forordning.</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Ændringsforslag 1 fremsat af ECB i dets udtalelse af 28. juli 2022. Da ECB skal høres om betalings- og afviklingssystemer og på grund af dets ekspertise inden for sikkerheden og effektiviteten af infrastrukturerne på det finansielle marked og en gnidningsfri funktion af de finansielle markeder, bør ECB høres om udkast til Unionens retsakter inden for rammerne af CSD-forordningen.</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5</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(5)</w:t>
            </w:r>
            <w:r w:rsidRPr="001371BE">
              <w:tab/>
              <w:t>Ved forordning (EU) nr. 909/2014 er der indført regler om afviklingsdisciplin for at forebygge og afhjælpe fejl i afviklingen af værdipapirtransaktioner og dermed sørge for, at afviklingen af transaktioner er sikker. På trods af manglen på erfaring med anvendelsen af disse regler har udviklingen, har udviklingen og den nærmere beskrivelse af rammen i Kommissionens delegerede forordning (EU) 2018/1229</w:t>
            </w:r>
            <w:r w:rsidRPr="001371BE">
              <w:rPr>
                <w:vertAlign w:val="superscript"/>
              </w:rPr>
              <w:t>40</w:t>
            </w:r>
            <w:r w:rsidRPr="001371BE">
              <w:t xml:space="preserve"> givet alle interesserede parter mulighed for bedre at forstå ordningen og de udfordringer, som anvendelsen heraf kan give anledning til. I denne forbindelse bør anvendelsesområdet for bøder </w:t>
            </w:r>
            <w:r w:rsidRPr="001371BE">
              <w:rPr>
                <w:b/>
                <w:bCs/>
                <w:i/>
                <w:iCs/>
              </w:rPr>
              <w:t>og</w:t>
            </w:r>
            <w:r w:rsidRPr="001371BE">
              <w:t xml:space="preserve"> </w:t>
            </w:r>
            <w:r w:rsidRPr="001371BE">
              <w:rPr>
                <w:b/>
                <w:bCs/>
                <w:i/>
                <w:iCs/>
              </w:rPr>
              <w:t>obligatoriske dækningskøb</w:t>
            </w:r>
            <w:r w:rsidRPr="001371BE">
              <w:t xml:space="preserve"> som fastsat i artikel 7 i forordning (EU) nr. 909/2014 præciseres, navnlig ved nærmere at beskrive, hvilke transaktionskategorier der undtages. Sådanne undtagelser bør navnlig omfatte transaktioner, der mislykkedes af årsager, som ikke kan tilskrives deltagerne, og transaktioner, der ikke involverer to handelsparter, for hvilke anvendelsen af bøder </w:t>
            </w:r>
            <w:r w:rsidRPr="001371BE">
              <w:rPr>
                <w:b/>
                <w:bCs/>
                <w:i/>
                <w:iCs/>
              </w:rPr>
              <w:t>eller obligatoriske dækningskøb</w:t>
            </w:r>
            <w:r w:rsidRPr="001371BE">
              <w:t xml:space="preserve"> ikke ville være praktisk mulig eller kunne have skadelige konsekvenser for markedet, f.eks. visse transaktioner fra det primære marked, corporate actions, omlægninger, oprettelse og indløsning af andele i investeringsforeninger </w:t>
            </w:r>
            <w:r w:rsidRPr="001371BE">
              <w:rPr>
                <w:b/>
                <w:bCs/>
                <w:i/>
                <w:iCs/>
              </w:rPr>
              <w:t>og</w:t>
            </w:r>
            <w:r w:rsidRPr="001371BE">
              <w:t xml:space="preserve"> justeringer. Kommissionen bør tillægges beføjelse til at vedtage supplerende regler til forordning (EU) nr. 909/2014 ved hjælp af en delegeret retsakt, hvori den yderligere præciserer detaljerne ved sådanne undtagelser.</w:t>
            </w:r>
          </w:p>
        </w:tc>
        <w:tc>
          <w:tcPr>
            <w:tcW w:w="4876" w:type="dxa"/>
            <w:hideMark/>
          </w:tcPr>
          <w:p w:rsidR="00255CE7" w:rsidRPr="001371BE" w:rsidRDefault="00592AAB">
            <w:pPr>
              <w:pStyle w:val="Normal6"/>
              <w:rPr>
                <w:szCs w:val="24"/>
              </w:rPr>
            </w:pPr>
            <w:r w:rsidRPr="001371BE">
              <w:t>(5)</w:t>
            </w:r>
            <w:r w:rsidRPr="001371BE">
              <w:tab/>
              <w:t>Ved forordning (EU) nr. 909/2014 er der indført regler om afviklingsdisciplin for at forebygge og afhjælpe fejl i afviklingen af værdipapirtransaktioner og dermed sørge for, at afviklingen af transaktioner er sikker. På trods af manglen på erfaring med anvendelsen af disse regler har udviklingen, har udviklingen og den nærmere beskrivelse af rammen i Kommissionens delegerede forordning (EU) 2018/1229</w:t>
            </w:r>
            <w:r w:rsidRPr="001371BE">
              <w:rPr>
                <w:vertAlign w:val="superscript"/>
              </w:rPr>
              <w:t>40</w:t>
            </w:r>
            <w:r w:rsidRPr="001371BE">
              <w:t xml:space="preserve"> givet alle interesserede parter mulighed for bedre at forstå ordningen og de udfordringer, som anvendelsen heraf kan give anledning til. I denne forbindelse bør anvendelsesområdet for bøder som fastsat i artikel 7 i forordning (EU) nr. 909/2014 præciseres, navnlig ved nærmere at beskrive, hvilke transaktionskategorier der undtages. Sådanne undtagelser bør navnlig omfatte transaktioner, der mislykkedes af årsager, som ikke kan tilskrives deltagerne, og transaktioner, der ikke involverer to handelsparter, for hvilke anvendelsen af bøder ikke ville være praktisk mulig eller kunne have skadelige konsekvenser for markedet, f.eks. visse transaktioner fra det primære marked, corporate actions, omlægninger, oprettelse og indløsning af andele i investeringsforeninger</w:t>
            </w:r>
            <w:r w:rsidRPr="001371BE">
              <w:rPr>
                <w:b/>
                <w:bCs/>
                <w:i/>
                <w:iCs/>
              </w:rPr>
              <w:t>,</w:t>
            </w:r>
            <w:r w:rsidRPr="001371BE">
              <w:t xml:space="preserve"> justeringer </w:t>
            </w:r>
            <w:r w:rsidRPr="001371BE">
              <w:rPr>
                <w:b/>
                <w:bCs/>
                <w:i/>
                <w:iCs/>
              </w:rPr>
              <w:t>og værdipapiroverførsler uden betaling (FoP), der er foretaget i forbindelse med (de)mobilisering af sikkerhedsstillelse</w:t>
            </w:r>
            <w:r w:rsidRPr="001371BE">
              <w:t>. Kommissionen bør tillægges beføjelse til at vedtage supplerende regler til forordning (EU) nr. 909/2014 ved hjælp af en delegeret retsakt, hvori den yderligere præciserer detaljerne ved sådanne undtagelser.</w:t>
            </w:r>
          </w:p>
        </w:tc>
      </w:tr>
      <w:tr w:rsidR="00024A66" w:rsidRPr="001371BE" w:rsidTr="00255CE7">
        <w:trPr>
          <w:jc w:val="center"/>
        </w:trPr>
        <w:tc>
          <w:tcPr>
            <w:tcW w:w="4876" w:type="dxa"/>
            <w:hideMark/>
          </w:tcPr>
          <w:p w:rsidR="00255CE7" w:rsidRPr="001371BE" w:rsidRDefault="00592AAB">
            <w:pPr>
              <w:pStyle w:val="Normal6"/>
            </w:pPr>
            <w:r w:rsidRPr="001371BE">
              <w:t>__________________</w:t>
            </w:r>
          </w:p>
        </w:tc>
        <w:tc>
          <w:tcPr>
            <w:tcW w:w="4876" w:type="dxa"/>
            <w:hideMark/>
          </w:tcPr>
          <w:p w:rsidR="00255CE7" w:rsidRPr="001371BE" w:rsidRDefault="00592AAB">
            <w:pPr>
              <w:pStyle w:val="Normal6"/>
              <w:rPr>
                <w:szCs w:val="24"/>
              </w:rPr>
            </w:pPr>
            <w:r w:rsidRPr="001371BE">
              <w:t>__________________</w:t>
            </w:r>
          </w:p>
        </w:tc>
      </w:tr>
      <w:tr w:rsidR="00024A66" w:rsidRPr="001371BE" w:rsidTr="00255CE7">
        <w:trPr>
          <w:jc w:val="center"/>
        </w:trPr>
        <w:tc>
          <w:tcPr>
            <w:tcW w:w="4876" w:type="dxa"/>
            <w:hideMark/>
          </w:tcPr>
          <w:p w:rsidR="00255CE7" w:rsidRPr="001371BE" w:rsidRDefault="00592AAB" w:rsidP="000C0D9C">
            <w:pPr>
              <w:pStyle w:val="Normal6"/>
            </w:pPr>
            <w:r w:rsidRPr="001371BE">
              <w:rPr>
                <w:vertAlign w:val="superscript"/>
              </w:rPr>
              <w:t>40</w:t>
            </w:r>
            <w:r w:rsidRPr="001371BE">
              <w:t xml:space="preserve"> Kommissionens delegerede forordning (EU) 2018/1229 af 25. maj 2018 om supplerende regler til Europa-Parlamentets og Rådets forordning (EU) nr. 909/2014 for så vidt angår reguleringsmæssige tekniske standarder vedrørende afviklingsdisciplin (EUT L 230 af 13.9.2018, s. 1).</w:t>
            </w:r>
          </w:p>
        </w:tc>
        <w:tc>
          <w:tcPr>
            <w:tcW w:w="4876" w:type="dxa"/>
            <w:hideMark/>
          </w:tcPr>
          <w:p w:rsidR="00255CE7" w:rsidRPr="001371BE" w:rsidRDefault="00592AAB" w:rsidP="000C0D9C">
            <w:pPr>
              <w:pStyle w:val="Normal6"/>
              <w:rPr>
                <w:szCs w:val="24"/>
              </w:rPr>
            </w:pPr>
            <w:r w:rsidRPr="001371BE">
              <w:rPr>
                <w:vertAlign w:val="superscript"/>
              </w:rPr>
              <w:t>40</w:t>
            </w:r>
            <w:r w:rsidRPr="001371BE">
              <w:t xml:space="preserve"> Kommissionens delegerede forordning (EU) 2018/1229 af 25. maj 2018 om supplerende regler til Europa-Parlamentets og Rådets forordning (EU) nr. 909/2014 for så vidt angår reguleringsmæssige tekniske standarder vedrørende afviklingsdisciplin (EUT L 230 af 13.9.2018, s. 1).</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Baseret på ændringsforslag 1 fremsat af ECB i dets udtalelse af 28. juli 2022. Værdipapiroverførsler uden betaling, der foretages i forbindelse med (de)mobilisering af sikkerhedsstillelse, uanset om disse overførsler foregår mellem private parter eller mellem medlemmer af ESCB og deres modparter, involverer ikke "to handelsparter" og bør derfor fritages fra anvendelsen af ordningen for afviklingsdisciplin. Det foreslås endvidere at følge ECB's henstilling om helt at se bort fra muligheden for obligatoriske dækningskøb.</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6</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(6)</w:t>
            </w:r>
            <w:r w:rsidRPr="001371BE">
              <w:tab/>
              <w:t xml:space="preserve">Det overordnede mål med ordningen for afviklingsdisciplin er at forbedre afviklingseffektiviteten i Unionen. Markedsvolatiliteten i 2020 forstærkede imidlertid bekymringerne over de potentielle negative virkninger af regler om obligatoriske dækningskøb, både under normale og stressede markedsvilkår. </w:t>
            </w:r>
            <w:r w:rsidRPr="001371BE">
              <w:rPr>
                <w:b/>
                <w:bCs/>
                <w:i/>
                <w:iCs/>
              </w:rPr>
              <w:t>Anvendelsen</w:t>
            </w:r>
            <w:r w:rsidRPr="001371BE">
              <w:t xml:space="preserve"> af </w:t>
            </w:r>
            <w:r w:rsidRPr="001371BE">
              <w:rPr>
                <w:b/>
                <w:bCs/>
                <w:i/>
                <w:iCs/>
              </w:rPr>
              <w:t>disse regler</w:t>
            </w:r>
            <w:r w:rsidRPr="001371BE">
              <w:t xml:space="preserve"> bør </w:t>
            </w:r>
            <w:r w:rsidRPr="001371BE">
              <w:rPr>
                <w:b/>
                <w:bCs/>
                <w:i/>
                <w:iCs/>
              </w:rPr>
              <w:t>derfor være underlagt en vurdering foretaget af Kommissionen for så vidt angår dens hensigtsmæssighed i lyset af udviklingen inden for afviklingseffektivitet i Unionen</w:t>
            </w:r>
            <w:r w:rsidRPr="001371BE">
              <w:t xml:space="preserve">. Bøder og indberetningskrav bør dog fortsat finde anvendelse for at </w:t>
            </w:r>
            <w:r w:rsidRPr="001371BE">
              <w:rPr>
                <w:b/>
                <w:bCs/>
                <w:i/>
                <w:iCs/>
              </w:rPr>
              <w:t>vurdere deres indvirkning på forbedringen af</w:t>
            </w:r>
            <w:r w:rsidRPr="001371BE">
              <w:t xml:space="preserve"> afviklingseffektiviteten i Unionen. </w:t>
            </w:r>
            <w:r w:rsidRPr="001371BE">
              <w:rPr>
                <w:b/>
                <w:bCs/>
                <w:i/>
                <w:iCs/>
              </w:rPr>
              <w:t>I betragtning af de potentielle virkninger af reglerne om obligatoriske dækningskøb</w:t>
            </w:r>
            <w:r w:rsidRPr="001371BE">
              <w:t xml:space="preserve"> bør </w:t>
            </w:r>
            <w:r w:rsidRPr="001371BE">
              <w:rPr>
                <w:b/>
                <w:bCs/>
                <w:i/>
                <w:iCs/>
              </w:rPr>
              <w:t>sådanne regler kun finde anvendelse, hvis visse betingelser er opfyldt, dvs. hvis anvendelsen af bøder ikke har ført til en langsigtet, løbende reduktion af afviklingsfejl i Unionen, hvis</w:t>
            </w:r>
            <w:r w:rsidRPr="001371BE">
              <w:t xml:space="preserve"> afviklingseffektiviteten </w:t>
            </w:r>
            <w:r w:rsidRPr="001371BE">
              <w:rPr>
                <w:b/>
                <w:bCs/>
                <w:i/>
                <w:iCs/>
              </w:rPr>
              <w:t xml:space="preserve">i Unionen ikke er nået op på et passende niveau i betragtning af situationen på kapitalmarkederne i tredjelande, der kan sammenlignes med Unionens med hensyn til størrelse, </w:t>
            </w:r>
            <w:r w:rsidRPr="001371BE">
              <w:t>likviditet</w:t>
            </w:r>
            <w:r w:rsidRPr="001371BE">
              <w:rPr>
                <w:b/>
                <w:bCs/>
                <w:i/>
                <w:iCs/>
              </w:rPr>
              <w:t xml:space="preserve"> samt handlede instrumenter og de transaktionstyper, der gennemføres på sådanne markeder, eller hvis omfanget af afviklingsfejl i Unionen har eller med sandsynlighed vil få en negativ indvirkning på den finansielle stabilitet i Unionen</w:t>
            </w:r>
            <w:r w:rsidRPr="001371BE">
              <w:t>.</w:t>
            </w:r>
            <w:r w:rsidRPr="001371BE">
              <w:rPr>
                <w:b/>
                <w:i/>
              </w:rPr>
              <w:t xml:space="preserve"> </w:t>
            </w:r>
            <w:r w:rsidRPr="001371BE">
              <w:rPr>
                <w:b/>
                <w:bCs/>
                <w:i/>
                <w:iCs/>
              </w:rPr>
              <w:t>Hvis Kommissionen finder, af én af disse betingelser er opfyldt, og at anvendelsen af obligatoriske dækningskøb er et forholdsmæssigt middel til at afhjælpe omfanget af afviklingsfejl i Unionen, bør Kommissionen tillægges beføjelse til at vedtage en gennemførelsesretsakt, der fastlægger, for hvilke</w:t>
            </w:r>
            <w:r w:rsidRPr="001371BE">
              <w:t xml:space="preserve"> finansielle instrumenter </w:t>
            </w:r>
            <w:r w:rsidRPr="001371BE">
              <w:rPr>
                <w:b/>
                <w:bCs/>
                <w:i/>
                <w:iCs/>
              </w:rPr>
              <w:t>eller transaktionskategorier reglerne om obligatoriske dækningskøb bør begynde at finde anvendelse</w:t>
            </w:r>
            <w:r w:rsidRPr="001371BE">
              <w:t xml:space="preserve">. De bøder, der er omhandlet i artikel 7, stk. 2, tredje afsnit, i forordning (EU) nr. 909/2014, bør beregnes dagligt for hver forretningsdag, en transaktion ikke afvikles, indtil </w:t>
            </w:r>
            <w:r w:rsidRPr="001371BE">
              <w:rPr>
                <w:b/>
                <w:bCs/>
                <w:i/>
                <w:iCs/>
              </w:rPr>
              <w:t>afslutningen af dækningskøbsproceduren eller</w:t>
            </w:r>
            <w:r w:rsidRPr="001371BE">
              <w:t xml:space="preserve"> den faktiske afviklingsdato</w:t>
            </w:r>
            <w:r w:rsidRPr="001371BE">
              <w:rPr>
                <w:b/>
                <w:bCs/>
                <w:i/>
                <w:iCs/>
              </w:rPr>
              <w:t>, afhængigt af hvad der indtræffer først</w:t>
            </w:r>
            <w:r w:rsidRPr="001371BE">
              <w:t>.</w:t>
            </w:r>
          </w:p>
        </w:tc>
        <w:tc>
          <w:tcPr>
            <w:tcW w:w="4876" w:type="dxa"/>
            <w:hideMark/>
          </w:tcPr>
          <w:p w:rsidR="00255CE7" w:rsidRPr="001371BE" w:rsidRDefault="00592AAB" w:rsidP="00615927">
            <w:pPr>
              <w:pStyle w:val="Normal6"/>
              <w:rPr>
                <w:szCs w:val="24"/>
              </w:rPr>
            </w:pPr>
            <w:r w:rsidRPr="001371BE">
              <w:t>(6)</w:t>
            </w:r>
            <w:r w:rsidRPr="001371BE">
              <w:tab/>
              <w:t xml:space="preserve">Det overordnede mål med ordningen for afviklingsdisciplin er at forbedre afviklingseffektiviteten i Unionen. Markedsvolatiliteten i 2020 forstærkede imidlertid bekymringerne over de potentielle negative virkninger af regler om obligatoriske dækningskøb, både under normale og stressede markedsvilkår. </w:t>
            </w:r>
            <w:r w:rsidRPr="001371BE">
              <w:rPr>
                <w:b/>
                <w:bCs/>
                <w:i/>
                <w:iCs/>
              </w:rPr>
              <w:t xml:space="preserve">Forekomsten </w:t>
            </w:r>
            <w:r w:rsidRPr="001371BE">
              <w:t>af</w:t>
            </w:r>
            <w:r w:rsidRPr="001371BE">
              <w:rPr>
                <w:b/>
                <w:bCs/>
                <w:i/>
                <w:iCs/>
              </w:rPr>
              <w:t xml:space="preserve"> sådanne regler er en urimelig indblanding i gennemførelsen af værdipapirtransaktioner og i værdipapirmarkedernes funktion, det udsætter markedslikviditeten og den finansielle stabilitet i Unionen for betydelige risici og kan sætte Unionens globale konkurrencedygtighed på spil</w:t>
            </w:r>
            <w:r w:rsidRPr="001371BE">
              <w:rPr>
                <w:b/>
                <w:i/>
              </w:rPr>
              <w:t xml:space="preserve">. På grund af de indvirkninger, som gennemførelsen af obligatoriske dækningskøb kunne få, </w:t>
            </w:r>
            <w:r w:rsidRPr="001371BE">
              <w:t>bør</w:t>
            </w:r>
            <w:r w:rsidRPr="001371BE">
              <w:rPr>
                <w:b/>
                <w:i/>
              </w:rPr>
              <w:t xml:space="preserve"> der ses bort fra muligheden for at anvende dem</w:t>
            </w:r>
            <w:r w:rsidRPr="001371BE">
              <w:t xml:space="preserve">. Bøder og indberetningskrav bør dog fortsat finde anvendelse for at </w:t>
            </w:r>
            <w:r w:rsidRPr="001371BE">
              <w:rPr>
                <w:b/>
                <w:bCs/>
                <w:i/>
                <w:iCs/>
              </w:rPr>
              <w:t>forbedre</w:t>
            </w:r>
            <w:r w:rsidRPr="001371BE">
              <w:t xml:space="preserve"> afviklingseffektiviteten i Unionen. </w:t>
            </w:r>
            <w:r w:rsidRPr="001371BE">
              <w:rPr>
                <w:b/>
                <w:i/>
              </w:rPr>
              <w:t xml:space="preserve">ESMA </w:t>
            </w:r>
            <w:r w:rsidRPr="001371BE">
              <w:t>bør</w:t>
            </w:r>
            <w:r w:rsidRPr="001371BE">
              <w:rPr>
                <w:b/>
                <w:i/>
              </w:rPr>
              <w:t xml:space="preserve"> i tæt samarbejde med ESCB gives mulighed for at udarbejde udkast til reguleringsmæssige tekniske standarder med det sigte at angive målniveauer for</w:t>
            </w:r>
            <w:r w:rsidRPr="001371BE">
              <w:t xml:space="preserve"> afviklingseffektiviteten</w:t>
            </w:r>
            <w:r w:rsidRPr="001371BE">
              <w:rPr>
                <w:b/>
                <w:i/>
              </w:rPr>
              <w:t>, idet der tages hensyn til faktorer såsom</w:t>
            </w:r>
            <w:r w:rsidRPr="001371BE">
              <w:t xml:space="preserve"> </w:t>
            </w:r>
            <w:r w:rsidRPr="001371BE">
              <w:rPr>
                <w:b/>
                <w:bCs/>
                <w:i/>
                <w:iCs/>
              </w:rPr>
              <w:t>finansielle instrumenters</w:t>
            </w:r>
            <w:r w:rsidRPr="001371BE">
              <w:t xml:space="preserve"> likviditet</w:t>
            </w:r>
            <w:r w:rsidRPr="001371BE">
              <w:rPr>
                <w:b/>
                <w:i/>
              </w:rPr>
              <w:t>, transaktionernes grænseoverskridende eller nationale karakter, og de valutaer, som transaktionerne afvikles i</w:t>
            </w:r>
            <w:r w:rsidRPr="001371BE">
              <w:t xml:space="preserve">. De bøder, der er omhandlet i artikel 7, stk. 2, tredje afsnit, i forordning (EU) nr. 909/2014, bør beregnes dagligt for hver forretningsdag, en transaktion ikke afvikles, indtil den faktiske afviklingsdato, </w:t>
            </w:r>
            <w:r w:rsidRPr="001371BE">
              <w:rPr>
                <w:b/>
                <w:bCs/>
                <w:i/>
                <w:iCs/>
              </w:rPr>
              <w:t>eller indtil transaktionen er blevet annulleret bilateralt</w:t>
            </w:r>
            <w:r w:rsidRPr="001371BE">
              <w:t xml:space="preserve">. </w:t>
            </w:r>
            <w:r w:rsidRPr="001371BE">
              <w:rPr>
                <w:b/>
                <w:i/>
              </w:rPr>
              <w:t>For at støtte tilvejebringelsen af præcise, rettidige og fyldestgørende oplysninger om bøderne bør alle de oplysninger, der er nødvendige for at beregne bøderne, centraliseres i det fælles europæiske adgangspunkt.</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6 a (ny)</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4F10B7">
            <w:pPr>
              <w:pStyle w:val="Normal6"/>
              <w:rPr>
                <w:szCs w:val="24"/>
              </w:rPr>
            </w:pPr>
            <w:r w:rsidRPr="001371BE">
              <w:rPr>
                <w:b/>
                <w:i/>
              </w:rPr>
              <w:t>(6a)</w:t>
            </w:r>
            <w:r w:rsidRPr="001371BE">
              <w:rPr>
                <w:b/>
                <w:i/>
              </w:rPr>
              <w:tab/>
              <w:t>Fjernelsen af bestemmelserne om en central modpart i forbindelse med dækningskøb fra forordning (EU) nr. 236/2012 ved forordning (EU) nr. 909/2014 var berettiget på daværende tidspunkt, da disse bestemmelser ville være dækket af bestemmelserne om obligatoriske dækningskøb i sidstnævnte forordning. Bestemmelserne om dækningskøb for clearede aktiehandler bør nu genindføres i forordning (EU) nr. 236/2012 parallelt med fjernelsen af bestemmelserne om obligatoriske dækningskøb fra forordning (EU) nr. 909/2014.</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Fjernelsen af artikel 15 i forordning (EU) nr. 236/2012 (short selling-forordningen) via artikel 72 i forordning (EU) nr. 909/2014 (CSD) trådte i kraft i februar 2022 i henhold til bestemmelserne i artikel 76, stk. 5, i CSD. Dette var berettiget, fordi bestemmelserne i short selling-forordningen og CCP-forordningen om udækket short selling i så tilfælde ville være dækket af CSD MBI-bestemmelserne. I kombination med forsinkelsen af CSD MBI-systemet efterlod fjernelsen af artikel 15 et hul i lovgivningen. Parallelt med forslaget om helt at opgive at anvende CSD MBI-bestemmelserne foreslås det at genindføre disse bestemmelser i short selling-forordningen.</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7</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(7)</w:t>
            </w:r>
            <w:r w:rsidRPr="001371BE">
              <w:rPr>
                <w:b/>
                <w:i/>
              </w:rPr>
              <w:tab/>
              <w:t>For at undgå flere dækningskøb for en transaktion vedrørende det samme finansielle instrument i en kæde af modparter, hvilket kan udløse unødvendige dobbeltomkostninger og påvirke det finansielle instruments likviditet, bør deltagerne i sådanne transaktioner have adgang til en "videregivelsesmekanisme". Hver deltager, der er involveret i transaktionskæden, bør have mulighed for at videregive en dækningskøbsunderretning til den deltager, der forsømmer sine forpligtelser over for disse, indtil den når frem til den oprindelige misligholdende deltager.</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8</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(8)</w:t>
            </w:r>
            <w:r w:rsidRPr="001371BE">
              <w:rPr>
                <w:b/>
                <w:i/>
              </w:rPr>
              <w:tab/>
              <w:t>Obligatoriske dækningskøb og procedurer for kontant kompensation tillader, at sælgeren kan betale forskellen mellem købsprisen og den oprindelige handelspris til køberen, såfremt prisen for dækningskøbet eller referenceprisen for den kontante kompensation er højere end den oprindelige handelspris. Denne asymmetri i betalingen af forskellen kan give anledning til en uretfærdig foranstaltning, som ville være til urimelig fordel for køberen, i tilfælde af at købsprisen eller referenceprisen er lavere end den oprindelige handelspris. Betalingen af forskellen mellem købsprisen og den oprindelige handelspris bør derfor finde anvendelse begge veje for at sikre, at handelsparterne igen omfattes af de samme økonomiske vilkår, som hvis den oprindelige transaktion var blevet gennemført.</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10</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(10)</w:t>
            </w:r>
            <w:r w:rsidRPr="001371BE">
              <w:rPr>
                <w:b/>
                <w:i/>
              </w:rPr>
              <w:tab/>
              <w:t>Hvis obligatoriske dækningskøb finder anvendelse, bør Kommissionen have mulighed for midlertidigt at suspendere anvendelsen heraf i visse ekstraordinære situationer. En sådan suspension bør være mulig for bestemte kategorier af finansielle instrumenter, når det er nødvendigt for at undgå eller imødegå en alvorlig trussel mod den finansielle stabilitet og mod de finansielle markeders velordnede funktion i Unionen. En sådan suspension bør stå i et rimeligt forhold til disse mål.</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11</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(11)</w:t>
            </w:r>
            <w:r w:rsidRPr="001371BE">
              <w:tab/>
              <w:t>Den delegerede retsakt bør tage hensyn til negative rentesatser ved beregningen af bøder for at undgå utilsigtede virkninger for den ikkemisligholdende deltager ved at fjerne eventuelle negative incitamenter til misligholdelse, som kan opstå i et miljø med lave eller negative rentesatser.</w:t>
            </w:r>
          </w:p>
        </w:tc>
        <w:tc>
          <w:tcPr>
            <w:tcW w:w="4876" w:type="dxa"/>
            <w:hideMark/>
          </w:tcPr>
          <w:p w:rsidR="00255CE7" w:rsidRPr="001371BE" w:rsidRDefault="00592AAB">
            <w:pPr>
              <w:pStyle w:val="Normal6"/>
              <w:rPr>
                <w:szCs w:val="24"/>
              </w:rPr>
            </w:pPr>
            <w:r w:rsidRPr="001371BE">
              <w:t>(11)</w:t>
            </w:r>
            <w:r w:rsidRPr="001371BE">
              <w:tab/>
              <w:t xml:space="preserve">Den delegerede retsakt bør tage hensyn til </w:t>
            </w:r>
            <w:r w:rsidRPr="001371BE">
              <w:rPr>
                <w:b/>
                <w:bCs/>
                <w:i/>
                <w:iCs/>
              </w:rPr>
              <w:t xml:space="preserve">muligheden for et miljø med </w:t>
            </w:r>
            <w:r w:rsidRPr="001371BE">
              <w:t>negative rentesatser ved beregningen af bøder for at undgå utilsigtede virkninger for den ikkemisligholdende deltager ved at fjerne eventuelle negative incitamenter til misligholdelse, som kan opstå i et miljø med lave eller negative rentesatser.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12</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(12)</w:t>
            </w:r>
            <w:r w:rsidRPr="001371BE">
              <w:tab/>
              <w:t>ESMA bør udarbejde udkast til reguleringsmæssige tekniske standarder med henblik på at revidere de eksisterende reguleringsmæssige tekniske standarder, således at der tages hensyn til de ændringer, der er foretaget i forordning (EU) nr. 909/2014, og at Kommissionen kan foretage eventuelle nødvendige ændringer med henblik på at præcisere kravene i en sådan reguleringsmæssig teknisk standard,</w:t>
            </w:r>
            <w:r w:rsidRPr="001371BE">
              <w:rPr>
                <w:b/>
                <w:bCs/>
                <w:i/>
                <w:iCs/>
              </w:rPr>
              <w:t xml:space="preserve"> f.eks. de betingelser, på hvilke deltagerne kan gennemføre deres egne dækningskøb</w:t>
            </w:r>
            <w:r w:rsidRPr="001371BE">
              <w:t>.</w:t>
            </w:r>
          </w:p>
        </w:tc>
        <w:tc>
          <w:tcPr>
            <w:tcW w:w="4876" w:type="dxa"/>
            <w:hideMark/>
          </w:tcPr>
          <w:p w:rsidR="00255CE7" w:rsidRPr="001371BE" w:rsidRDefault="00592AAB">
            <w:pPr>
              <w:pStyle w:val="Normal6"/>
              <w:rPr>
                <w:szCs w:val="24"/>
              </w:rPr>
            </w:pPr>
            <w:r w:rsidRPr="001371BE">
              <w:t>(12)</w:t>
            </w:r>
            <w:r w:rsidRPr="001371BE">
              <w:tab/>
              <w:t>ESMA bør udarbejde udkast til reguleringsmæssige tekniske standarder med henblik på at revidere de eksisterende reguleringsmæssige tekniske standarder, således at der tages hensyn til de ændringer, der er foretaget i forordning (EU) nr. 909/2014, og at Kommissionen kan foretage eventuelle nødvendige ændringer med henblik på at præcisere kravene i en sådan reguleringsmæssig teknisk standard.</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10</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14</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(14)</w:t>
            </w:r>
            <w:r w:rsidRPr="001371BE">
              <w:tab/>
              <w:t xml:space="preserve">Mens nationale tilsynsmyndigheder i henhold til forordning (EU) nr. 909/2014 skal samarbejde med og inddrage relevante myndigheder, er nationale tilsynsmyndigheder ikke forpligtet til at underrette nævnte relevante myndigheder, om og hvordan der er taget hensyn til deres holdninger i forbindelse med resultatet af proceduren for meddelelse af tilladelse, og om der er identificeret yderligere problemer i løbet af de årlige revisioner og evalueringer. De relevante myndigheder bør derfor kunne afgive begrundede udtalelser om meddelelsen af tilladelse til CSD'er </w:t>
            </w:r>
            <w:r w:rsidRPr="001371BE">
              <w:rPr>
                <w:b/>
                <w:bCs/>
                <w:i/>
                <w:iCs/>
              </w:rPr>
              <w:t>samt</w:t>
            </w:r>
            <w:r w:rsidRPr="001371BE">
              <w:t xml:space="preserve"> om proceduren for revision og evaluering. De kompetente myndigheder bør tage hensyn til sådanne udtalelser eller i en begrundet afgørelse redegøre for, hvorfor sådanne udtalelser ikke blev fulgt.</w:t>
            </w:r>
          </w:p>
        </w:tc>
        <w:tc>
          <w:tcPr>
            <w:tcW w:w="4876" w:type="dxa"/>
            <w:hideMark/>
          </w:tcPr>
          <w:p w:rsidR="00255CE7" w:rsidRPr="001371BE" w:rsidRDefault="00592AAB">
            <w:pPr>
              <w:pStyle w:val="Normal6"/>
              <w:rPr>
                <w:szCs w:val="24"/>
              </w:rPr>
            </w:pPr>
            <w:r w:rsidRPr="001371BE">
              <w:t>(14)</w:t>
            </w:r>
            <w:r w:rsidRPr="001371BE">
              <w:tab/>
              <w:t>Mens nationale tilsynsmyndigheder i henhold til forordning (EU) nr. 909/2014 skal samarbejde med og inddrage relevante myndigheder, er nationale tilsynsmyndigheder ikke forpligtet til at underrette nævnte relevante myndigheder, om og hvordan der er taget hensyn til deres holdninger i forbindelse med resultatet af proceduren for meddelelse af tilladelse, og om der er identificeret yderligere problemer i løbet af de årlige revisioner og evalueringer. De relevante myndigheder bør derfor kunne afgive begrundede udtalelser om meddelelsen af tilladelse til CSD'er</w:t>
            </w:r>
            <w:r w:rsidRPr="001371BE">
              <w:rPr>
                <w:b/>
                <w:bCs/>
                <w:i/>
                <w:iCs/>
              </w:rPr>
              <w:t>,</w:t>
            </w:r>
            <w:r w:rsidRPr="001371BE">
              <w:t xml:space="preserve"> om proceduren for revision og evaluering </w:t>
            </w:r>
            <w:r w:rsidRPr="001371BE">
              <w:rPr>
                <w:b/>
                <w:bCs/>
                <w:i/>
                <w:iCs/>
              </w:rPr>
              <w:t>af CSD'er, og om revision og evaluering af CSD'er, der leverer bankmæssige accessoriske tjenesteydelser, og som foretages af kompetente myndigheder for så vidt angår CSD'er</w:t>
            </w:r>
            <w:r w:rsidRPr="001371BE">
              <w:t>. De kompetente myndigheder bør tage hensyn til sådanne udtalelser eller i en begrundet afgørelse redegøre for, hvorfor sådanne udtalelser ikke blev fulgt.</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Baseret på ændringsforslag 3 fremsat af ECB i dets udtalelse af 28. juli 2022. Involveringen af de relevante myndigheder i revisionen og evalueringen af bankmæssige accessoriske tjenesteydelser ville være i tråd med involveringen af de relevante myndigheder i forbindelse med meddelelse af tilladelse til levering af bankmæssige accessoriske tjenesteydelser, når den foreslåede forordning fastsætter en høringsprocedure, der involverer de relevante myndigheder.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15</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(15)</w:t>
            </w:r>
            <w:r w:rsidRPr="001371BE">
              <w:tab/>
              <w:t>Regelmæssige revisioner og evalueringer af CSD'er, som foretages af kompetente myndigheder, er nødvendige for at sikre, at CSD'er fortsat indfører passende foranstaltninger, strategier, procedurer og mekanismer for at evaluere de risici, som CSD'en udsættes for eller kan blive udsat for, eller som kan udgøre en trussel mod velfungerende værdipapirmarkeder. Erfaringen har imidlertid vist, at en årlig revision og evaluering er uforholdsmæssigt byrdefuld for både CSD'er og kompetente myndigheder, og at de har en begrænset merværdi. Der bør derfor fastsættes en hyppighed, der er afstemt på mere passende vis, for at lette denne byrde og undgå overlapning af oplysninger fra den ene revision til den anden. De kompetente myndigheders tilsynskapaciteter og målet om at beskytte den finansielle stabilitet bør dog ikke undermineres.</w:t>
            </w:r>
          </w:p>
        </w:tc>
        <w:tc>
          <w:tcPr>
            <w:tcW w:w="4876" w:type="dxa"/>
            <w:hideMark/>
          </w:tcPr>
          <w:p w:rsidR="00255CE7" w:rsidRPr="001371BE" w:rsidRDefault="00592AAB" w:rsidP="004F10B7">
            <w:pPr>
              <w:pStyle w:val="Normal6"/>
              <w:rPr>
                <w:szCs w:val="24"/>
              </w:rPr>
            </w:pPr>
            <w:r w:rsidRPr="001371BE">
              <w:t>(15)</w:t>
            </w:r>
            <w:r w:rsidRPr="001371BE">
              <w:tab/>
              <w:t xml:space="preserve">Regelmæssige revisioner og evalueringer af CSD'er, som foretages af kompetente myndigheder, er nødvendige for at sikre, at CSD'er fortsat indfører passende foranstaltninger, strategier, procedurer og mekanismer for at evaluere de risici, som CSD'en udsættes for eller kan blive udsat for, eller som kan udgøre en trussel mod velfungerende værdipapirmarkeder. Erfaringen har imidlertid vist, at en årlig revision og evaluering er uforholdsmæssigt byrdefuld for både CSD'er og kompetente myndigheder, og at de har en begrænset merværdi. Der bør derfor fastsættes en hyppighed, der er afstemt på mere passende vis, for at lette denne byrde og undgå overlapning af oplysninger fra den ene revision til den anden. </w:t>
            </w:r>
            <w:r w:rsidRPr="001371BE">
              <w:rPr>
                <w:b/>
                <w:i/>
              </w:rPr>
              <w:t>For yderligere at sikre konsistens bør den mindstehyppighed, hvormed de kompetente myndigheder for så vidt angår CSD'er og de kompetente myndigheder, der er omhandlet i artikel 4, stk. 1, nr. 40, i Europa-Parlamentets og Rådets forordning (EU) nr. 575/2013, gennemfører revisioner og evalueringer af bankmæssige accessoriske tjenesteydelser, tilpasses hyppigheden for revision og evaluering af CSD'er.</w:t>
            </w:r>
            <w:r w:rsidRPr="001371BE">
              <w:t xml:space="preserve"> De kompetente myndigheders tilsynskapaciteter og målet om at beskytte den finansielle stabilitet bør dog ikke undermineres.</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Ændringsforslag 4 fremsat af ECB i dets udtalelse af 28. juli 2022. Af hensyn til konsistensen er det fornuftigt at tilpasse den foreslåede mindstehyppighed, hvormed de kompetente myndigheder for så vidt angår CSD'er og de myndigheder, der er omhandlet i artikel 4, stk. 1, nr. 40, i forordning (EU) nr. 575/2013, reviderer og evaluerer overholdelsen af forordningen om bankmæssige accessoriske tjenesteydelser med hensyn til hyppigheden for revisionen og evalueringen af CSD'er. Det foreslås at forlænge hyppigheden af en sådan vurdering til to år.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19</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(19)</w:t>
            </w:r>
            <w:r w:rsidRPr="001371BE">
              <w:tab/>
              <w:t xml:space="preserve">I forordning (EU) nr. 909/2014 stilles der krav om samarbejde mellem myndigheder, der er har interesse i operationerne i CSD'er, som tilbyder tjenesteydelser i forbindelse med finansielle instrumenter, der er udstedt i henhold til lovgivningen i mere end én medlemsstat. Ikke desto mindre er de tilsynsmæssige rammer fortsat fragmenterede og kan føre til forskelle i fordelingen og arten af tilsynsbeføjelser, afhængigt af den pågældende CSD. Dette skaber igen hindringer for grænseoverskridende levering af CSD-tjenesteydelser i Unionen, fastholder den tilbageværende ineffektivitet på Unionens afviklingsmarked og har negative virkninger for stabiliteten på Unionens finansielle markeder. På trods af muligheden for at oprette tilsynskollegier i overensstemmelse med ovennævnte forordnings artikel 24, stk. 4, er denne mulighed er knap nok blevet anvendt. For at sikre en virkningsfuld og effektiv koordinering af de kompetente myndigheders tilsyn bør kravet om oprettelse af obligatoriske tilsynskollegier </w:t>
            </w:r>
            <w:r w:rsidRPr="001371BE">
              <w:rPr>
                <w:b/>
                <w:bCs/>
                <w:i/>
                <w:iCs/>
              </w:rPr>
              <w:t>gælde i to tilfælde</w:t>
            </w:r>
            <w:r w:rsidRPr="001371BE">
              <w:t>.</w:t>
            </w:r>
            <w:r w:rsidRPr="001371BE">
              <w:rPr>
                <w:b/>
                <w:i/>
              </w:rPr>
              <w:t xml:space="preserve"> For det første for CSD'er, som tilbyder registreringsydelser og centrale forvaltningsydelser i tilknytning til finansielle instrumenter, som er udstedt i henhold til lovgivningen i mere end én medlemsstat ("tilsynskollegier under pasordningen"), og for det andet for CSD'er, som tilhører den samme koncern ("tilsynskollegier på koncernplan"). </w:t>
            </w:r>
            <w:r w:rsidRPr="001371BE">
              <w:rPr>
                <w:b/>
                <w:bCs/>
                <w:i/>
                <w:iCs/>
              </w:rPr>
              <w:t>For at reducere den administrative byrde for de myndigheder, der deltager i tilsynskollegier,</w:t>
            </w:r>
            <w:r w:rsidRPr="001371BE">
              <w:t xml:space="preserve"> hvor </w:t>
            </w:r>
            <w:r w:rsidRPr="001371BE">
              <w:rPr>
                <w:b/>
                <w:bCs/>
                <w:i/>
                <w:iCs/>
              </w:rPr>
              <w:t>en CSD, der leverer tjenesteydelser på tværs af grænserne også er del af en koncern af CSD'er, bør formanden for tilsynskollegiet kunne beslutte, at der kun</w:t>
            </w:r>
            <w:r w:rsidRPr="001371BE">
              <w:t xml:space="preserve"> </w:t>
            </w:r>
            <w:r w:rsidRPr="001371BE">
              <w:rPr>
                <w:b/>
                <w:bCs/>
                <w:i/>
                <w:iCs/>
              </w:rPr>
              <w:t>oprettes</w:t>
            </w:r>
            <w:r w:rsidRPr="001371BE">
              <w:t xml:space="preserve"> </w:t>
            </w:r>
            <w:r w:rsidRPr="001371BE">
              <w:rPr>
                <w:b/>
                <w:bCs/>
                <w:i/>
                <w:iCs/>
              </w:rPr>
              <w:t>ét tilsynskollegium for den pågældende CSD</w:t>
            </w:r>
            <w:r w:rsidRPr="001371BE">
              <w:t>.</w:t>
            </w:r>
            <w:r w:rsidRPr="001371BE">
              <w:rPr>
                <w:b/>
                <w:i/>
              </w:rPr>
              <w:t xml:space="preserve"> </w:t>
            </w:r>
            <w:r w:rsidRPr="001371BE">
              <w:rPr>
                <w:b/>
                <w:bCs/>
                <w:i/>
                <w:iCs/>
              </w:rPr>
              <w:t>Hvis de andre CSD'er i koncernen også leverer grænseoverskridende tjenesteydelser, bør formanden for tilsynskollegiet kun kunne træffe denne beslutning, hvis de kompetente</w:t>
            </w:r>
            <w:r w:rsidRPr="001371BE">
              <w:t xml:space="preserve"> </w:t>
            </w:r>
            <w:r w:rsidRPr="001371BE">
              <w:rPr>
                <w:b/>
                <w:bCs/>
                <w:i/>
                <w:iCs/>
              </w:rPr>
              <w:t>myndigheder</w:t>
            </w:r>
            <w:r w:rsidRPr="001371BE">
              <w:t xml:space="preserve"> </w:t>
            </w:r>
            <w:r w:rsidRPr="001371BE">
              <w:rPr>
                <w:b/>
                <w:bCs/>
                <w:i/>
                <w:iCs/>
              </w:rPr>
              <w:t>for disse andre CSD'er giver samtykke hertil</w:t>
            </w:r>
            <w:r w:rsidRPr="001371BE">
              <w:t>.</w:t>
            </w:r>
            <w:r w:rsidRPr="001371BE">
              <w:rPr>
                <w:b/>
                <w:i/>
              </w:rPr>
              <w:t xml:space="preserve"> </w:t>
            </w:r>
            <w:r w:rsidRPr="001371BE">
              <w:rPr>
                <w:b/>
                <w:bCs/>
                <w:i/>
                <w:iCs/>
              </w:rPr>
              <w:t>I så tilfælde vil der kun være ét tilsynskollegium for alle CSD'er i koncernen, som skal varetage de opgaver, som tildeles tilsynskollegier under pasordningen og på koncernplan</w:t>
            </w:r>
            <w:r w:rsidRPr="001371BE">
              <w:t>. Sådanne tilsynskollegier bør sikre, at der udveksles oplysninger, som vedrører de pågældende CSD'er.</w:t>
            </w:r>
          </w:p>
        </w:tc>
        <w:tc>
          <w:tcPr>
            <w:tcW w:w="4876" w:type="dxa"/>
            <w:hideMark/>
          </w:tcPr>
          <w:p w:rsidR="00255CE7" w:rsidRPr="001371BE" w:rsidRDefault="00592AAB">
            <w:pPr>
              <w:pStyle w:val="Normal6"/>
              <w:rPr>
                <w:szCs w:val="24"/>
              </w:rPr>
            </w:pPr>
            <w:r w:rsidRPr="001371BE">
              <w:t>(19)</w:t>
            </w:r>
            <w:r w:rsidRPr="001371BE">
              <w:tab/>
              <w:t xml:space="preserve">I forordning (EU) nr. 909/2014 stilles der krav om samarbejde mellem myndigheder, der er har interesse i operationerne i CSD'er, som tilbyder tjenesteydelser i forbindelse med finansielle instrumenter, der er udstedt i henhold til lovgivningen i mere end én medlemsstat. Ikke desto mindre er de tilsynsmæssige rammer fortsat fragmenterede og kan føre til forskelle i fordelingen og arten af tilsynsbeføjelser, afhængigt af den pågældende CSD. Dette skaber igen hindringer for grænseoverskridende levering af CSD-tjenesteydelser i Unionen, fastholder den tilbageværende ineffektivitet på Unionens afviklingsmarked og har negative virkninger for stabiliteten på Unionens finansielle markeder. På trods af muligheden for at oprette tilsynskollegier i overensstemmelse med ovennævnte forordnings artikel 24, stk. 4, er denne mulighed er knap nok blevet anvendt. For at sikre en virkningsfuld og effektiv koordinering af de kompetente myndigheders tilsyn bør kravet om oprettelse af obligatoriske tilsynskollegier </w:t>
            </w:r>
            <w:r w:rsidRPr="001371BE">
              <w:rPr>
                <w:b/>
                <w:bCs/>
                <w:i/>
                <w:iCs/>
              </w:rPr>
              <w:t xml:space="preserve">baseres på et enkelt eksisterende og troværdigt kriterium, nemlig den væsentlige betydning, som en CSD kan have i en anden jurisdiktion end den, </w:t>
            </w:r>
            <w:r w:rsidRPr="001371BE">
              <w:t xml:space="preserve">hvor </w:t>
            </w:r>
            <w:r w:rsidRPr="001371BE">
              <w:rPr>
                <w:b/>
                <w:bCs/>
                <w:i/>
                <w:iCs/>
              </w:rPr>
              <w:t>den er etableret</w:t>
            </w:r>
            <w:r w:rsidRPr="001371BE">
              <w:t>.</w:t>
            </w:r>
            <w:r w:rsidRPr="001371BE">
              <w:rPr>
                <w:b/>
                <w:i/>
              </w:rPr>
              <w:t xml:space="preserve"> Tærsklen </w:t>
            </w:r>
            <w:r w:rsidRPr="001371BE">
              <w:rPr>
                <w:b/>
                <w:bCs/>
                <w:i/>
                <w:iCs/>
              </w:rPr>
              <w:t>for</w:t>
            </w:r>
            <w:r w:rsidRPr="001371BE">
              <w:t xml:space="preserve"> </w:t>
            </w:r>
            <w:r w:rsidRPr="001371BE">
              <w:rPr>
                <w:b/>
                <w:i/>
              </w:rPr>
              <w:t xml:space="preserve">de kompetente myndigheders oprettelse af et </w:t>
            </w:r>
            <w:r w:rsidRPr="001371BE">
              <w:rPr>
                <w:b/>
                <w:bCs/>
                <w:i/>
                <w:iCs/>
              </w:rPr>
              <w:t>tilsynskollegium</w:t>
            </w:r>
            <w:r w:rsidRPr="001371BE">
              <w:t xml:space="preserve"> </w:t>
            </w:r>
            <w:r w:rsidRPr="001371BE">
              <w:rPr>
                <w:b/>
                <w:i/>
              </w:rPr>
              <w:t>bør opfyldes, såfremt en CSD er af væsentlig betydning i mindst to værtslande</w:t>
            </w:r>
            <w:r w:rsidRPr="001371BE">
              <w:t xml:space="preserve">. Sådanne tilsynskollegier bør sikre, at der udveksles oplysninger, som vedrører de pågældende CSD'er. </w:t>
            </w:r>
            <w:r w:rsidRPr="001371BE">
              <w:rPr>
                <w:b/>
                <w:i/>
              </w:rPr>
              <w:t>Medlemmer af et tilsynskollegium bør have mulighed for at anmode tilsynskollegiet om at vedtage en bindende udtalelse om spørgsmål, der er blevet identificeret i forbindelse med revisions- og evalueringsprocessen for CSD'er, eller i forbindelse med revision og evaluering af leverandører af bankmæssige accessoriske tjenesteydelser, eller som vedrører udvidelse eller outsourcing af aktiviteter og tjenesteydelser, der leveres af CSD'en, eller som vedrører en mulig overtrædelse af kravene i forordning (EU) nr. 909/2014 som følge af levering af tjenesteydelser i et værtsland. Processen for vedtagelse af en sådan udtalelse bør bero på vedtagelse med simpelt flertal.</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25 a (ny)</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8D753F">
            <w:pPr>
              <w:pStyle w:val="Normal6"/>
              <w:rPr>
                <w:szCs w:val="24"/>
              </w:rPr>
            </w:pPr>
            <w:r w:rsidRPr="001371BE">
              <w:rPr>
                <w:b/>
                <w:i/>
              </w:rPr>
              <w:t>(25a)</w:t>
            </w:r>
            <w:r w:rsidRPr="001371BE">
              <w:rPr>
                <w:b/>
                <w:i/>
              </w:rPr>
              <w:tab/>
              <w:t>Nogle CSD'er, der er etableret i Unionen, driver værdipapirafviklingssystemer, der anvender nettingaftaler. Sådanne CSD'er bør i tilstrækkeligt omfang måle, overvåge og styre risici, der opstår som følge af anvendelse af disse nettingaftaler, der træffes med henblik på nettoafregning.</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Ændringsforslag 5 fremsat af ECB i dets udtalelse af 28. juli 2022. Kravet om at overvåge og styre risici, der stammer fra nettingaftaler, bør gælde alle CSD'er, der driver værdipapirafviklingssystemer, der anvender nettingaftaler, uanset om disse CSD'er leverer bankmæssige accessoriske tjenesteydelser eller ej.</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26</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(26)</w:t>
            </w:r>
            <w:r w:rsidRPr="001371BE">
              <w:tab/>
              <w:t>For at undgå afviklingsrisici som følge af afregningsfirmaets insolvens bør en CSD, når det er praktisk muligt, afvikle kontantdelen af værdipapirtransaktionen via konti åbnet hos en centralbank. Hvis denne mulighed ikke er praktisk mulig og tilgængelig, herunder hvis en CSD ikke opfylder betingelserne for at få adgang til en anden centralbank end hjemlandets centralbank, bør nævnte CSD kunne afvikle kontantdelen af transaktioner i fremmed valuta via konti åbnet hos institutter, der er meddelt tilladelse til at levere banktjenesteydelser, på de betingelser, der er fastsat i forordning (EU) nr. 909/2014. Afviklingsmarkedets effektivitet kan bedre styrkes med en forbedring af CSD'ernes muligheder for at foretage afvikling i udenlandsk valuta ved anvendelse af konti åbnet hos institutter, der er meddelt tilladelse til at levere banktjenesteydelser, inden for passende risikogrænser med henblik på at udvide kapitalmarkederne og fremme afvikling på tværs af grænserne. Med henblik herpå bør CSD'er, som er meddelt tilladelse til at levere bankmæssige accessoriske tjenesteydelser i overensstemmelse med forordning (EU) nr. 909/2014, og for hvilke de relevante risici allerede overvåges, kunne tilbyde sådanne tjenesteydelser til andre CSD'er, som ikke er indehavere af en sådan licens, uanset om sidstnævnte indgår i samme virksomhedskoncern.</w:t>
            </w:r>
          </w:p>
        </w:tc>
        <w:tc>
          <w:tcPr>
            <w:tcW w:w="4876" w:type="dxa"/>
            <w:hideMark/>
          </w:tcPr>
          <w:p w:rsidR="00255CE7" w:rsidRPr="001371BE" w:rsidRDefault="00592AAB">
            <w:pPr>
              <w:pStyle w:val="Normal6"/>
              <w:rPr>
                <w:szCs w:val="24"/>
              </w:rPr>
            </w:pPr>
            <w:r w:rsidRPr="001371BE">
              <w:t>(26)</w:t>
            </w:r>
            <w:r w:rsidRPr="001371BE">
              <w:tab/>
              <w:t xml:space="preserve">For at undgå afviklingsrisici som følge af afregningsfirmaets insolvens bør en CSD, når det er praktisk muligt, afvikle kontantdelen af værdipapirtransaktionen via konti åbnet hos en centralbank. Hvis denne mulighed ikke er praktisk mulig og tilgængelig, herunder hvis en CSD ikke opfylder betingelserne for at få adgang til en anden centralbank end hjemlandets centralbank, bør nævnte CSD kunne afvikle kontantdelen af transaktioner i fremmed valuta via konti åbnet hos institutter, der er meddelt tilladelse til at levere banktjenesteydelser, på de betingelser, der er fastsat i forordning (EU) nr. 909/2014. Afviklingsmarkedets effektivitet kan bedre styrkes med en forbedring af CSD'ernes muligheder for at foretage afvikling i udenlandsk valuta ved anvendelse af konti åbnet hos institutter, der er meddelt tilladelse til at levere banktjenesteydelser, inden for passende risikogrænser med henblik på at udvide kapitalmarkederne og fremme afvikling på tværs af grænserne. Med henblik herpå bør CSD'er, som er meddelt tilladelse til at levere bankmæssige accessoriske tjenesteydelser i overensstemmelse med forordning (EU) nr. 909/2014, og for hvilke de relevante risici allerede overvåges, kunne tilbyde sådanne tjenesteydelser til andre CSD'er, som ikke er indehavere af en sådan licens, uanset om sidstnævnte indgår i samme virksomhedskoncern. </w:t>
            </w:r>
            <w:r w:rsidRPr="001371BE">
              <w:rPr>
                <w:b/>
                <w:i/>
              </w:rPr>
              <w:t>Udpegede kreditinstitutter og CSD'er, der har tilladelse til at levere bankmæssige accessoriske tjenesteydelser, bør kun meddeles tilladelse til at levere sådanne tjenesteydelser med henblik på afvikling af den kontantdel, der svarer til transaktionerne i værdipapirafviklingssystemet hos den CSD, der ønsker at gøre brug af de bankmæssige accessoriske tjenesteydelser og ikke ønsker at udføre nogen andre aktiviteter.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Baseret på ændringsforslag 6 fremsat af ECB i dets udtalelse af 28. juli 2022. Omfanget af de tjenesteydelser, der tilbydes af CSD'er, der yder banktjenesteydelser, til CSD'er, der ikke yder banktjenesteydelser, bør begrænses til tjenesteydelser, der leveres med henblik på afvikling i udenlandsk valuta.</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27</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(27)</w:t>
            </w:r>
            <w:r w:rsidRPr="001371BE">
              <w:tab/>
              <w:t xml:space="preserve">Inden for en passende fastsat risikogrænse bør CSD'er, som ikke er meddelt tilladelse til at levere bankmæssige accessoriske tjenesteydelser, kunne tilbyde et tilstrækkeligt omfang af afvikling i fremmed valuta via konti åbnet hos kreditinstitutter </w:t>
            </w:r>
            <w:r w:rsidRPr="001371BE">
              <w:rPr>
                <w:b/>
                <w:bCs/>
                <w:i/>
                <w:iCs/>
              </w:rPr>
              <w:t>eller via deres egen konto</w:t>
            </w:r>
            <w:r w:rsidRPr="001371BE">
              <w:t xml:space="preserve">. Den tærskel, under hvilken en CSD kan udpege et kreditinstitut til at levere bankmæssige accessoriske tjenesteydelser fra en separat juridisk enhed, uden at den er forpligtet til at opfylde betingelserne i afsnit IV i forordning (EU) nr. 909/2014, bør justeres på en måde, der fremmer afviklingseffektiviteten og anvendelse af bankmæssige accessoriske tjenesteydelser, samtidig med at den sikrer finansielle stabilitet. Som et organ med specialiseret ekspertise inden for bank- og kreditrisikospørgsmål bør EBA have ansvar for udarbejdelsen af udkast til reguleringsmæssige tekniske standarder, som skal fastsætte de passende tærskler og </w:t>
            </w:r>
            <w:r w:rsidRPr="001371BE">
              <w:rPr>
                <w:b/>
                <w:bCs/>
                <w:i/>
                <w:iCs/>
              </w:rPr>
              <w:t>om nødvendigt eventuelle</w:t>
            </w:r>
            <w:r w:rsidRPr="001371BE">
              <w:t xml:space="preserve"> risikoreducerende krav. EBA bør også arbejde tæt sammen med medlemmerne af ESCB og ESMA. Kommissionen bør tillægges beføjelse til at vedtage reguleringsmæssige tekniske standarder i overensstemmelse med artikel 290 i traktaten om Den Europæiske Unions funktionsmåde (TEUF) for så vidt angår de detaljerede elementer i fastlæggelsen af levering bankmæssige accessoriske tjenesteydelser, de ledsagende detaljerede oplysninger om risikostyring og kapitalkrav for CSD'er og de tilsynsmæssige krav vedrørende kredit- og likviditetsrisici for CSD'er og udpegede kreditinstitutter, som er meddelt tilladelse til at levere bankmæssige accessoriske tjenesteydelser.</w:t>
            </w:r>
          </w:p>
        </w:tc>
        <w:tc>
          <w:tcPr>
            <w:tcW w:w="4876" w:type="dxa"/>
            <w:hideMark/>
          </w:tcPr>
          <w:p w:rsidR="00255CE7" w:rsidRPr="001371BE" w:rsidRDefault="00592AAB" w:rsidP="008D753F">
            <w:pPr>
              <w:pStyle w:val="Normal6"/>
              <w:rPr>
                <w:szCs w:val="24"/>
              </w:rPr>
            </w:pPr>
            <w:r w:rsidRPr="001371BE">
              <w:t>(27)</w:t>
            </w:r>
            <w:r w:rsidRPr="001371BE">
              <w:tab/>
              <w:t xml:space="preserve">Inden for en passende fastsat risikogrænse bør CSD'er, som ikke er meddelt tilladelse til at levere bankmæssige accessoriske tjenesteydelser, kunne tilbyde et tilstrækkeligt omfang af afvikling i fremmed valuta via konti åbnet hos kreditinstitutter. Den tærskel, under hvilken en CSD kan udpege et kreditinstitut til at levere bankmæssige accessoriske tjenesteydelser fra en separat juridisk enhed, uden at den er forpligtet til at opfylde betingelserne i afsnit IV i forordning (EU) nr. 909/2014, bør justeres på en måde, der fremmer afviklingseffektiviteten og anvendelse af bankmæssige accessoriske tjenesteydelser, samtidig med at den sikrer finansielle stabilitet. </w:t>
            </w:r>
            <w:r w:rsidRPr="001371BE">
              <w:rPr>
                <w:b/>
                <w:i/>
              </w:rPr>
              <w:t>Ved justering af tærsklen bør det undgås at indføre nye risici for CSD'en, det kreditinstitut, der leverer de bankmæssige tjenesteydelser, og banksystemet som helhed. Der bør også sikres lige vilkår for CSD'er, med og uden tilladelse, ved levering af bankmæssige accessoriske tjenesteydelser, med respekt for princippet om "samme aktivitet, samme risiko, samme regler" og baseret på de samlede afviklede beløb.</w:t>
            </w:r>
            <w:r w:rsidRPr="001371BE">
              <w:t xml:space="preserve"> Som et organ med specialiseret ekspertise inden for bank- og kreditrisikospørgsmål bør EBA have ansvar for udarbejdelsen af udkast til reguleringsmæssige tekniske standarder, som skal</w:t>
            </w:r>
            <w:r w:rsidRPr="001371BE">
              <w:rPr>
                <w:b/>
                <w:bCs/>
                <w:i/>
                <w:iCs/>
              </w:rPr>
              <w:t xml:space="preserve"> i) styre levering af tjenesteydelser ydet af CSD'er, der yder banktjenesteydelser, til CSD'er, der ikke yder banktjenesteydelser, og ii)</w:t>
            </w:r>
            <w:r w:rsidRPr="001371BE">
              <w:t xml:space="preserve"> fastsætte de passende tærskler</w:t>
            </w:r>
            <w:r w:rsidRPr="001371BE">
              <w:rPr>
                <w:b/>
                <w:bCs/>
                <w:i/>
                <w:iCs/>
              </w:rPr>
              <w:t xml:space="preserve">, under hensyntagen til indvirkningerne på de forskellige finansielle risici, lige vilkår </w:t>
            </w:r>
            <w:r w:rsidRPr="001371BE">
              <w:t>og</w:t>
            </w:r>
            <w:r w:rsidRPr="001371BE">
              <w:rPr>
                <w:b/>
                <w:bCs/>
                <w:i/>
                <w:iCs/>
              </w:rPr>
              <w:t xml:space="preserve"> den mulige interessekonflikt</w:t>
            </w:r>
            <w:r w:rsidRPr="001371BE">
              <w:t>.</w:t>
            </w:r>
            <w:r w:rsidRPr="001371BE">
              <w:rPr>
                <w:b/>
                <w:i/>
              </w:rPr>
              <w:t xml:space="preserve"> </w:t>
            </w:r>
            <w:r w:rsidRPr="001371BE">
              <w:rPr>
                <w:b/>
                <w:bCs/>
                <w:i/>
                <w:iCs/>
              </w:rPr>
              <w:t>EBA bør også få til opgave at udarbejde</w:t>
            </w:r>
            <w:r w:rsidRPr="001371BE">
              <w:t xml:space="preserve"> risikoreducerende krav. EBA bør også arbejde tæt sammen med medlemmerne af ESCB og ESMA. Kommissionen bør tillægges beføjelse til at vedtage reguleringsmæssige tekniske standarder i overensstemmelse med artikel 290 i traktaten om Den Europæiske Unions funktionsmåde (TEUF) for så vidt angår de detaljerede elementer i fastlæggelsen af levering bankmæssige accessoriske tjenesteydelser, de ledsagende detaljerede oplysninger om risikostyring og kapitalkrav for CSD'er og de tilsynsmæssige krav vedrørende kredit- og likviditetsrisici for CSD'er og udpegede kreditinstitutter, som er meddelt tilladelse til at levere bankmæssige accessoriske tjenesteydelser.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33</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(33)</w:t>
            </w:r>
            <w:r w:rsidRPr="001371BE">
              <w:tab/>
              <w:t xml:space="preserve">Beføjelsen til at vedtage retsakter i overensstemmelse med artikel 290 i TEUF bør delegeres til Kommissionen for nærmere at beskrive den virkning, som misligholdelser kan have i </w:t>
            </w:r>
            <w:r w:rsidRPr="001371BE">
              <w:rPr>
                <w:b/>
                <w:bCs/>
                <w:i/>
                <w:iCs/>
              </w:rPr>
              <w:t>forbindelse med</w:t>
            </w:r>
            <w:r w:rsidRPr="001371BE">
              <w:t xml:space="preserve"> negative rentesatser, for de berørte modparter i relation til beregningen af bøder eller deres negative incitamenter til misligholdelse, de årsager, som forårsager afviklingsfejl, der ikke anses for at kunne tilskrives deltagerne i transaktionen, og de transaktioner, som ikke anses for at involvere to handelsparter, tilsynskollegiernes funktion, de oplysninger, som tredjelandes CSD'er skal indgive, og det maksimumbeløb, under hvilket CSD'er kan anvende et hvilket som helst kreditinstitut til at afvikle kontantbetalingerne.</w:t>
            </w:r>
          </w:p>
        </w:tc>
        <w:tc>
          <w:tcPr>
            <w:tcW w:w="4876" w:type="dxa"/>
            <w:hideMark/>
          </w:tcPr>
          <w:p w:rsidR="00255CE7" w:rsidRPr="001371BE" w:rsidRDefault="00592AAB">
            <w:pPr>
              <w:pStyle w:val="Normal6"/>
              <w:rPr>
                <w:szCs w:val="24"/>
              </w:rPr>
            </w:pPr>
            <w:r w:rsidRPr="001371BE">
              <w:t>(33)</w:t>
            </w:r>
            <w:r w:rsidRPr="001371BE">
              <w:tab/>
              <w:t xml:space="preserve">Beføjelsen til at vedtage retsakter i overensstemmelse med artikel 290 i TEUF bør delegeres til Kommissionen for nærmere at beskrive den virkning, som misligholdelser kan have i </w:t>
            </w:r>
            <w:r w:rsidRPr="001371BE">
              <w:rPr>
                <w:b/>
                <w:bCs/>
                <w:i/>
                <w:iCs/>
              </w:rPr>
              <w:t>tilfælde af et miljø</w:t>
            </w:r>
            <w:r w:rsidRPr="001371BE">
              <w:t xml:space="preserve"> med negative rentesatser, for de berørte modparter i relation til beregningen af bøder eller deres negative incitamenter til misligholdelse, de årsager, som forårsager afviklingsfejl, der ikke anses for at kunne tilskrives deltagerne i transaktionen, og de transaktioner, som ikke anses for at involvere to handelsparter, tilsynskollegiernes funktion, de oplysninger, som tredjelandes CSD'er skal indgive, og det maksimumbeløb, under hvilket CSD'er kan anvende et hvilket som helst kreditinstitut til at afvikle kontantbetalingerne.</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17</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34</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(34)</w:t>
            </w:r>
            <w:r w:rsidRPr="001371BE">
              <w:tab/>
              <w:t>For at sikre ensartede betingelser for gennemførelsen af denne forordning</w:t>
            </w:r>
            <w:r w:rsidRPr="001371BE">
              <w:rPr>
                <w:b/>
                <w:bCs/>
                <w:i/>
                <w:iCs/>
              </w:rPr>
              <w:t>, navnlig med hensyn til anvendelsen og suspensionen af kravene om obligatorisk dækningskøb, hvis disse finder anvendelse,</w:t>
            </w:r>
            <w:r w:rsidRPr="001371BE">
              <w:t xml:space="preserve"> bør Kommissionen tillægges gennemførelsesbeføjelser. Disse beføjelser bør udøves i overensstemmelse med Europa-Parlamentets og Rådets forordning (EU) nr. 182/2011</w:t>
            </w:r>
            <w:r w:rsidRPr="001371BE">
              <w:rPr>
                <w:vertAlign w:val="superscript"/>
              </w:rPr>
              <w:t>43</w:t>
            </w:r>
            <w:r w:rsidRPr="001371BE">
              <w:t>.</w:t>
            </w:r>
          </w:p>
        </w:tc>
        <w:tc>
          <w:tcPr>
            <w:tcW w:w="4876" w:type="dxa"/>
            <w:hideMark/>
          </w:tcPr>
          <w:p w:rsidR="00255CE7" w:rsidRPr="001371BE" w:rsidRDefault="00592AAB">
            <w:pPr>
              <w:pStyle w:val="Normal6"/>
              <w:rPr>
                <w:szCs w:val="24"/>
              </w:rPr>
            </w:pPr>
            <w:r w:rsidRPr="001371BE">
              <w:t>(34)</w:t>
            </w:r>
            <w:r w:rsidRPr="001371BE">
              <w:tab/>
              <w:t>For at sikre ensartede betingelser for gennemførelsen af denne forordning bør Kommissionen tillægges gennemførelsesbeføjelser. Disse beføjelser bør udøves i overensstemmelse med Europa-Parlamentets og Rådets forordning (EU) nr. 182/2011</w:t>
            </w:r>
            <w:r w:rsidRPr="001371BE">
              <w:rPr>
                <w:vertAlign w:val="superscript"/>
              </w:rPr>
              <w:t>43</w:t>
            </w:r>
            <w:r w:rsidRPr="001371BE">
              <w:t>.</w:t>
            </w:r>
          </w:p>
        </w:tc>
      </w:tr>
      <w:tr w:rsidR="00024A66" w:rsidRPr="001371BE" w:rsidTr="00255CE7">
        <w:trPr>
          <w:jc w:val="center"/>
        </w:trPr>
        <w:tc>
          <w:tcPr>
            <w:tcW w:w="4876" w:type="dxa"/>
            <w:hideMark/>
          </w:tcPr>
          <w:p w:rsidR="00255CE7" w:rsidRPr="001371BE" w:rsidRDefault="00592AAB">
            <w:pPr>
              <w:pStyle w:val="Normal6"/>
            </w:pPr>
            <w:r w:rsidRPr="001371BE">
              <w:t>__________________</w:t>
            </w:r>
          </w:p>
        </w:tc>
        <w:tc>
          <w:tcPr>
            <w:tcW w:w="4876" w:type="dxa"/>
            <w:hideMark/>
          </w:tcPr>
          <w:p w:rsidR="00255CE7" w:rsidRPr="001371BE" w:rsidRDefault="00592AAB">
            <w:pPr>
              <w:pStyle w:val="Normal6"/>
              <w:rPr>
                <w:szCs w:val="24"/>
              </w:rPr>
            </w:pPr>
            <w:r w:rsidRPr="001371BE">
              <w:t>__________________</w:t>
            </w:r>
          </w:p>
        </w:tc>
      </w:tr>
      <w:tr w:rsidR="00024A66" w:rsidRPr="001371BE" w:rsidTr="00255CE7">
        <w:trPr>
          <w:jc w:val="center"/>
        </w:trPr>
        <w:tc>
          <w:tcPr>
            <w:tcW w:w="4876" w:type="dxa"/>
            <w:hideMark/>
          </w:tcPr>
          <w:p w:rsidR="00255CE7" w:rsidRPr="001371BE" w:rsidRDefault="00592AAB">
            <w:pPr>
              <w:pStyle w:val="Normal6"/>
            </w:pPr>
            <w:r w:rsidRPr="001371BE">
              <w:rPr>
                <w:vertAlign w:val="superscript"/>
              </w:rPr>
              <w:t>43</w:t>
            </w:r>
            <w:r w:rsidRPr="001371BE">
              <w:t xml:space="preserve"> Europa-Parlamentets og Rådets forordning (EU) nr. 182/2011 af 16. februar 2011 om de generelle regler og principper for, hvordan medlemsstaterne skal kontrollere Kommissionens udøvelse af gennemførelsesbeføjelser (EUT L 55 af 28.2.2011, s. 13).</w:t>
            </w:r>
          </w:p>
        </w:tc>
        <w:tc>
          <w:tcPr>
            <w:tcW w:w="4876" w:type="dxa"/>
            <w:hideMark/>
          </w:tcPr>
          <w:p w:rsidR="00255CE7" w:rsidRPr="001371BE" w:rsidRDefault="00592AAB">
            <w:pPr>
              <w:pStyle w:val="Normal6"/>
              <w:rPr>
                <w:szCs w:val="24"/>
              </w:rPr>
            </w:pPr>
            <w:r w:rsidRPr="001371BE">
              <w:rPr>
                <w:vertAlign w:val="superscript"/>
              </w:rPr>
              <w:t>43</w:t>
            </w:r>
            <w:r w:rsidRPr="001371BE">
              <w:t xml:space="preserve"> Europa-Parlamentets og Rådets forordning (EU) nr. 182/2011 af 16. februar 2011 om de generelle regler og principper for, hvordan medlemsstaterne skal kontrollere Kommissionens udøvelse af gennemførelsesbeføjelser (EUT L 55 af 28.2.2011, s. 13).</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18</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36</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(36)</w:t>
            </w:r>
            <w:r w:rsidRPr="001371BE">
              <w:tab/>
              <w:t>Anvendelsen af det reviderede anvendelsesområde for reglerne om bøder, de nye krav vedrørende oprettelse af tilsynskollegier, indgivelsen af en underretning fra tredjelandes CSD'er om de kerneydelser, de leverer i tilknytning til finansielle instrumenter, som er oprettet i henhold til en medlemsstats lovgivning, den reviderede tærskel, under hvilken kreditinstitutter kan tilbyde at afvikle kontantbetalingerne for en del af CSD'ens værdipapirafviklingssystem, og de reviderede tilsynsmæssige krav, som finder anvendelsen på kreditinstitutter eller CSD'er, der er meddelt tilladelse til at levere bankmæssige accessoriske tjenesteydelser i henhold til artikel 59 i forordning (EU) nr. 909/2014, bør udskydes for at give tilstrækkelig tid til at vedtage de nødvendige delegerede retsakter, som yderligere præciserer sådanne krav —</w:t>
            </w:r>
          </w:p>
        </w:tc>
        <w:tc>
          <w:tcPr>
            <w:tcW w:w="4876" w:type="dxa"/>
            <w:hideMark/>
          </w:tcPr>
          <w:p w:rsidR="00255CE7" w:rsidRPr="001371BE" w:rsidRDefault="00592AAB" w:rsidP="008D753F">
            <w:pPr>
              <w:pStyle w:val="Normal6"/>
              <w:rPr>
                <w:szCs w:val="24"/>
              </w:rPr>
            </w:pPr>
            <w:r w:rsidRPr="001371BE">
              <w:t>(36)</w:t>
            </w:r>
            <w:r w:rsidRPr="001371BE">
              <w:tab/>
              <w:t>Anvendelsen af det reviderede anvendelsesområde for reglerne om bøder, de nye krav vedrørende oprettelse af tilsynskollegier, indgivelsen af en underretning fra tredjelandes CSD'er om de kerneydelser, de leverer i tilknytning til finansielle instrumenter, som er oprettet i henhold til en medlemsstats lovgivning, den reviderede tærskel, under hvilken kreditinstitutter kan tilbyde at afvikle kontantbetalingerne for en del af CSD'ens værdipapirafviklingssystem, og de reviderede tilsynsmæssige krav, som finder anvendelsen på kreditinstitutter eller CSD'er, der er meddelt tilladelse til at levere bankmæssige accessoriske tjenesteydelser i henhold til artikel 59 i forordning (EU) nr. 909/2014, bør udskydes for at give tilstrækkelig tid til at vedtage de nødvendige delegerede retsakter, som yderligere præciserer sådanne krav</w:t>
            </w:r>
            <w:r w:rsidRPr="001371BE">
              <w:rPr>
                <w:b/>
                <w:bCs/>
                <w:i/>
                <w:iCs/>
              </w:rPr>
              <w:t>.</w:t>
            </w:r>
            <w:r w:rsidRPr="001371BE">
              <w:rPr>
                <w:b/>
                <w:i/>
              </w:rPr>
              <w:t xml:space="preserve"> For at give CSD'er og deltagerne på de finansielle markeder tilstrækkelig tid til at tilpasse deres systemer bør 24-månedersperioden mellem datoen for vedtagelse af denne forordning og datoen for anvendelsen af det ændrede anvendelsesområde for ordningen for afviklingsdisciplin først være datoen for vedtagelsen af Kommissionens relevante delegerede retsakter.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19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Betragtning 36 a (ny)</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8D753F">
            <w:pPr>
              <w:pStyle w:val="Normal6"/>
              <w:rPr>
                <w:szCs w:val="24"/>
              </w:rPr>
            </w:pPr>
            <w:r w:rsidRPr="001371BE">
              <w:rPr>
                <w:b/>
                <w:i/>
              </w:rPr>
              <w:t>(36a)</w:t>
            </w:r>
            <w:r w:rsidRPr="001371BE">
              <w:rPr>
                <w:b/>
                <w:i/>
              </w:rPr>
              <w:tab/>
              <w:t>For at sikre konsekvens i registreringen bør udstedere, som benytter en CSD's tjenesteydelser, identificeres ved hjælp af en entydig kode i form af en LEI-kode (Legal Entity Identifier). Anvendelsen af en LEI er allerede et krav i Kommissionens gennemførelsesforordning (EU) 2017/394 med henblik på indberetningsformål, når CSD'er skal levere oplysninger til de kompetente myndigheder.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LEI-koden er et krav for flere forskellige enheder i henhold til talrige regler, hvoraf ingen finder direkte anvendelse for alle udstedere. F.eks. gælder LEI-forpligtelsen i henhold til prospektforordningen kun for EU-udstedere, hvilket stiller dem dårligere i forhold til udstedere uden for EU. Kommissionens gennemførelsesforordning ITS (EU) 2017/394 er rettet mod CSD'er, som måske ikke altid har midlerne til at pålægge udstederne dette. Dette ændringsforslag pålægger alle udstedere en direkte forpligtelse til at opnå en LEI-kode uden at forårsage markedsforstyrrelser, da kravet allerede findes for CSD'er, og anden lovgivning allerede dækker kravet for størstedelen af udstederne.</w:t>
      </w:r>
    </w:p>
    <w:p w:rsidR="00255CE7" w:rsidRPr="001371BE" w:rsidRDefault="00592AAB" w:rsidP="00255CE7">
      <w:r w:rsidRPr="001371BE">
        <w:rPr>
          <w:rStyle w:val="HideTWBExt"/>
          <w:noProof w:val="0"/>
        </w:rPr>
        <w:t>&lt;/Amend&gt;</w:t>
      </w:r>
    </w:p>
    <w:p w:rsidR="005A2B0C" w:rsidRPr="001371BE" w:rsidRDefault="00592AAB" w:rsidP="005A2B0C">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20</w:t>
      </w:r>
      <w:r w:rsidRPr="001371BE">
        <w:rPr>
          <w:rStyle w:val="HideTWBExt"/>
          <w:b w:val="0"/>
          <w:noProof w:val="0"/>
        </w:rPr>
        <w:t>&lt;/NumAm&gt;</w:t>
      </w:r>
    </w:p>
    <w:p w:rsidR="005A2B0C" w:rsidRPr="001371BE" w:rsidRDefault="00592AAB" w:rsidP="005A2B0C">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5A2B0C" w:rsidRPr="001371BE" w:rsidRDefault="00592AAB" w:rsidP="005A2B0C">
      <w:pPr>
        <w:pStyle w:val="NormalBold"/>
      </w:pPr>
      <w:r w:rsidRPr="001371BE">
        <w:rPr>
          <w:rStyle w:val="HideTWBExt"/>
          <w:b w:val="0"/>
          <w:noProof w:val="0"/>
        </w:rPr>
        <w:t>&lt;Article&gt;</w:t>
      </w:r>
      <w:r w:rsidRPr="001371BE">
        <w:t>Artikel 1 – stk. 1 – nr. 1 a (nyt)</w:t>
      </w:r>
      <w:r w:rsidRPr="001371BE">
        <w:rPr>
          <w:rStyle w:val="HideTWBExt"/>
          <w:b w:val="0"/>
          <w:noProof w:val="0"/>
        </w:rPr>
        <w:t>&lt;/Article&gt;</w:t>
      </w:r>
    </w:p>
    <w:p w:rsidR="005A2B0C" w:rsidRPr="001371BE" w:rsidRDefault="00592AAB" w:rsidP="005A2B0C">
      <w:pPr>
        <w:keepNext/>
      </w:pPr>
      <w:r w:rsidRPr="001371BE">
        <w:rPr>
          <w:rStyle w:val="HideTWBExt"/>
          <w:noProof w:val="0"/>
        </w:rPr>
        <w:t>&lt;DocAmend2&gt;</w:t>
      </w:r>
      <w:r w:rsidRPr="001371BE">
        <w:t>Forordning (EU) nr. 909/2014</w:t>
      </w:r>
      <w:r w:rsidRPr="001371BE">
        <w:rPr>
          <w:rStyle w:val="HideTWBExt"/>
          <w:noProof w:val="0"/>
        </w:rPr>
        <w:t>&lt;/DocAmend2&gt;</w:t>
      </w:r>
    </w:p>
    <w:p w:rsidR="005A2B0C" w:rsidRPr="001371BE" w:rsidRDefault="00592AAB" w:rsidP="005A2B0C">
      <w:r w:rsidRPr="001371BE">
        <w:rPr>
          <w:rStyle w:val="HideTWBExt"/>
          <w:noProof w:val="0"/>
        </w:rPr>
        <w:t>&lt;Article2&gt;</w:t>
      </w:r>
      <w:r w:rsidRPr="001371BE">
        <w:t>Artikel 2 – stk. 1 – nr. 26</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BE0ADC">
        <w:trPr>
          <w:jc w:val="center"/>
        </w:trPr>
        <w:tc>
          <w:tcPr>
            <w:tcW w:w="9752" w:type="dxa"/>
            <w:gridSpan w:val="2"/>
          </w:tcPr>
          <w:p w:rsidR="005A2B0C" w:rsidRPr="001371BE" w:rsidRDefault="005A2B0C" w:rsidP="005A2B0C">
            <w:pPr>
              <w:keepNext/>
            </w:pPr>
          </w:p>
        </w:tc>
      </w:tr>
      <w:tr w:rsidR="00024A66" w:rsidRPr="001371BE" w:rsidTr="00BE0ADC">
        <w:trPr>
          <w:jc w:val="center"/>
        </w:trPr>
        <w:tc>
          <w:tcPr>
            <w:tcW w:w="4876" w:type="dxa"/>
            <w:hideMark/>
          </w:tcPr>
          <w:p w:rsidR="005A2B0C" w:rsidRPr="001371BE" w:rsidRDefault="00592AAB" w:rsidP="005A2B0C">
            <w:pPr>
              <w:pStyle w:val="ColumnHeading"/>
              <w:keepNext/>
            </w:pPr>
            <w:r w:rsidRPr="001371BE">
              <w:t>Gældende ordlyd</w:t>
            </w:r>
          </w:p>
        </w:tc>
        <w:tc>
          <w:tcPr>
            <w:tcW w:w="4876" w:type="dxa"/>
            <w:hideMark/>
          </w:tcPr>
          <w:p w:rsidR="005A2B0C" w:rsidRPr="001371BE" w:rsidRDefault="00592AAB" w:rsidP="005A2B0C">
            <w:pPr>
              <w:pStyle w:val="ColumnHeading"/>
              <w:keepNext/>
            </w:pPr>
            <w:r w:rsidRPr="001371BE">
              <w:t>Ændringsforslag</w:t>
            </w:r>
          </w:p>
        </w:tc>
      </w:tr>
      <w:tr w:rsidR="00024A66" w:rsidRPr="001371BE" w:rsidTr="00BE0ADC">
        <w:trPr>
          <w:jc w:val="center"/>
        </w:trPr>
        <w:tc>
          <w:tcPr>
            <w:tcW w:w="4876" w:type="dxa"/>
          </w:tcPr>
          <w:p w:rsidR="005A2B0C" w:rsidRPr="001371BE" w:rsidRDefault="005A2B0C" w:rsidP="005A2B0C">
            <w:pPr>
              <w:pStyle w:val="Normal6"/>
            </w:pPr>
          </w:p>
        </w:tc>
        <w:tc>
          <w:tcPr>
            <w:tcW w:w="4876" w:type="dxa"/>
            <w:hideMark/>
          </w:tcPr>
          <w:p w:rsidR="005A2B0C" w:rsidRPr="001371BE" w:rsidRDefault="00592AAB" w:rsidP="005A2B0C">
            <w:pPr>
              <w:pStyle w:val="Normal6"/>
              <w:rPr>
                <w:szCs w:val="24"/>
              </w:rPr>
            </w:pPr>
            <w:r w:rsidRPr="001371BE">
              <w:rPr>
                <w:b/>
                <w:i/>
              </w:rPr>
              <w:t>(1a)</w:t>
            </w:r>
            <w:r w:rsidRPr="001371BE">
              <w:rPr>
                <w:b/>
                <w:i/>
              </w:rPr>
              <w:tab/>
              <w:t>Artikel 2, stk. 1, nr. 26), affattes således:</w:t>
            </w:r>
          </w:p>
        </w:tc>
      </w:tr>
      <w:tr w:rsidR="00024A66" w:rsidRPr="001371BE" w:rsidTr="00BE0ADC">
        <w:trPr>
          <w:jc w:val="center"/>
        </w:trPr>
        <w:tc>
          <w:tcPr>
            <w:tcW w:w="4876" w:type="dxa"/>
            <w:hideMark/>
          </w:tcPr>
          <w:p w:rsidR="005A2B0C" w:rsidRPr="001371BE" w:rsidRDefault="00592AAB" w:rsidP="005A2B0C">
            <w:pPr>
              <w:pStyle w:val="Normal6"/>
            </w:pPr>
            <w:r w:rsidRPr="001371BE">
              <w:t>26) "misligholdelse" i forhold til en deltager : en situation, hvor der indledes insolvensbehandling som defineret i artikel 2, litra j), i direktiv 98/26/EF mod en deltager</w:t>
            </w:r>
          </w:p>
        </w:tc>
        <w:tc>
          <w:tcPr>
            <w:tcW w:w="4876" w:type="dxa"/>
            <w:hideMark/>
          </w:tcPr>
          <w:p w:rsidR="005A2B0C" w:rsidRPr="001371BE" w:rsidRDefault="00592AAB" w:rsidP="000C0D9C">
            <w:pPr>
              <w:pStyle w:val="Normal6"/>
              <w:rPr>
                <w:szCs w:val="24"/>
              </w:rPr>
            </w:pPr>
            <w:r w:rsidRPr="001371BE">
              <w:t>"26)</w:t>
            </w:r>
            <w:r w:rsidRPr="001371BE">
              <w:rPr>
                <w:b/>
                <w:i/>
              </w:rPr>
              <w:tab/>
            </w:r>
            <w:r w:rsidRPr="001371BE">
              <w:t>"misligholdelse" i forhold til en deltager : en situation, hvor der indledes insolvensbehandling som defineret i artikel 2, litra j), i direktiv 98/26/EF mod en deltager</w:t>
            </w:r>
            <w:r w:rsidRPr="001371BE">
              <w:rPr>
                <w:b/>
                <w:bCs/>
                <w:i/>
                <w:iCs/>
              </w:rPr>
              <w:t>, eller en hændelse, der i henhold til en CSD's interne regler</w:t>
            </w:r>
            <w:r w:rsidRPr="001371BE">
              <w:rPr>
                <w:b/>
                <w:bCs/>
              </w:rPr>
              <w:t xml:space="preserve"> </w:t>
            </w:r>
            <w:r w:rsidRPr="001371BE">
              <w:rPr>
                <w:b/>
                <w:bCs/>
                <w:i/>
                <w:iCs/>
              </w:rPr>
              <w:t>udgør en misligholdelse"</w:t>
            </w:r>
          </w:p>
        </w:tc>
      </w:tr>
    </w:tbl>
    <w:p w:rsidR="005A2B0C" w:rsidRPr="001371BE" w:rsidRDefault="00592AAB" w:rsidP="005A2B0C">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5A2B0C" w:rsidRPr="001371BE" w:rsidRDefault="00592AAB" w:rsidP="005A2B0C">
      <w:pPr>
        <w:pStyle w:val="CrossRef"/>
      </w:pPr>
      <w:r w:rsidRPr="001371BE">
        <w:t>(https://eur-lex.europa.eu/legal-content/DA/TXT/PDF/?uri=CELEX:02014R0909-20220622&amp;qid=1665050653870&amp;from=EN)</w:t>
      </w:r>
    </w:p>
    <w:p w:rsidR="005A2B0C" w:rsidRPr="001371BE" w:rsidRDefault="00592AAB" w:rsidP="005A2B0C">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5A2B0C" w:rsidRPr="001371BE" w:rsidRDefault="00592AAB" w:rsidP="005A2B0C">
      <w:pPr>
        <w:pStyle w:val="Normal12Italic"/>
        <w:rPr>
          <w:noProof w:val="0"/>
        </w:rPr>
      </w:pPr>
      <w:r w:rsidRPr="001371BE">
        <w:rPr>
          <w:noProof w:val="0"/>
        </w:rPr>
        <w:t>Baseret på ændringsforslag 7 fremsat af ECB i dets udtalelse af 28. juli 2022. Det foreslås at tilpasse definitionen på "misligholdelse" til definitionen i principperne for infrastrukturer på det finansielle marked, der er udgivet af CPSS og IOSCO, og som henviser til hændelser, der i henhold til en CSD's interne regler udgør en misligholdelse. Den sidste ledsætning i ECB's foreslåede ændringsforslag kan ikke accepteres, da vi af forsigtighedshensyn ønsker at undgå triggere, der automatisk udløser en misligholdelse – CSD'er bør bevare fleksibiliteten til at beslutte, hvorvidt en deltager skal anses for misligholdende.</w:t>
      </w:r>
    </w:p>
    <w:p w:rsidR="005A2B0C" w:rsidRPr="001371BE" w:rsidRDefault="00592AAB" w:rsidP="005A2B0C">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 b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5D3009" w:rsidRPr="001371BE" w:rsidRDefault="00592AAB" w:rsidP="00BE0ADC">
      <w:r w:rsidRPr="001371BE">
        <w:rPr>
          <w:rStyle w:val="HideTWBExt"/>
          <w:noProof w:val="0"/>
        </w:rPr>
        <w:t>&lt;Article2&gt;</w:t>
      </w:r>
      <w:r w:rsidRPr="001371BE">
        <w:t>Artikel 2 – stk. 1 – nr. 44</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8D753F">
            <w:pPr>
              <w:pStyle w:val="Normal6"/>
              <w:rPr>
                <w:szCs w:val="24"/>
              </w:rPr>
            </w:pPr>
            <w:r w:rsidRPr="001371BE">
              <w:rPr>
                <w:b/>
                <w:i/>
              </w:rPr>
              <w:t>1b)</w:t>
            </w:r>
            <w:r w:rsidRPr="001371BE">
              <w:rPr>
                <w:b/>
                <w:i/>
              </w:rPr>
              <w:tab/>
              <w:t>I artikel 2, stk. 1, indsættes følgende litra:</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"28a)</w:t>
            </w:r>
            <w:r w:rsidRPr="001371BE">
              <w:rPr>
                <w:b/>
                <w:i/>
              </w:rPr>
              <w:tab/>
              <w:t>"netting" som defineret i artikel 2, litra k), i direktiv 98/26/EF"</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Ændringsforslag 8 fremsat af ECB i dets udtalelse af 28. juli 2022. Som afspejlet i flere af principperne i principperne for infrastrukturer på det finansielle marked, der er udgivet af Betalings- og Værdipapirafviklingsudvalget (CPPSS) og Den Internationale Børstilsynsorganisation (IOSCO), er der behov for specifikke krav for at håndtere risici som følge af CSD'ers nettingaftaler. De bør finde anvendelse på alle CSD'er, der driver værdipapirafviklingssystemer, uanset om disse CSD'er leverer bankmæssige accessoriske tjenesteydelser eller ej.</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 c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 – stk. 1 – nr. 44</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1c)</w:t>
            </w:r>
            <w:r w:rsidRPr="001371BE">
              <w:rPr>
                <w:b/>
                <w:i/>
              </w:rPr>
              <w:tab/>
              <w:t>I artikel 2, stk. 1, udgår nr. 44).</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Der er ikke længere behov for en definition på "SMV-vækstmarked", hvis muligheden for obligatoriske dækningskøb helt opgives. Se ændringsforslagene til artikel 7.</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a</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2 – afsnit 3</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"Sanktionsmekanismen omhandlet i første afsnit skal omfatte bøder for deltagere, der forårsager afviklingsfejl ("misligholdende deltagere"), undtagen når disse afviklingsfejl skyldes faktorer, som ikke kan tilskrives deltagerne i transaktionen, eller for operationer, som ikke involverer to handelsparter. Bøderne beregnes dagligt for hver forretningsdag, en transaktion ikke afvikles efter den planlagte afviklingsdato, indtil afslutningen af </w:t>
            </w:r>
            <w:r w:rsidRPr="001371BE">
              <w:rPr>
                <w:b/>
                <w:bCs/>
                <w:i/>
                <w:iCs/>
              </w:rPr>
              <w:t>den i stk. 3-8 omhandlede dækningskøbsprocedure, som skal anvendes i henhold til stk. 2a, eller indtil</w:t>
            </w:r>
            <w:r w:rsidRPr="001371BE">
              <w:t xml:space="preserve"> den faktiske afviklingsdato</w:t>
            </w:r>
            <w:r w:rsidRPr="001371BE">
              <w:rPr>
                <w:b/>
                <w:bCs/>
                <w:i/>
                <w:iCs/>
              </w:rPr>
              <w:t>, afhængigt af hvad der indtræffer først</w:t>
            </w:r>
            <w:r w:rsidRPr="001371BE">
              <w:t>. Bøderne må ikke udformes som en indtægtskilde for CSD'er."</w:t>
            </w:r>
          </w:p>
        </w:tc>
        <w:tc>
          <w:tcPr>
            <w:tcW w:w="4876" w:type="dxa"/>
            <w:hideMark/>
          </w:tcPr>
          <w:p w:rsidR="00255CE7" w:rsidRPr="001371BE" w:rsidRDefault="00592AAB">
            <w:pPr>
              <w:pStyle w:val="Normal6"/>
              <w:rPr>
                <w:szCs w:val="24"/>
              </w:rPr>
            </w:pPr>
            <w:r w:rsidRPr="001371BE">
              <w:t>"Sanktionsmekanismen omhandlet i første afsnit skal omfatte bøder for deltagere, der forårsager afviklingsfejl ("misligholdende deltagere"), undtagen når disse afviklingsfejl skyldes faktorer, som ikke kan tilskrives deltagerne i transaktionen, eller for operationer, som ikke involverer to handelsparter. Bøderne beregnes dagligt for hver forretningsdag, en transaktion ikke afvikles efter den planlagte afviklingsdato, indtil afslutningen af den faktiske afviklingsdato</w:t>
            </w:r>
            <w:r w:rsidRPr="001371BE">
              <w:rPr>
                <w:b/>
                <w:bCs/>
                <w:i/>
                <w:iCs/>
              </w:rPr>
              <w:t>, eller indtil transaktionen er blevet annulleret bilateralt</w:t>
            </w:r>
            <w:r w:rsidRPr="001371BE">
              <w:t>. Bøderne må ikke udformes som en indtægtskilde for CSD'er."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Forekomsten af obligatoriske dækningskøb, der er fastsat i en forordning, er en væsentlig indblanding i gennemførelsen af værdipapirtransaktioner og værdipapirmarkedernes funktion. På grund af de indvirkninger, som gennemførelsen af Kommissionens obligatoriske dækningskøb kan få, herunder manglende adgang til en dækningskøbsagent, foreslås det helt at afvise muligheden for obligatoriske dækningskøb. At afvise hele anvendelsen af obligatoriske dækningskøb er også ECB's foretrukne tilgang, som det kommer til udtryk i dets udtalelse af 28. juli 2022 (se nr.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b</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F22666" w:rsidRPr="001371BE" w:rsidRDefault="00592AAB">
            <w:pPr>
              <w:pStyle w:val="Normal6"/>
              <w:rPr>
                <w:b/>
                <w:i/>
              </w:rPr>
            </w:pPr>
            <w:r w:rsidRPr="001371BE">
              <w:rPr>
                <w:b/>
                <w:i/>
              </w:rPr>
              <w:t>(b) Som stk. 2a indsættes:</w:t>
            </w:r>
          </w:p>
          <w:p w:rsidR="00255CE7" w:rsidRPr="001371BE" w:rsidRDefault="00592AAB">
            <w:pPr>
              <w:pStyle w:val="Normal6"/>
            </w:pPr>
            <w:r w:rsidRPr="001371BE">
              <w:t>"</w:t>
            </w:r>
            <w:r w:rsidRPr="001371BE">
              <w:rPr>
                <w:b/>
                <w:i/>
              </w:rPr>
              <w:t>2a.</w:t>
            </w:r>
            <w:r w:rsidRPr="001371BE">
              <w:rPr>
                <w:b/>
                <w:i/>
              </w:rPr>
              <w:tab/>
              <w:t>Uden at det berører sanktionsmekanismen omhandlet i nærværende artikels stk. 2 og retten til bilateralt at annullere transaktionen, kan Kommissionen ved hjælp af en gennemførelsesretsakt beslutte, på hvilket af de finansielle instrumenter i artikel 5, stk. 1, eller på hvilke af disse finansielle instrumenters transaktionskategorier, de foranstaltninger vedrørende afviklingsdisciplin, der er omhandlet i nærværende artikels stk. 3-8, skal anvendes, hvis Kommissionen finder, at nævnte foranstaltninger udgør et forholdsmæssigt middel til at afhjælpe omfanget af afviklingsfejl i Unionen, og at følgende betingelser er opfyldt på grundlag af antallet og omfanget af afviklingsfejl:</w:t>
            </w:r>
          </w:p>
        </w:tc>
        <w:tc>
          <w:tcPr>
            <w:tcW w:w="4876" w:type="dxa"/>
            <w:hideMark/>
          </w:tcPr>
          <w:p w:rsidR="00255CE7" w:rsidRPr="001371BE" w:rsidRDefault="00592AAB">
            <w:pPr>
              <w:pStyle w:val="Normal6"/>
              <w:rPr>
                <w:szCs w:val="24"/>
              </w:rPr>
            </w:pPr>
            <w:r w:rsidRPr="001371BE">
              <w:rPr>
                <w:b/>
                <w:i/>
              </w:rPr>
              <w:t>udgår</w:t>
            </w:r>
          </w:p>
        </w:tc>
      </w:tr>
      <w:tr w:rsidR="00024A66" w:rsidRPr="001371BE" w:rsidTr="00255CE7">
        <w:trPr>
          <w:jc w:val="center"/>
        </w:trPr>
        <w:tc>
          <w:tcPr>
            <w:tcW w:w="4876" w:type="dxa"/>
            <w:hideMark/>
          </w:tcPr>
          <w:p w:rsidR="00255CE7" w:rsidRPr="001371BE" w:rsidRDefault="00592AAB">
            <w:pPr>
              <w:pStyle w:val="Normal6"/>
            </w:pPr>
            <w:r w:rsidRPr="001371BE">
              <w:rPr>
                <w:b/>
                <w:i/>
              </w:rPr>
              <w:t>(a)</w:t>
            </w:r>
            <w:r w:rsidRPr="001371BE">
              <w:rPr>
                <w:b/>
                <w:i/>
              </w:rPr>
              <w:tab/>
              <w:t>anvendelsen af sanktionsmekanismen i form af bøder i stk. 2 har ikke resulteret i en langsigtet og vedvarende reduktion af afviklingsfejl i Unionen</w:t>
            </w:r>
          </w:p>
        </w:tc>
        <w:tc>
          <w:tcPr>
            <w:tcW w:w="4876" w:type="dxa"/>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pPr>
              <w:pStyle w:val="Normal6"/>
            </w:pPr>
            <w:r w:rsidRPr="001371BE">
              <w:rPr>
                <w:b/>
                <w:i/>
              </w:rPr>
              <w:t>(b)</w:t>
            </w:r>
            <w:r w:rsidRPr="001371BE">
              <w:rPr>
                <w:b/>
                <w:i/>
              </w:rPr>
              <w:tab/>
              <w:t>afviklingseffektiviteten i Unionen har ikke har nået et passende niveau i betragtning af situationen på tredjelandes kapitalmarkeder, som er sammenlignelige med hensyn til størrelse, likviditet samt de instrumenter, der handles, og de transaktionstyper, der gennemføres på sådanne markeder</w:t>
            </w:r>
          </w:p>
        </w:tc>
        <w:tc>
          <w:tcPr>
            <w:tcW w:w="4876" w:type="dxa"/>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pPr>
              <w:pStyle w:val="Normal6"/>
            </w:pPr>
            <w:r w:rsidRPr="001371BE">
              <w:rPr>
                <w:b/>
                <w:i/>
              </w:rPr>
              <w:t>(c)</w:t>
            </w:r>
            <w:r w:rsidRPr="001371BE">
              <w:rPr>
                <w:b/>
                <w:i/>
              </w:rPr>
              <w:tab/>
              <w:t>omfanget af afviklingsfejl i Unionen har eller vil sandsynligvis have en negativ indvirkning på den finansielle stabilitet i Unionen.</w:t>
            </w:r>
          </w:p>
        </w:tc>
        <w:tc>
          <w:tcPr>
            <w:tcW w:w="4876" w:type="dxa"/>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rsidP="005A2B0C">
            <w:pPr>
              <w:pStyle w:val="Normal6"/>
            </w:pPr>
            <w:r w:rsidRPr="001371BE">
              <w:rPr>
                <w:b/>
                <w:i/>
              </w:rPr>
              <w:t>Gennemførelsesretsakten vedtages efter undersøgelsesproceduren i artikel 68, stk. 2."</w:t>
            </w:r>
          </w:p>
        </w:tc>
        <w:tc>
          <w:tcPr>
            <w:tcW w:w="4876" w:type="dxa"/>
          </w:tcPr>
          <w:p w:rsidR="00255CE7" w:rsidRPr="001371BE" w:rsidRDefault="00255CE7">
            <w:pPr>
              <w:pStyle w:val="Normal6"/>
              <w:rPr>
                <w:szCs w:val="24"/>
              </w:rPr>
            </w:pP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Forekomsten af obligatoriske dækningskøb, der er fastsat i en forordning, er en væsentlig indblanding i gennemførelsen af værdipapirtransaktioner og værdipapirmarkedernes funktion. På grund af de indvirkninger, som gennemførelsen af Kommissionens obligatoriske dækningskøb kan få, herunder manglende adgang til en dækningskøbsagent, foreslås det helt at afvise muligheden for obligatoriske dækningskøb. At afvise hele anvendelsen af obligatoriske dækningskøb er også ECB's foretrukne tilgang, som det kommer til udtryk i dets udtalelse af 28. juli 2022 (se nr.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b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2 b (nyt)</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ba)</w:t>
            </w:r>
            <w:r w:rsidRPr="001371BE">
              <w:rPr>
                <w:b/>
                <w:i/>
              </w:rPr>
              <w:tab/>
              <w:t>Følgende indsættes som stk. 2b:</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5B690D">
            <w:pPr>
              <w:pStyle w:val="Normal6"/>
              <w:rPr>
                <w:szCs w:val="24"/>
              </w:rPr>
            </w:pPr>
            <w:r w:rsidRPr="001371BE">
              <w:t xml:space="preserve">"2b. </w:t>
            </w:r>
            <w:r w:rsidRPr="001371BE">
              <w:rPr>
                <w:b/>
                <w:i/>
              </w:rPr>
              <w:tab/>
              <w:t>For at støtte tilvejebringelsen af præcise, rettidige og fyldestgørende oplysninger om bøder, centraliseres alle oplysninger, der er nødvendige til beregning af bødebeløb, i det fælles europæiske adgangspunkt, der drives af ESMA i henhold til forordning ... [ESAP-forordningen]. Sådanne oplysninger skal omfatte listen over finansielle instrumenter, der falder ind under denne forordnings anvendelsesområde, samt den daglige referencepris og det enkelte instruments kategori."</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I dag indhentes referencedata fra mange forskellige lokaliteter, hvilket kræver en betydelig indsats fra markedsdeltagernes side og begrænser deres mulighed for effektivt at overvåge deres eksponering for bøder. At konsolidere oplysningerne i en enkelt kilde såsom det kommende fælles europæiske adgangspunkt (ESAP) ville være en stor forbedring.</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c</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3</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rPr>
                <w:b/>
                <w:i/>
              </w:rPr>
            </w:pPr>
            <w:r w:rsidRPr="001371BE">
              <w:t>c)</w:t>
            </w:r>
            <w:r w:rsidRPr="001371BE">
              <w:tab/>
              <w:t xml:space="preserve">Stk. 3 </w:t>
            </w:r>
            <w:r w:rsidRPr="001371BE">
              <w:rPr>
                <w:b/>
                <w:i/>
              </w:rPr>
              <w:t>affattes således:</w:t>
            </w:r>
          </w:p>
        </w:tc>
        <w:tc>
          <w:tcPr>
            <w:tcW w:w="4876" w:type="dxa"/>
            <w:hideMark/>
          </w:tcPr>
          <w:p w:rsidR="00255CE7" w:rsidRPr="001371BE" w:rsidRDefault="00592AAB">
            <w:pPr>
              <w:pStyle w:val="Normal6"/>
              <w:rPr>
                <w:b/>
                <w:i/>
              </w:rPr>
            </w:pPr>
            <w:r w:rsidRPr="001371BE">
              <w:t>c)</w:t>
            </w:r>
            <w:r w:rsidRPr="001371BE">
              <w:tab/>
              <w:t xml:space="preserve">Stk. 3 </w:t>
            </w:r>
            <w:r w:rsidRPr="001371BE">
              <w:rPr>
                <w:b/>
                <w:i/>
              </w:rPr>
              <w:t>udgår</w:t>
            </w:r>
          </w:p>
        </w:tc>
      </w:tr>
      <w:tr w:rsidR="00024A66" w:rsidRPr="001371BE" w:rsidTr="00255CE7">
        <w:trPr>
          <w:jc w:val="center"/>
        </w:trPr>
        <w:tc>
          <w:tcPr>
            <w:tcW w:w="4876" w:type="dxa"/>
            <w:hideMark/>
          </w:tcPr>
          <w:p w:rsidR="00255CE7" w:rsidRPr="001371BE" w:rsidRDefault="00592AAB">
            <w:pPr>
              <w:pStyle w:val="Normal6"/>
            </w:pPr>
            <w:r w:rsidRPr="001371BE">
              <w:rPr>
                <w:b/>
                <w:i/>
              </w:rPr>
              <w:t>3.</w:t>
            </w:r>
            <w:r w:rsidRPr="001371BE">
              <w:rPr>
                <w:b/>
                <w:i/>
              </w:rPr>
              <w:tab/>
              <w:t>Hvis Kommissionen har vedtaget en gennemførelsesretsakt i henhold til stk. 2a, og hvis den misligholdende deltager ikke har leveret de finansielle instrumenter, der er omfattet af den pågældende gennemførelsesretsakt, til den modtagende deltager inden for en periode efter den planlagte afviklingsdato ("forlængelsesperioden"), som svarer til fire forretningsdage, igangsættes der en dækningskøbsprocedure, hvorved de pågældende instrumenter stilles til rådighed for afvikling og leveres til den modtagende deltager inden for en rimelig tidsfrist.</w:t>
            </w:r>
          </w:p>
        </w:tc>
        <w:tc>
          <w:tcPr>
            <w:tcW w:w="4876" w:type="dxa"/>
            <w:hideMark/>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pPr>
              <w:pStyle w:val="Normal6"/>
            </w:pPr>
            <w:r w:rsidRPr="001371BE">
              <w:rPr>
                <w:b/>
                <w:i/>
              </w:rPr>
              <w:t>Når transaktionen vedrører et finansielt instrument, der handles på et SMV-vækstmarked, er forlængelsesperioden 15 kalenderdage, medmindre SMV-vækstmarkedet beslutter at anvende en kortere periode."</w:t>
            </w:r>
          </w:p>
        </w:tc>
        <w:tc>
          <w:tcPr>
            <w:tcW w:w="4876" w:type="dxa"/>
          </w:tcPr>
          <w:p w:rsidR="00255CE7" w:rsidRPr="001371BE" w:rsidRDefault="00255CE7">
            <w:pPr>
              <w:pStyle w:val="Normal6"/>
              <w:rPr>
                <w:szCs w:val="24"/>
              </w:rPr>
            </w:pP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Eksistensen af reguleringsmæssige obligatoriske dækningskøb er et betydeligt indgreb i gennemførelsen af værdipapirtransaktioner og værdipapirmarkedernes funktion. På grund af de virkninger, som Kommissionens indførelse af obligatoriske dækningskøb kan have, herunder med hensyn til muligheden for, at der ikke er en dækningskøbsagent til rådighed, foreslås det at afskaffe muligheden for obligatoriske dækningskøb fuldstændigt. En fuldstændig afskaffelse af brugen af obligatoriske dækningskøb er også ECB's foretrukne tilgang som beskrevet i dets udtalelse af 28. juli 2022 (jf. punkt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27</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d</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3a</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471062">
        <w:trPr>
          <w:jc w:val="center"/>
        </w:trPr>
        <w:tc>
          <w:tcPr>
            <w:tcW w:w="9752" w:type="dxa"/>
            <w:gridSpan w:val="2"/>
          </w:tcPr>
          <w:p w:rsidR="00255CE7" w:rsidRPr="001371BE" w:rsidRDefault="00255CE7">
            <w:pPr>
              <w:keepNext/>
            </w:pPr>
          </w:p>
        </w:tc>
      </w:tr>
      <w:tr w:rsidR="00024A66" w:rsidRPr="001371BE" w:rsidTr="00471062">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471062">
        <w:trPr>
          <w:jc w:val="center"/>
        </w:trPr>
        <w:tc>
          <w:tcPr>
            <w:tcW w:w="4876" w:type="dxa"/>
            <w:hideMark/>
          </w:tcPr>
          <w:p w:rsidR="00255CE7" w:rsidRPr="001371BE" w:rsidRDefault="00592AAB">
            <w:pPr>
              <w:pStyle w:val="Normal6"/>
            </w:pPr>
            <w:r w:rsidRPr="001371BE">
              <w:rPr>
                <w:b/>
                <w:i/>
              </w:rPr>
              <w:t>d)</w:t>
            </w:r>
            <w:r w:rsidRPr="001371BE">
              <w:rPr>
                <w:b/>
                <w:i/>
              </w:rPr>
              <w:tab/>
              <w:t>Følgende stk. 3a indsættes:</w:t>
            </w:r>
          </w:p>
        </w:tc>
        <w:tc>
          <w:tcPr>
            <w:tcW w:w="4876" w:type="dxa"/>
            <w:hideMark/>
          </w:tcPr>
          <w:p w:rsidR="00255CE7" w:rsidRPr="001371BE" w:rsidRDefault="00592AAB">
            <w:pPr>
              <w:pStyle w:val="Normal6"/>
              <w:rPr>
                <w:szCs w:val="24"/>
              </w:rPr>
            </w:pPr>
            <w:r w:rsidRPr="001371BE">
              <w:rPr>
                <w:b/>
                <w:i/>
              </w:rPr>
              <w:t>udgår</w:t>
            </w:r>
          </w:p>
        </w:tc>
      </w:tr>
      <w:tr w:rsidR="00024A66" w:rsidRPr="001371BE" w:rsidTr="00471062">
        <w:trPr>
          <w:jc w:val="center"/>
        </w:trPr>
        <w:tc>
          <w:tcPr>
            <w:tcW w:w="4876" w:type="dxa"/>
            <w:hideMark/>
          </w:tcPr>
          <w:p w:rsidR="00255CE7" w:rsidRPr="001371BE" w:rsidRDefault="00592AAB">
            <w:pPr>
              <w:pStyle w:val="Normal6"/>
            </w:pPr>
            <w:r w:rsidRPr="001371BE">
              <w:rPr>
                <w:b/>
                <w:i/>
              </w:rPr>
              <w:t>3a.</w:t>
            </w:r>
            <w:r w:rsidRPr="001371BE">
              <w:rPr>
                <w:b/>
                <w:i/>
              </w:rPr>
              <w:tab/>
              <w:t>Hvis en modtagende deltager (den "mellemliggende modtagende deltager") ikke modtager de finansielle instrumenter senest på datoen i stk. 3, hvilket fører til en misligholdt videre levering af disse finansielle instrumenter til en anden modtagende deltager (den "endelige modtagende deltager"), anses den mellemliggende modtagende deltager for at opfylde forpligtelsen til at gennemføre et dækningskøb over for den misligholdende deltager, hvis den endelige modtagende deltager gennemfører dækningskøbet for disse finansielle instrumenter. På samme måde kan den mellemliggende modtagende deltager videregive sine forpligtelser over for den endelige modtagende til den misligholdende deltager i henhold til stk. 6, 7, og 8."</w:t>
            </w:r>
          </w:p>
        </w:tc>
        <w:tc>
          <w:tcPr>
            <w:tcW w:w="4876" w:type="dxa"/>
          </w:tcPr>
          <w:p w:rsidR="00255CE7" w:rsidRPr="001371BE" w:rsidRDefault="00255CE7">
            <w:pPr>
              <w:pStyle w:val="Normal6"/>
              <w:rPr>
                <w:szCs w:val="24"/>
              </w:rPr>
            </w:pP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Eksistensen af reguleringsmæssige obligatoriske dækningskøb er et betydeligt indgreb i gennemførelsen af værdipapirtransaktioner og værdipapirmarkedernes funktion. På grund af de virkninger, som Kommissionens indførelse af obligatoriske dækningskøb kan have, herunder med hensyn til muligheden for, at der ikke er en dækningskøbsagent til rådighed, foreslås det at afskaffe muligheden for obligatoriske dækningskøb fuldstændigt. En fuldstændig afskaffelse af brugen af obligatoriske dækningskøb er også ECB's foretrukne tilgang som beskrevet i dets udtalelse af 28. juli 2022 (jf. punkt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28</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e</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4</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7F5E49" w:rsidRPr="001371BE" w:rsidRDefault="00592AAB">
            <w:pPr>
              <w:pStyle w:val="Normal6"/>
              <w:rPr>
                <w:b/>
                <w:i/>
              </w:rPr>
            </w:pPr>
            <w:r w:rsidRPr="001371BE">
              <w:t>e)</w:t>
            </w:r>
            <w:r w:rsidRPr="001371BE">
              <w:tab/>
              <w:t xml:space="preserve">Stk. 4 </w:t>
            </w:r>
            <w:r w:rsidRPr="001371BE">
              <w:rPr>
                <w:b/>
                <w:i/>
              </w:rPr>
              <w:t>affattes således:</w:t>
            </w:r>
          </w:p>
        </w:tc>
        <w:tc>
          <w:tcPr>
            <w:tcW w:w="4876" w:type="dxa"/>
          </w:tcPr>
          <w:p w:rsidR="007F5E49" w:rsidRPr="001371BE" w:rsidRDefault="00592AAB">
            <w:pPr>
              <w:pStyle w:val="Normal6"/>
              <w:rPr>
                <w:b/>
                <w:i/>
              </w:rPr>
            </w:pPr>
            <w:r w:rsidRPr="001371BE">
              <w:t>e)</w:t>
            </w:r>
            <w:r w:rsidRPr="001371BE">
              <w:tab/>
              <w:t xml:space="preserve">Stk. 4 </w:t>
            </w:r>
            <w:r w:rsidRPr="001371BE">
              <w:rPr>
                <w:b/>
                <w:i/>
              </w:rPr>
              <w:t>udgår</w:t>
            </w:r>
          </w:p>
        </w:tc>
      </w:tr>
      <w:tr w:rsidR="00024A66" w:rsidRPr="001371BE" w:rsidTr="00255CE7">
        <w:trPr>
          <w:jc w:val="center"/>
        </w:trPr>
        <w:tc>
          <w:tcPr>
            <w:tcW w:w="4876" w:type="dxa"/>
            <w:hideMark/>
          </w:tcPr>
          <w:p w:rsidR="00255CE7" w:rsidRPr="001371BE" w:rsidRDefault="00592AAB">
            <w:pPr>
              <w:pStyle w:val="Normal6"/>
            </w:pPr>
            <w:r w:rsidRPr="001371BE">
              <w:rPr>
                <w:b/>
                <w:i/>
              </w:rPr>
              <w:t>4.</w:t>
            </w:r>
            <w:r w:rsidRPr="001371BE">
              <w:rPr>
                <w:b/>
                <w:i/>
              </w:rPr>
              <w:tab/>
              <w:t>Uden at det berører stk. 3a anvendes følgende undtagelser på kravet i stk. 3:</w:t>
            </w:r>
          </w:p>
        </w:tc>
        <w:tc>
          <w:tcPr>
            <w:tcW w:w="4876" w:type="dxa"/>
            <w:hideMark/>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pPr>
              <w:pStyle w:val="Normal6"/>
            </w:pPr>
            <w:r w:rsidRPr="001371BE">
              <w:rPr>
                <w:b/>
                <w:i/>
              </w:rPr>
              <w:t>a)</w:t>
            </w:r>
            <w:r w:rsidRPr="001371BE">
              <w:rPr>
                <w:b/>
                <w:i/>
              </w:rPr>
              <w:tab/>
              <w:t>Baseret på aktivtype og de berørte finansielle instrumenters likviditet kan forlængelsesperioden øges fra fire forretningsdage op til højst syv forretningsdage, såfremt en kortere forlængelsesperiode ville påvirke de berørte finansielle markeders gnidningsløse og velordnede funktion.</w:t>
            </w:r>
          </w:p>
        </w:tc>
        <w:tc>
          <w:tcPr>
            <w:tcW w:w="4876" w:type="dxa"/>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pPr>
              <w:pStyle w:val="Normal6"/>
            </w:pPr>
            <w:r w:rsidRPr="001371BE">
              <w:rPr>
                <w:b/>
                <w:i/>
              </w:rPr>
              <w:t>b)</w:t>
            </w:r>
            <w:r w:rsidRPr="001371BE">
              <w:rPr>
                <w:b/>
                <w:i/>
              </w:rPr>
              <w:tab/>
              <w:t>For så vidt angår operationer, der er sammensat af flere transaktioner, herunder tilbagekøb af værdipapirer eller aftaler om udlån, finder den i stk. 3 omhandlede dækningskøbsprocedure ikke anvendelse, såfremt tidsfristen for de pågældende operationer er tilstrækkeligt kort og gør dækningskøbsproceduren virkningsløs.</w:t>
            </w:r>
          </w:p>
        </w:tc>
        <w:tc>
          <w:tcPr>
            <w:tcW w:w="4876" w:type="dxa"/>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pPr>
              <w:pStyle w:val="Normal6"/>
            </w:pPr>
            <w:r w:rsidRPr="001371BE">
              <w:rPr>
                <w:b/>
                <w:i/>
              </w:rPr>
              <w:t>c)</w:t>
            </w:r>
            <w:r w:rsidRPr="001371BE">
              <w:rPr>
                <w:b/>
                <w:i/>
              </w:rPr>
              <w:tab/>
              <w:t>For afviklingsfejl, der opstår af årsager, som ikke kan tilskrives deltagerne, finder dækningskøbsproceduren i stk. 3 ikke anvendelse.</w:t>
            </w:r>
          </w:p>
        </w:tc>
        <w:tc>
          <w:tcPr>
            <w:tcW w:w="4876" w:type="dxa"/>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pPr>
              <w:pStyle w:val="Normal6"/>
            </w:pPr>
            <w:r w:rsidRPr="001371BE">
              <w:rPr>
                <w:b/>
                <w:i/>
              </w:rPr>
              <w:t>d)</w:t>
            </w:r>
            <w:r w:rsidRPr="001371BE">
              <w:rPr>
                <w:b/>
                <w:i/>
              </w:rPr>
              <w:tab/>
              <w:t>For transaktioner, der ikke involverer to handelsparter, finder dækningskøbsproceduren i stk. 3 ikke anvendelse."</w:t>
            </w:r>
          </w:p>
        </w:tc>
        <w:tc>
          <w:tcPr>
            <w:tcW w:w="4876" w:type="dxa"/>
          </w:tcPr>
          <w:p w:rsidR="00255CE7" w:rsidRPr="001371BE" w:rsidRDefault="00255CE7">
            <w:pPr>
              <w:pStyle w:val="Normal6"/>
              <w:rPr>
                <w:szCs w:val="24"/>
              </w:rPr>
            </w:pP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Eksistensen af reguleringsmæssige obligatoriske dækningskøb er et betydeligt indgreb i gennemførelsen af værdipapirtransaktioner og værdipapirmarkedernes funktion. På grund af de virkninger, som Kommissionens indførelse af obligatoriske dækningskøb kan have, herunder med hensyn til muligheden for, at der ikke er en dækningskøbsagent til rådighed, foreslås det at afskaffe muligheden for obligatoriske dækningskøb fuldstændigt. En fuldstændig afskaffelse af brugen af obligatoriske dækningskøb er også ECB's foretrukne tilgang som beskrevet i dets udtalelse af 28. juli 2022 (jf. punkt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29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e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5</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rPr>
                <w:b/>
                <w:i/>
              </w:rPr>
            </w:pPr>
          </w:p>
        </w:tc>
        <w:tc>
          <w:tcPr>
            <w:tcW w:w="4876" w:type="dxa"/>
            <w:hideMark/>
          </w:tcPr>
          <w:p w:rsidR="00255CE7" w:rsidRPr="001371BE" w:rsidRDefault="00592AAB" w:rsidP="005B690D">
            <w:pPr>
              <w:pStyle w:val="Normal6"/>
              <w:rPr>
                <w:szCs w:val="24"/>
              </w:rPr>
            </w:pPr>
            <w:r w:rsidRPr="001371BE">
              <w:rPr>
                <w:b/>
                <w:i/>
              </w:rPr>
              <w:t>ea)</w:t>
            </w:r>
            <w:r w:rsidRPr="001371BE">
              <w:rPr>
                <w:b/>
                <w:i/>
              </w:rPr>
              <w:tab/>
              <w:t>stk. 5 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Eksistensen af reguleringsmæssige obligatoriske dækningskøb er et betydeligt indgreb i gennemførelsen af værdipapirtransaktioner og værdipapirmarkedernes funktion. På grund af de virkninger, som Kommissionens indførelse af obligatoriske dækningskøb kan have, herunder med hensyn til muligheden for, at der ikke er en dækningskøbsagent til rådighed, foreslås det at afskaffe muligheden for obligatoriske dækningskøb fuldstændigt. En fuldstændig afskaffelse af brugen af obligatoriske dækningskøb er også ECB's foretrukne tilgang som beskrevet i dets udtalelse af 28. juli 2022 (jf. punkt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30</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 xml:space="preserve">Artikel 1 – stk. 1 – nr. 2 – litra f </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6</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f)</w:t>
            </w:r>
            <w:r w:rsidRPr="001371BE">
              <w:tab/>
              <w:t xml:space="preserve">Stk. 6 </w:t>
            </w:r>
            <w:r w:rsidRPr="001371BE">
              <w:rPr>
                <w:b/>
                <w:i/>
              </w:rPr>
              <w:t>affattes således:</w:t>
            </w:r>
          </w:p>
        </w:tc>
        <w:tc>
          <w:tcPr>
            <w:tcW w:w="4876" w:type="dxa"/>
            <w:hideMark/>
          </w:tcPr>
          <w:p w:rsidR="00255CE7" w:rsidRPr="001371BE" w:rsidRDefault="00592AAB">
            <w:pPr>
              <w:pStyle w:val="Normal6"/>
              <w:rPr>
                <w:szCs w:val="24"/>
              </w:rPr>
            </w:pPr>
            <w:r w:rsidRPr="001371BE">
              <w:t>f)</w:t>
            </w:r>
            <w:r w:rsidRPr="001371BE">
              <w:tab/>
              <w:t xml:space="preserve">Stk. 6 </w:t>
            </w:r>
            <w:r w:rsidRPr="001371BE">
              <w:rPr>
                <w:b/>
                <w:i/>
              </w:rPr>
              <w:t>udgår</w:t>
            </w:r>
          </w:p>
        </w:tc>
      </w:tr>
      <w:tr w:rsidR="00024A66" w:rsidRPr="001371BE" w:rsidTr="00255CE7">
        <w:trPr>
          <w:jc w:val="center"/>
        </w:trPr>
        <w:tc>
          <w:tcPr>
            <w:tcW w:w="4876" w:type="dxa"/>
          </w:tcPr>
          <w:p w:rsidR="007F5E49" w:rsidRPr="001371BE" w:rsidRDefault="00592AAB">
            <w:pPr>
              <w:pStyle w:val="Normal6"/>
              <w:rPr>
                <w:b/>
                <w:i/>
              </w:rPr>
            </w:pPr>
            <w:r w:rsidRPr="001371BE">
              <w:rPr>
                <w:b/>
                <w:i/>
              </w:rPr>
              <w:t>6. Såfremt prisen på de finansielle instrumenter, som blev aftalt på handelstidspunktet, er forskellig fra den pris, der betales for gennemførelsen af dækningskøbet, betaler den deltager, som drager fordel af en sådan prisforskel, den tilsvarende forskel til den anden deltager senest på den anden forretningsdag, efter at de finansielle instrumenter er blevet leveret i tilslutning til dækningskøbet, uden at dette berører de i stk. 2 omhandlede sanktionsmekanismer."</w:t>
            </w:r>
          </w:p>
        </w:tc>
        <w:tc>
          <w:tcPr>
            <w:tcW w:w="4876" w:type="dxa"/>
          </w:tcPr>
          <w:p w:rsidR="007F5E49" w:rsidRPr="001371BE" w:rsidRDefault="007F5E49">
            <w:pPr>
              <w:pStyle w:val="Normal6"/>
            </w:pP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Eksistensen af reguleringsmæssige obligatoriske dækningskøb er et betydeligt indgreb i gennemførelsen af værdipapirtransaktioner og værdipapirmarkedernes funktion. På grund af de virkninger, som Kommissionens indførelse af obligatoriske dækningskøb kan have, herunder med hensyn til muligheden for, at der ikke er en dækningskøbsagent til rådighed, foreslås det at afskaffe muligheden for obligatoriske dækningskøb fuldstændigt. En fuldstændig afskaffelse af brugen af obligatoriske dækningskøb er også ECB's foretrukne tilgang som beskrevet i dets udtalelse af 28. juli 2022 (jf. punkt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f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7 og 8</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fa)</w:t>
            </w:r>
            <w:r w:rsidRPr="001371BE">
              <w:rPr>
                <w:b/>
                <w:i/>
              </w:rPr>
              <w:tab/>
              <w:t>Stk. 7 og 8 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Eksistensen af reguleringsmæssige obligatoriske dækningskøb er et betydeligt indgreb i gennemførelsen af værdipapirtransaktioner og værdipapirmarkedernes funktion. På grund af de virkninger, som Kommissionens indførelse af obligatoriske dækningskøb kan have, herunder med hensyn til muligheden for, at der ikke er en dækningskøbsagent til rådighed, foreslås det at afskaffe muligheden for obligatoriske dækningskøb fuldstændigt. En fuldstændig afskaffelse af brugen af obligatoriske dækningskøb er også ECB's foretrukne tilgang som beskrevet i dets udtalelse af 28. juli 2022 (jf. punkt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g</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11 – afsnit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Hvis en CCP lider tab som følge af anvendelsen artikel 7, stk. 2, tredje afsnit, kan CCP'en i sine regler indføre en mekanisme til dækning af sådanne tab."</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Dette afsnit er ikke længere relevant, hvis brugen af obligatoriske dækningskøb afskaffes fuldstændigt. Jf. ændringsforslag til artikel 7, stk. 2, tredje afsnit.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h</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13a</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BE0ADC">
        <w:trPr>
          <w:jc w:val="center"/>
        </w:trPr>
        <w:tc>
          <w:tcPr>
            <w:tcW w:w="9752" w:type="dxa"/>
            <w:gridSpan w:val="2"/>
          </w:tcPr>
          <w:p w:rsidR="00255CE7" w:rsidRPr="001371BE" w:rsidRDefault="00255CE7">
            <w:pPr>
              <w:keepNext/>
            </w:pPr>
          </w:p>
        </w:tc>
      </w:tr>
      <w:tr w:rsidR="00024A66" w:rsidRPr="001371BE" w:rsidTr="00BE0ADC">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BE0ADC">
        <w:trPr>
          <w:jc w:val="center"/>
        </w:trPr>
        <w:tc>
          <w:tcPr>
            <w:tcW w:w="4876" w:type="dxa"/>
            <w:hideMark/>
          </w:tcPr>
          <w:p w:rsidR="00255CE7" w:rsidRPr="001371BE" w:rsidRDefault="00592AAB">
            <w:pPr>
              <w:pStyle w:val="Normal6"/>
            </w:pPr>
            <w:r w:rsidRPr="001371BE">
              <w:rPr>
                <w:b/>
                <w:i/>
              </w:rPr>
              <w:t>h)</w:t>
            </w:r>
            <w:r w:rsidRPr="001371BE">
              <w:rPr>
                <w:b/>
                <w:i/>
              </w:rPr>
              <w:tab/>
              <w:t>Følgende stk. 13a indsættes:</w:t>
            </w:r>
          </w:p>
        </w:tc>
        <w:tc>
          <w:tcPr>
            <w:tcW w:w="4876" w:type="dxa"/>
            <w:hideMark/>
          </w:tcPr>
          <w:p w:rsidR="00255CE7" w:rsidRPr="001371BE" w:rsidRDefault="00592AAB">
            <w:pPr>
              <w:pStyle w:val="Normal6"/>
              <w:rPr>
                <w:szCs w:val="24"/>
              </w:rPr>
            </w:pPr>
            <w:r w:rsidRPr="001371BE">
              <w:rPr>
                <w:b/>
                <w:i/>
              </w:rPr>
              <w:t>udgår</w:t>
            </w:r>
          </w:p>
        </w:tc>
      </w:tr>
      <w:tr w:rsidR="00024A66" w:rsidRPr="001371BE" w:rsidTr="00BE0ADC">
        <w:trPr>
          <w:jc w:val="center"/>
        </w:trPr>
        <w:tc>
          <w:tcPr>
            <w:tcW w:w="4876" w:type="dxa"/>
            <w:hideMark/>
          </w:tcPr>
          <w:p w:rsidR="00255CE7" w:rsidRPr="001371BE" w:rsidRDefault="00592AAB">
            <w:pPr>
              <w:pStyle w:val="Normal6"/>
            </w:pPr>
            <w:r w:rsidRPr="001371BE">
              <w:rPr>
                <w:b/>
                <w:i/>
              </w:rPr>
              <w:t xml:space="preserve">"13a. </w:t>
            </w:r>
            <w:r w:rsidRPr="001371BE">
              <w:rPr>
                <w:b/>
                <w:i/>
              </w:rPr>
              <w:tab/>
              <w:t>ESMA kan henstille til Kommissionen, at den på forholdsmæssig vis suspenderer dækningskøbsmekanismen i stk. 3-8 for bestemte kategorier af finansielle instrumenter, når det er nødvendigt for at undgå eller imødegå en alvorlig trussel mod den finansielle stabilitet eller mod de finansielle markeders velordnede funktion i Unionen. En sådan henstilling skal ledsages af en fuldt ud begrundet vurdering af dens nødvendighed og offentliggøres ikke.</w:t>
            </w:r>
          </w:p>
        </w:tc>
        <w:tc>
          <w:tcPr>
            <w:tcW w:w="4876" w:type="dxa"/>
          </w:tcPr>
          <w:p w:rsidR="00255CE7" w:rsidRPr="001371BE" w:rsidRDefault="00255CE7">
            <w:pPr>
              <w:pStyle w:val="Normal6"/>
              <w:rPr>
                <w:szCs w:val="24"/>
              </w:rPr>
            </w:pPr>
          </w:p>
        </w:tc>
      </w:tr>
      <w:tr w:rsidR="00024A66" w:rsidRPr="001371BE" w:rsidTr="00BE0ADC">
        <w:trPr>
          <w:jc w:val="center"/>
        </w:trPr>
        <w:tc>
          <w:tcPr>
            <w:tcW w:w="4876" w:type="dxa"/>
            <w:hideMark/>
          </w:tcPr>
          <w:p w:rsidR="00255CE7" w:rsidRPr="001371BE" w:rsidRDefault="00592AAB">
            <w:pPr>
              <w:pStyle w:val="Normal6"/>
            </w:pPr>
            <w:r w:rsidRPr="001371BE">
              <w:rPr>
                <w:b/>
                <w:i/>
              </w:rPr>
              <w:t>Inden ESMA fremsætter henstillingen, skal den høre ESRB og ESCB.</w:t>
            </w:r>
          </w:p>
        </w:tc>
        <w:tc>
          <w:tcPr>
            <w:tcW w:w="4876" w:type="dxa"/>
          </w:tcPr>
          <w:p w:rsidR="00255CE7" w:rsidRPr="001371BE" w:rsidRDefault="00255CE7">
            <w:pPr>
              <w:pStyle w:val="Normal6"/>
              <w:rPr>
                <w:szCs w:val="24"/>
              </w:rPr>
            </w:pPr>
          </w:p>
        </w:tc>
      </w:tr>
      <w:tr w:rsidR="00024A66" w:rsidRPr="001371BE" w:rsidTr="00BE0ADC">
        <w:trPr>
          <w:jc w:val="center"/>
        </w:trPr>
        <w:tc>
          <w:tcPr>
            <w:tcW w:w="4876" w:type="dxa"/>
            <w:hideMark/>
          </w:tcPr>
          <w:p w:rsidR="00255CE7" w:rsidRPr="001371BE" w:rsidRDefault="00592AAB">
            <w:pPr>
              <w:pStyle w:val="Normal6"/>
            </w:pPr>
            <w:r w:rsidRPr="001371BE">
              <w:rPr>
                <w:b/>
                <w:i/>
              </w:rPr>
              <w:t>På baggrund af den begrundelse og dokumentation, som ESMA har fremlagt, skal Kommissionen hurtigst muligt efter modtagelse af henstillingen enten suspendere dækningskøbsmekanismen i stk. 3 for de specifikke kategorier af finansielle instrumenter ved hjælp af en gennemførelsesretsakt eller afvise henstillingen om suspension. Hvis Kommissionen afviser anmodningen om suspension, giver den ESMA en skriftlig begrundelse herfor. Disse oplysninger offentliggøres ikke.</w:t>
            </w:r>
          </w:p>
        </w:tc>
        <w:tc>
          <w:tcPr>
            <w:tcW w:w="4876" w:type="dxa"/>
          </w:tcPr>
          <w:p w:rsidR="00255CE7" w:rsidRPr="001371BE" w:rsidRDefault="00255CE7">
            <w:pPr>
              <w:pStyle w:val="Normal6"/>
              <w:rPr>
                <w:szCs w:val="24"/>
              </w:rPr>
            </w:pPr>
          </w:p>
        </w:tc>
      </w:tr>
      <w:tr w:rsidR="00024A66" w:rsidRPr="001371BE" w:rsidTr="00BE0ADC">
        <w:trPr>
          <w:jc w:val="center"/>
        </w:trPr>
        <w:tc>
          <w:tcPr>
            <w:tcW w:w="4876" w:type="dxa"/>
            <w:hideMark/>
          </w:tcPr>
          <w:p w:rsidR="00255CE7" w:rsidRPr="001371BE" w:rsidRDefault="00592AAB">
            <w:pPr>
              <w:pStyle w:val="Normal6"/>
            </w:pPr>
            <w:r w:rsidRPr="001371BE">
              <w:rPr>
                <w:b/>
                <w:i/>
              </w:rPr>
              <w:t>Gennemførelsesretsakten vedtages efter proceduren i artikel 68, stk. 3.</w:t>
            </w:r>
          </w:p>
        </w:tc>
        <w:tc>
          <w:tcPr>
            <w:tcW w:w="4876" w:type="dxa"/>
          </w:tcPr>
          <w:p w:rsidR="00255CE7" w:rsidRPr="001371BE" w:rsidRDefault="00255CE7">
            <w:pPr>
              <w:pStyle w:val="Normal6"/>
              <w:rPr>
                <w:szCs w:val="24"/>
              </w:rPr>
            </w:pPr>
          </w:p>
        </w:tc>
      </w:tr>
      <w:tr w:rsidR="00024A66" w:rsidRPr="001371BE" w:rsidTr="00BE0ADC">
        <w:trPr>
          <w:jc w:val="center"/>
        </w:trPr>
        <w:tc>
          <w:tcPr>
            <w:tcW w:w="4876" w:type="dxa"/>
            <w:hideMark/>
          </w:tcPr>
          <w:p w:rsidR="00255CE7" w:rsidRPr="001371BE" w:rsidRDefault="00592AAB">
            <w:pPr>
              <w:pStyle w:val="Normal6"/>
            </w:pPr>
            <w:r w:rsidRPr="001371BE">
              <w:rPr>
                <w:b/>
                <w:i/>
              </w:rPr>
              <w:t>Suspensionen af dækningskøbsmekanismen meddeles ESMA og offentliggøres i Den Europæiske Unions Tidende og på Kommissionens websted.</w:t>
            </w:r>
          </w:p>
        </w:tc>
        <w:tc>
          <w:tcPr>
            <w:tcW w:w="4876" w:type="dxa"/>
          </w:tcPr>
          <w:p w:rsidR="00255CE7" w:rsidRPr="001371BE" w:rsidRDefault="00255CE7">
            <w:pPr>
              <w:pStyle w:val="Normal6"/>
              <w:rPr>
                <w:szCs w:val="24"/>
              </w:rPr>
            </w:pPr>
          </w:p>
        </w:tc>
      </w:tr>
      <w:tr w:rsidR="00024A66" w:rsidRPr="001371BE" w:rsidTr="00BE0ADC">
        <w:trPr>
          <w:jc w:val="center"/>
        </w:trPr>
        <w:tc>
          <w:tcPr>
            <w:tcW w:w="4876" w:type="dxa"/>
            <w:hideMark/>
          </w:tcPr>
          <w:p w:rsidR="00255CE7" w:rsidRPr="001371BE" w:rsidRDefault="00592AAB">
            <w:pPr>
              <w:pStyle w:val="Normal6"/>
            </w:pPr>
            <w:r w:rsidRPr="001371BE">
              <w:rPr>
                <w:b/>
                <w:i/>
              </w:rPr>
              <w:t>Suspensionen af dækningskøbsmekanismen er gyldig i en indledende periode på højst seks måneder fra datoen for anvendelsen af nævnte suspension.</w:t>
            </w:r>
          </w:p>
        </w:tc>
        <w:tc>
          <w:tcPr>
            <w:tcW w:w="4876" w:type="dxa"/>
          </w:tcPr>
          <w:p w:rsidR="00255CE7" w:rsidRPr="001371BE" w:rsidRDefault="00255CE7">
            <w:pPr>
              <w:pStyle w:val="Normal6"/>
              <w:rPr>
                <w:szCs w:val="24"/>
              </w:rPr>
            </w:pPr>
          </w:p>
        </w:tc>
      </w:tr>
      <w:tr w:rsidR="00024A66" w:rsidRPr="001371BE" w:rsidTr="00BE0ADC">
        <w:trPr>
          <w:jc w:val="center"/>
        </w:trPr>
        <w:tc>
          <w:tcPr>
            <w:tcW w:w="4876" w:type="dxa"/>
            <w:hideMark/>
          </w:tcPr>
          <w:p w:rsidR="00255CE7" w:rsidRPr="001371BE" w:rsidRDefault="00592AAB">
            <w:pPr>
              <w:pStyle w:val="Normal6"/>
            </w:pPr>
            <w:r w:rsidRPr="001371BE">
              <w:rPr>
                <w:b/>
                <w:i/>
              </w:rPr>
              <w:t>Hvis begrundelsen for suspensionen fortsætter med at gælde, kan Kommissionen ved hjælp af en gennemførelsesretsakt forlænge suspensionen omhandlet i tredje afsnit med yderligere perioder på højst tre måneder ad gangen, idet den samlede suspensionsperiode ikke må overstige 12 måneder. En forlængelse af suspensionen offentliggøres i overensstemmelse med femte afsnit.</w:t>
            </w:r>
          </w:p>
        </w:tc>
        <w:tc>
          <w:tcPr>
            <w:tcW w:w="4876" w:type="dxa"/>
          </w:tcPr>
          <w:p w:rsidR="00255CE7" w:rsidRPr="001371BE" w:rsidRDefault="00255CE7">
            <w:pPr>
              <w:pStyle w:val="Normal6"/>
              <w:rPr>
                <w:szCs w:val="24"/>
              </w:rPr>
            </w:pPr>
          </w:p>
        </w:tc>
      </w:tr>
      <w:tr w:rsidR="00024A66" w:rsidRPr="001371BE" w:rsidTr="00BE0ADC">
        <w:trPr>
          <w:jc w:val="center"/>
        </w:trPr>
        <w:tc>
          <w:tcPr>
            <w:tcW w:w="4876" w:type="dxa"/>
            <w:hideMark/>
          </w:tcPr>
          <w:p w:rsidR="00255CE7" w:rsidRPr="001371BE" w:rsidRDefault="00592AAB" w:rsidP="005A2B0C">
            <w:pPr>
              <w:pStyle w:val="Normal6"/>
            </w:pPr>
            <w:r w:rsidRPr="001371BE">
              <w:rPr>
                <w:b/>
                <w:i/>
              </w:rPr>
              <w:t>Gennemførelsesretsakten vedtages efter proceduren i artikel 68, stk. 3. ESMA afgiver i tilstrækkelig tid inden udløbet af suspensionsperioden i sjette afsnit eller af forlængelsesperioden i syvende afsnit en udtalelse til Kommissionen om, hvorvidt begrundelsen for suspensionen fortsat gælder."</w:t>
            </w:r>
          </w:p>
        </w:tc>
        <w:tc>
          <w:tcPr>
            <w:tcW w:w="4876" w:type="dxa"/>
          </w:tcPr>
          <w:p w:rsidR="00255CE7" w:rsidRPr="001371BE" w:rsidRDefault="00255CE7">
            <w:pPr>
              <w:pStyle w:val="Normal6"/>
              <w:rPr>
                <w:szCs w:val="24"/>
              </w:rPr>
            </w:pP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Eksistensen af reguleringsmæssige obligatoriske dækningskøb er et betydeligt indgreb i gennemførelsen af værdipapirtransaktioner og værdipapirmarkedernes funktion. På grund af de virkninger, som Kommissionens indførelse af obligatoriske dækningskøb kan have, herunder med hensyn til muligheden for, at der ikke er en dækningskøbsagent til rådighed, foreslås det at afskaffe muligheden for obligatoriske dækningskøb fuldstændigt. En fuldstændig afskaffelse af brugen af obligatoriske dækningskøb er også ECB's foretrukne tilgang som beskrevet i dets udtalelse af 28. juli 2022 (jf. punkt 1.4).</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j</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14a</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14a.</w:t>
            </w:r>
            <w:r w:rsidRPr="001371BE">
              <w:tab/>
              <w:t xml:space="preserve">Kommissionen </w:t>
            </w:r>
            <w:r w:rsidRPr="001371BE">
              <w:rPr>
                <w:b/>
                <w:i/>
              </w:rPr>
              <w:t>kan</w:t>
            </w:r>
            <w:r w:rsidRPr="001371BE">
              <w:t xml:space="preserve"> vedtage delegerede retsakter i overensstemmelse med artikel 67 for at vedtage supplerende regler til denne forordning, som præciserer årsagerne til afviklingsfejl, der skal anses for ikke at kunne tilskrives deltagerne i transaktionen, og de transaktioner, der ikke skal anses for at involvere to handelsparter i henhold til nærværende artikels stk. 2 </w:t>
            </w:r>
            <w:r w:rsidRPr="001371BE">
              <w:rPr>
                <w:b/>
                <w:i/>
              </w:rPr>
              <w:t>og 4, litra c) og d)</w:t>
            </w:r>
            <w:r w:rsidRPr="001371BE">
              <w:t>.</w:t>
            </w:r>
          </w:p>
        </w:tc>
        <w:tc>
          <w:tcPr>
            <w:tcW w:w="4876" w:type="dxa"/>
            <w:hideMark/>
          </w:tcPr>
          <w:p w:rsidR="00255CE7" w:rsidRPr="001371BE" w:rsidRDefault="00592AAB">
            <w:pPr>
              <w:pStyle w:val="Normal6"/>
              <w:rPr>
                <w:szCs w:val="24"/>
              </w:rPr>
            </w:pPr>
            <w:r w:rsidRPr="001371BE">
              <w:t>14a.</w:t>
            </w:r>
            <w:r w:rsidRPr="001371BE">
              <w:tab/>
              <w:t xml:space="preserve">Kommissionen </w:t>
            </w:r>
            <w:r w:rsidRPr="001371BE">
              <w:rPr>
                <w:b/>
                <w:i/>
              </w:rPr>
              <w:t>vedtager</w:t>
            </w:r>
            <w:r w:rsidRPr="001371BE">
              <w:t xml:space="preserve"> delegerede retsakter i overensstemmelse med artikel 67 for at vedtage supplerende regler til denne forordning, som præciserer årsagerne til afviklingsfejl, der skal anses for ikke at kunne tilskrives deltagerne i transaktionen, og de transaktioner, der ikke skal anses for at involvere to handelsparter i henhold til nærværende artikels stk. 2.</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Ændringsforslag 11 fremsat af ECB i dets udtalelse af 28. juli 2022. Vedtagelsen af Kommissionens delegerede retsakter med angivelse af nye undtagelser fra sanktionsmekanismen i form af bøder er vigtig for at give de relevante interessenter på markedet tilstrækkelig klarhed, så de kan komme videre med den korrekte gennemførelse af ordningen for afviklingsdisciplin. Det foreslås desuden at fjerne brugen af obligatoriske dækningskøb fuldstændigt.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j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15 – afsnit 1</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5B690D">
            <w:pPr>
              <w:pStyle w:val="Normal6"/>
              <w:rPr>
                <w:szCs w:val="24"/>
              </w:rPr>
            </w:pPr>
            <w:r w:rsidRPr="001371BE">
              <w:rPr>
                <w:b/>
                <w:i/>
              </w:rPr>
              <w:t>ja)</w:t>
            </w:r>
            <w:r w:rsidRPr="001371BE">
              <w:rPr>
                <w:b/>
                <w:i/>
              </w:rPr>
              <w:tab/>
              <w:t>Stk. 15, første afsnit, litra c)-f) og litra h), 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Litra c), d), e), f), og h) i dette afsnit er ikke længere relevante, hvis brugen af obligatoriske dækningskøb afskaffes fuldstændigt.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k</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15 – afsnit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ESMA forelægger disse udkast til reguleringsmæssige tekniske standarder for Kommissionen senest den [Publikationskontoret: Her indsættes datoen = 1 år efter denne </w:t>
            </w:r>
            <w:r w:rsidRPr="001371BE">
              <w:rPr>
                <w:b/>
                <w:i/>
              </w:rPr>
              <w:t>forordnings</w:t>
            </w:r>
            <w:r w:rsidRPr="001371BE">
              <w:t xml:space="preserve"> ikrafttræden].</w:t>
            </w:r>
          </w:p>
        </w:tc>
        <w:tc>
          <w:tcPr>
            <w:tcW w:w="4876" w:type="dxa"/>
            <w:hideMark/>
          </w:tcPr>
          <w:p w:rsidR="00255CE7" w:rsidRPr="001371BE" w:rsidRDefault="00592AAB">
            <w:pPr>
              <w:pStyle w:val="Normal6"/>
              <w:rPr>
                <w:szCs w:val="24"/>
              </w:rPr>
            </w:pPr>
            <w:r w:rsidRPr="001371BE">
              <w:t xml:space="preserve">ESMA forelægger disse udkast til reguleringsmæssige tekniske standarder for Kommissionen senest den [Publikationskontoret: Her indsættes datoen = 1 år efter denne </w:t>
            </w:r>
            <w:r w:rsidRPr="001371BE">
              <w:rPr>
                <w:b/>
                <w:i/>
              </w:rPr>
              <w:t>ændringsforordnings</w:t>
            </w:r>
            <w:r w:rsidRPr="001371BE">
              <w:t xml:space="preserve"> ikrafttræden].</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Juridisk-tekniske ændringer.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37</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 – litra k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 – stk. 15 a (nyt)</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BE0ADC">
        <w:trPr>
          <w:jc w:val="center"/>
        </w:trPr>
        <w:tc>
          <w:tcPr>
            <w:tcW w:w="9752" w:type="dxa"/>
            <w:gridSpan w:val="2"/>
          </w:tcPr>
          <w:p w:rsidR="00255CE7" w:rsidRPr="001371BE" w:rsidRDefault="00255CE7">
            <w:pPr>
              <w:keepNext/>
            </w:pPr>
          </w:p>
        </w:tc>
      </w:tr>
      <w:tr w:rsidR="00024A66" w:rsidRPr="001371BE" w:rsidTr="00BE0ADC">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ka)</w:t>
            </w:r>
            <w:r w:rsidRPr="001371BE">
              <w:rPr>
                <w:b/>
                <w:i/>
              </w:rPr>
              <w:tab/>
              <w:t>Følgende stykke indsættes:</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5B690D">
            <w:pPr>
              <w:pStyle w:val="Normal6"/>
              <w:rPr>
                <w:szCs w:val="24"/>
              </w:rPr>
            </w:pPr>
            <w:r w:rsidRPr="001371BE">
              <w:rPr>
                <w:b/>
                <w:i/>
              </w:rPr>
              <w:t>"ESMA kan i tæt samarbejde med medlemmerne af ESCB udarbejde udkast til reguleringsmæssige tekniske standarder for at fastsætte målniveauer for afviklingseffektivitet under hensyntagen til faktorer såsom likviditeten af finansielle instrumenter, transaktionernes grænseoverskridende eller indenlandske karakter samt de valutaer, som transaktionerne afvikles i.</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5B690D">
            <w:pPr>
              <w:pStyle w:val="Normal6"/>
              <w:rPr>
                <w:szCs w:val="24"/>
              </w:rPr>
            </w:pPr>
            <w:r w:rsidRPr="001371BE">
              <w:rPr>
                <w:b/>
                <w:i/>
              </w:rPr>
              <w:t>Målniveauerne, der angives i udkastet til de i første afsnit omhandlede reguleringsmæssige tekniske standarder, bidrager til periodiske vurderinger af virkningerne af sanktioner over for afviklingseffektivitetsprocenterne for forskellige aktivklasser og fungerer som vejledning til omkalibrering af de gældende gebyrer, hvor det er relevant.</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Kommissionen tillægges beføjelser til at vedtage de reguleringsmæssige tekniske standarder, der er omhandlet i første afsnit i overensstemmelse med artikel 10-14 i forordning (EU) nr. 1095/2010."</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Formålet med dette ændringsforslag er at give ESMA mulighed for at definere målniveauet/målniveauerne for afviklingseffektivitet. Eftersom ESMA først vil skulle vurdere muligheden for at definere sådanne mål, som vil give mening over tid i lyset af markedsforholdene og udviklingen på markedet, foreslås det, at dette ikke gøres til en obligatorisk opgave på nuværende tidspunkt. Målniveauerne for afviklingseffektivitet bør fungere som vejledning til en omkalibrering af sanktionerne, hvor det er relevant.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38</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4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19 – stk. 2</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BE0ADC">
        <w:trPr>
          <w:jc w:val="center"/>
        </w:trPr>
        <w:tc>
          <w:tcPr>
            <w:tcW w:w="9752" w:type="dxa"/>
            <w:gridSpan w:val="2"/>
          </w:tcPr>
          <w:p w:rsidR="00255CE7" w:rsidRPr="001371BE" w:rsidRDefault="00255CE7">
            <w:pPr>
              <w:keepNext/>
            </w:pPr>
          </w:p>
        </w:tc>
      </w:tr>
      <w:tr w:rsidR="00024A66" w:rsidRPr="001371BE" w:rsidTr="00BE0ADC">
        <w:trPr>
          <w:jc w:val="center"/>
        </w:trPr>
        <w:tc>
          <w:tcPr>
            <w:tcW w:w="4876" w:type="dxa"/>
            <w:hideMark/>
          </w:tcPr>
          <w:p w:rsidR="00255CE7" w:rsidRPr="001371BE" w:rsidRDefault="00592AAB">
            <w:pPr>
              <w:pStyle w:val="ColumnHeading"/>
              <w:keepNext/>
            </w:pPr>
            <w:r w:rsidRPr="001371BE">
              <w:t>Gældende ordlyd</w:t>
            </w:r>
          </w:p>
        </w:tc>
        <w:tc>
          <w:tcPr>
            <w:tcW w:w="4876" w:type="dxa"/>
            <w:hideMark/>
          </w:tcPr>
          <w:p w:rsidR="00255CE7" w:rsidRPr="001371BE" w:rsidRDefault="00592AAB">
            <w:pPr>
              <w:pStyle w:val="ColumnHeading"/>
              <w:keepNext/>
            </w:pPr>
            <w:r w:rsidRPr="001371BE">
              <w:t>Ændringsforslag</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5B690D">
            <w:pPr>
              <w:pStyle w:val="Normal6"/>
              <w:rPr>
                <w:szCs w:val="24"/>
              </w:rPr>
            </w:pPr>
            <w:r w:rsidRPr="001371BE">
              <w:rPr>
                <w:b/>
                <w:i/>
              </w:rPr>
              <w:t>4a)</w:t>
            </w:r>
            <w:r w:rsidRPr="001371BE">
              <w:rPr>
                <w:b/>
                <w:i/>
              </w:rPr>
              <w:tab/>
              <w:t>Artikel 19, stk. 2, affattes således:</w:t>
            </w:r>
          </w:p>
        </w:tc>
      </w:tr>
      <w:tr w:rsidR="00024A66" w:rsidRPr="001371BE" w:rsidTr="00BE0ADC">
        <w:trPr>
          <w:jc w:val="center"/>
        </w:trPr>
        <w:tc>
          <w:tcPr>
            <w:tcW w:w="4876" w:type="dxa"/>
            <w:hideMark/>
          </w:tcPr>
          <w:p w:rsidR="00255CE7" w:rsidRPr="001371BE" w:rsidRDefault="00592AAB">
            <w:pPr>
              <w:pStyle w:val="Normal6"/>
            </w:pPr>
            <w:r w:rsidRPr="001371BE">
              <w:t>2. Meddelelsen af tilladelse i henhold til stk. 1 følger proceduren i artikel 17.</w:t>
            </w:r>
          </w:p>
        </w:tc>
        <w:tc>
          <w:tcPr>
            <w:tcW w:w="4876" w:type="dxa"/>
            <w:hideMark/>
          </w:tcPr>
          <w:p w:rsidR="00255CE7" w:rsidRPr="001371BE" w:rsidRDefault="00592AAB">
            <w:pPr>
              <w:pStyle w:val="Normal6"/>
              <w:rPr>
                <w:szCs w:val="24"/>
              </w:rPr>
            </w:pPr>
            <w:r w:rsidRPr="001371BE">
              <w:t xml:space="preserve">"2. Meddelelsen af tilladelse i henhold til stk. 1 følger proceduren i artikel 17 </w:t>
            </w:r>
            <w:r w:rsidRPr="001371BE">
              <w:rPr>
                <w:b/>
                <w:i/>
              </w:rPr>
              <w:t>med undtagelse af artikel 17, stk. 4</w:t>
            </w:r>
            <w:r w:rsidRPr="001371BE">
              <w:t>.</w:t>
            </w:r>
          </w:p>
        </w:tc>
      </w:tr>
      <w:tr w:rsidR="00024A66" w:rsidRPr="001371BE" w:rsidTr="00BE0ADC">
        <w:trPr>
          <w:jc w:val="center"/>
        </w:trPr>
        <w:tc>
          <w:tcPr>
            <w:tcW w:w="4876" w:type="dxa"/>
            <w:hideMark/>
          </w:tcPr>
          <w:p w:rsidR="00255CE7" w:rsidRPr="001371BE" w:rsidRDefault="00592AAB">
            <w:pPr>
              <w:pStyle w:val="Normal6"/>
            </w:pPr>
            <w:r w:rsidRPr="001371BE">
              <w:t>Den kompetente myndighed giver senest tre måneder efter indgivelsen af en fuldstændig ansøgning den ansøgende CSD meddelelse om, hvorvidt der kan meddeles tilladelse eller ej.</w:t>
            </w:r>
          </w:p>
        </w:tc>
        <w:tc>
          <w:tcPr>
            <w:tcW w:w="4876" w:type="dxa"/>
            <w:hideMark/>
          </w:tcPr>
          <w:p w:rsidR="00255CE7" w:rsidRPr="001371BE" w:rsidRDefault="00592AAB" w:rsidP="005B690D">
            <w:pPr>
              <w:pStyle w:val="Normal6"/>
              <w:rPr>
                <w:szCs w:val="24"/>
              </w:rPr>
            </w:pPr>
            <w:r w:rsidRPr="001371BE">
              <w:rPr>
                <w:b/>
                <w:i/>
              </w:rPr>
              <w:t>Når en i stk. 1 omhandlet ansøgning betragtes som fuldstændig, videregiver den kompetente myndighed alle oplysningerne i ansøgningen til de relevante myndigheder og hører disse myndigheder om de nærmere detaljer ved det værdipapirafviklingssystem, som den ansøgende CSD driver. Den enkelte relevante myndighed kan inden for tre måneder efter at have modtaget oplysningerne informere den kompetente myndighed om sine synspunkter</w:t>
            </w:r>
            <w:r w:rsidRPr="001371BE">
              <w:t>.</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t xml:space="preserve">Den kompetente myndighed giver senest tre måneder efter indgivelsen af en fuldstændig ansøgning den ansøgende CSD </w:t>
            </w:r>
            <w:r w:rsidRPr="001371BE">
              <w:rPr>
                <w:b/>
                <w:i/>
              </w:rPr>
              <w:t>og de relevante myndigheder</w:t>
            </w:r>
            <w:r w:rsidRPr="001371BE">
              <w:t xml:space="preserve"> meddelelse om, hvorvidt der kan meddeles tilladelse eller ej."</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CrossRef"/>
      </w:pPr>
      <w:r w:rsidRPr="001371BE">
        <w:t>(tps://eur-lex.europa.eu/legal-content/DA/TXT/PDF/?uri=CELEX:02014R0909-20220622&amp;qid=1665050653870&amp;from=EN)</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Selv om Refit-forslaget om CSD-forordningen ikke ændrer artikel 19, har ændringsforslagene til artikel 17 indvirkning på artikel 19 som følge af krydsreferencen. Eftersom de foreslåede frister i artikel 17, stk. 4, ikke passer ind i fristen på tre måneder i artikel 19, stk. 2, foreslås det at specificere, at den nuværende høringsprocedure mellem myndighederne fortsat finder anvendelse i forbindelse med artikel 19-høringer. For yderligere at afspejle artikel 17 foreslås det, at de hørte myndigheder også informeres om resultaterne af godkendelsesprocessen for udvidelse af aktiviteter og tjenester.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39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5</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20 – stk. 5</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5.</w:t>
            </w:r>
            <w:r w:rsidRPr="001371BE">
              <w:tab/>
              <w:t xml:space="preserve">En CSD etablerer, gennemfører og opretholder passende procedurer, der sikrer rettidig og korrekt afvikling og overførsel af kundernes og deltagernes aktiver til en anden CSD i tilfælde af inddragelse af den i stk. 1 omhandlede tilladelse. Sådanne procedurer skal omfatte overførsel af udstedelseskonti og registre med tilknytning til leveringen af </w:t>
            </w:r>
            <w:r w:rsidRPr="001371BE">
              <w:rPr>
                <w:b/>
                <w:i/>
              </w:rPr>
              <w:t>de kerneydelser, der er omhandlet i bilagets afsnit A, punkt 1 og 2</w:t>
            </w:r>
            <w:r w:rsidRPr="001371BE">
              <w:t>.</w:t>
            </w:r>
          </w:p>
        </w:tc>
        <w:tc>
          <w:tcPr>
            <w:tcW w:w="4876" w:type="dxa"/>
            <w:hideMark/>
          </w:tcPr>
          <w:p w:rsidR="00255CE7" w:rsidRPr="001371BE" w:rsidRDefault="00592AAB">
            <w:pPr>
              <w:pStyle w:val="Normal6"/>
              <w:rPr>
                <w:szCs w:val="24"/>
              </w:rPr>
            </w:pPr>
            <w:r w:rsidRPr="001371BE">
              <w:t>5.</w:t>
            </w:r>
            <w:r w:rsidRPr="001371BE">
              <w:tab/>
              <w:t xml:space="preserve">En CSD etablerer, gennemfører og opretholder passende procedurer, der sikrer rettidig og korrekt afvikling og overførsel af kundernes og deltagernes aktiver til en anden CSD i tilfælde af inddragelse af den i stk. 1 omhandlede tilladelse. Sådanne procedurer skal omfatte overførsel af udstedelseskonti </w:t>
            </w:r>
            <w:r w:rsidRPr="001371BE">
              <w:rPr>
                <w:b/>
                <w:i/>
              </w:rPr>
              <w:t>eller tilsvarende registre, der dokumenterer udstedelse af værdipapirer,</w:t>
            </w:r>
            <w:r w:rsidRPr="001371BE">
              <w:t xml:space="preserve"> og registre med tilknytning til leveringen af </w:t>
            </w:r>
            <w:r w:rsidRPr="001371BE">
              <w:rPr>
                <w:b/>
                <w:i/>
              </w:rPr>
              <w:t>registreringsydelser og centrale forvaltningsydelser</w:t>
            </w:r>
            <w:r w:rsidRPr="001371BE">
              <w:t>.</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"udstedelseskonti" er et rent operativt snarere end et juridisk begreb, foreslås det at anvende en mere generisk reference. For at sikre, at denne ændring gør en forskel i det virkelige liv – eftersom der i bilagets afsnit A, punkt 2, igen henvises til "værdipapirkonti" – foreslås det endvidere at henvise til "registreringsydelser og centrale forvaltningsydelser" i stedet for til bilagets afsnit A, punkt 1 og 2.</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40</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6 – litra a</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22 – stk. 3 – afsnit 1 – litra c</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c)</w:t>
            </w:r>
            <w:r w:rsidRPr="001371BE">
              <w:tab/>
              <w:t xml:space="preserve">passende procedurer, der </w:t>
            </w:r>
            <w:r w:rsidRPr="001371BE">
              <w:rPr>
                <w:b/>
                <w:i/>
              </w:rPr>
              <w:t>sikrer</w:t>
            </w:r>
            <w:r w:rsidRPr="001371BE">
              <w:t xml:space="preserve"> rettidig og velordnet afvikling og overførsel af kunders og deltageres aktiver til en anden CSD, i tilfælde hvor det bliver permanent umuligt for CSD'en at genoprette sine kritiske operationer og tjenesteydelser</w:t>
            </w:r>
          </w:p>
        </w:tc>
        <w:tc>
          <w:tcPr>
            <w:tcW w:w="4876" w:type="dxa"/>
            <w:hideMark/>
          </w:tcPr>
          <w:p w:rsidR="00255CE7" w:rsidRPr="001371BE" w:rsidRDefault="00592AAB">
            <w:pPr>
              <w:pStyle w:val="Normal6"/>
              <w:rPr>
                <w:szCs w:val="24"/>
              </w:rPr>
            </w:pPr>
            <w:r w:rsidRPr="001371BE">
              <w:t>c)</w:t>
            </w:r>
            <w:r w:rsidRPr="001371BE">
              <w:tab/>
              <w:t xml:space="preserve">passende procedurer, der </w:t>
            </w:r>
            <w:r w:rsidRPr="001371BE">
              <w:rPr>
                <w:b/>
                <w:i/>
              </w:rPr>
              <w:t>muliggør</w:t>
            </w:r>
            <w:r w:rsidRPr="001371BE">
              <w:t xml:space="preserve"> rettidig og velordnet afvikling og overførsel af kunders og deltageres aktiver til en anden CSD, i tilfælde hvor det bliver permanent umuligt for CSD'en at genoprette sine kritiske operationer og tjenesteydelser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På tidspunktet for udarbejdelse af planerne for genopretning eller velordnet afvikling kan en CSD ikke på forhånd fastsætte bestemmelser, der effektivt "sikrer" en rettidig overførsel, eftersom dette vil afhænge af de efterfølgende omstændigheder. Det foreslås derfor, at CSD'ens planer bør "muliggøre" dette mål.</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6 – litra a</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22 – stk. 3 – afsnit 3</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CSD'en reviderer og ajourfører planerne regelmæssigt og mindst hvert andet år. I sådanne planer skal der tages hensyn til størrelsen, den systemiske betydning, arten, omfanget og kompleksiteten af den berørte CSD's aktiviteter </w:t>
            </w:r>
            <w:r w:rsidRPr="001371BE">
              <w:rPr>
                <w:b/>
                <w:i/>
              </w:rPr>
              <w:t>og til enhver relevant afviklingsplan, der udarbejdes i overensstemmelse med direktiv 2014/59/EU</w:t>
            </w:r>
            <w:r w:rsidRPr="001371BE">
              <w:t>.</w:t>
            </w:r>
          </w:p>
        </w:tc>
        <w:tc>
          <w:tcPr>
            <w:tcW w:w="4876" w:type="dxa"/>
            <w:hideMark/>
          </w:tcPr>
          <w:p w:rsidR="00255CE7" w:rsidRPr="001371BE" w:rsidRDefault="00592AAB" w:rsidP="005B690D">
            <w:pPr>
              <w:pStyle w:val="Normal6"/>
              <w:rPr>
                <w:szCs w:val="24"/>
              </w:rPr>
            </w:pPr>
            <w:r w:rsidRPr="001371BE">
              <w:t>CSD'en reviderer og ajourfører planerne regelmæssigt og mindst hvert andet år.</w:t>
            </w:r>
            <w:r w:rsidRPr="001371BE">
              <w:rPr>
                <w:b/>
                <w:i/>
              </w:rPr>
              <w:t xml:space="preserve"> Planerne godkendes af ledelsesorganet eller et passende udvalg under ledelsesorganet og ajourføres med regelmæssige mellemrum. Hver ajourføring af planerne forelægges for den kompetente myndighed. Den kompetente myndighed kan kræve, at CSD'en træffer yderligere eller eventuelle alternative foranstaltninger, hvis den kompetente myndighed vurderer, at CSD'ens planer er utilstrækkelige</w:t>
            </w:r>
            <w:r w:rsidRPr="001371BE">
              <w:t>. Planerne skal tage hensyn til størrelsen, den systemiske betydning, arten, omfanget og kompleksiteten af den pågældende CSD's aktiviteter.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Af hensyn til konsekvensen og letlæseligheden foreslås det af flytte sætningen om bestyrelsens godkendelse og kommunikation til den kompetente myndighed fra artikel 47 til artikel 22.</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6 – litra a</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22 – stk. 3 – afsnit 3 a (nyt)</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5B690D">
            <w:pPr>
              <w:pStyle w:val="Normal6"/>
              <w:rPr>
                <w:szCs w:val="24"/>
              </w:rPr>
            </w:pPr>
            <w:r w:rsidRPr="001371BE">
              <w:rPr>
                <w:b/>
                <w:i/>
              </w:rPr>
              <w:t>Når en CSD er omfattet af direktiv 2014/59/EU, udarbejder henholdsvis CSD'en og afviklingsmyndigheden en genopretningsplan og en afviklingsplan i stedet for de i denne artikels stk. 2 omhandlede planer i overensstemmelse med dette direktiv under hensyntagen til dette stykkes første afsnit, litra a)-d).</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CSD'er med licens til bankvirksomhed er allerede omfattet af BRRD-reglerne for udarbejdelse af genopretnings- og afviklingsplaner. Formålet med disse ændringsforslag er at undgå unødvendigt dobbeltarbejde og/eller mulig inkonsekvens.</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6 – litra a</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22 – stk. 3 – afsnit 4</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Hvis der udarbejdes og opretholdes en afviklingsplan for en CSD med henblik på at sikre dens kerneopgaver, underretter </w:t>
            </w:r>
            <w:r w:rsidRPr="001371BE">
              <w:rPr>
                <w:b/>
                <w:i/>
              </w:rPr>
              <w:t>den kompetente myndighed</w:t>
            </w:r>
            <w:r w:rsidRPr="001371BE">
              <w:t xml:space="preserve"> ESMA herom.</w:t>
            </w:r>
          </w:p>
        </w:tc>
        <w:tc>
          <w:tcPr>
            <w:tcW w:w="4876" w:type="dxa"/>
            <w:hideMark/>
          </w:tcPr>
          <w:p w:rsidR="00255CE7" w:rsidRPr="001371BE" w:rsidRDefault="00592AAB">
            <w:pPr>
              <w:pStyle w:val="Normal6"/>
              <w:rPr>
                <w:szCs w:val="24"/>
              </w:rPr>
            </w:pPr>
            <w:r w:rsidRPr="001371BE">
              <w:t xml:space="preserve">Hvis der udarbejdes og opretholdes en afviklingsplan for en CSD med henblik på at sikre dens kerneopgaver, underretter </w:t>
            </w:r>
            <w:r w:rsidRPr="001371BE">
              <w:rPr>
                <w:b/>
                <w:i/>
              </w:rPr>
              <w:t>afviklingsmyndigheden</w:t>
            </w:r>
            <w:r w:rsidRPr="001371BE">
              <w:t xml:space="preserve"> ESMA herom.</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Præcisering af myndigheden med ansvar for afviklingen.</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6 – litra b</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22 – stk. 7</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7.</w:t>
            </w:r>
            <w:r w:rsidRPr="001371BE">
              <w:tab/>
              <w:t>Den kompetente myndighed underretter regelmæssigt og mindst hvert andet år de relevante myndigheder og, hvor dette er relevant, tilsynskollegierne i denne forordnings artikel 24a og myndigheden i artikel 67 i direktiv 2014/65/EU om resultaterne af revisionen og evalueringen i nærværende artikels stk. 1, herunder afhjælpende foranstaltninger eller sanktioner.</w:t>
            </w:r>
          </w:p>
        </w:tc>
        <w:tc>
          <w:tcPr>
            <w:tcW w:w="4876" w:type="dxa"/>
            <w:hideMark/>
          </w:tcPr>
          <w:p w:rsidR="00255CE7" w:rsidRPr="001371BE" w:rsidRDefault="00592AAB">
            <w:pPr>
              <w:pStyle w:val="Normal6"/>
              <w:rPr>
                <w:szCs w:val="24"/>
              </w:rPr>
            </w:pPr>
            <w:r w:rsidRPr="001371BE">
              <w:tab/>
            </w:r>
            <w:r w:rsidRPr="001371BE">
              <w:rPr>
                <w:i/>
                <w:iCs/>
              </w:rPr>
              <w:t>(Vedrører ikke den danske tekst)</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nemlig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7</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23 – stk. 3 – indledning</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Enhver CSD, der for første gang ønsker at levere tjenesteydelserne omhandlet i denne artikels i stk. 2 i tilknytning til </w:t>
            </w:r>
            <w:r w:rsidRPr="001371BE">
              <w:rPr>
                <w:b/>
                <w:i/>
              </w:rPr>
              <w:t>finansielle instrumenter</w:t>
            </w:r>
            <w:r w:rsidRPr="001371BE">
              <w:t>, der er oprettet i henhold til en anden medlemsstats lovgivning som omhandlet i artikel 49, stk. 1, andet afsnit, eller at ændre udvalget af de pågældende udbudte tjenesteydelser, skal videregive følgende oplysninger til den kompetente myndighed i hjemlandet:</w:t>
            </w:r>
          </w:p>
        </w:tc>
        <w:tc>
          <w:tcPr>
            <w:tcW w:w="4876" w:type="dxa"/>
            <w:hideMark/>
          </w:tcPr>
          <w:p w:rsidR="00255CE7" w:rsidRPr="001371BE" w:rsidRDefault="00592AAB">
            <w:pPr>
              <w:pStyle w:val="Normal6"/>
              <w:rPr>
                <w:szCs w:val="24"/>
              </w:rPr>
            </w:pPr>
            <w:r w:rsidRPr="001371BE">
              <w:t xml:space="preserve">Enhver CSD, der for første gang ønsker at levere tjenesteydelserne omhandlet i denne artikels i stk. 2 i tilknytning til </w:t>
            </w:r>
            <w:r w:rsidRPr="001371BE">
              <w:rPr>
                <w:b/>
                <w:i/>
              </w:rPr>
              <w:t>aktier</w:t>
            </w:r>
            <w:r w:rsidRPr="001371BE">
              <w:t>, der er oprettet i henhold til en anden medlemsstats lovgivning som omhandlet i artikel 49, stk. 1, andet afsnit, eller at ændre udvalget af de pågældende udbudte tjenesteydelser, skal videregive følgende oplysninger til den kompetente myndighed i hjemlandet:</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Dette ændringsforslag følger en anbefaling fra ESMA i dets rapport af 5. november 2020 om grænseoverskridende tjenester og behandling af ansøgninger under artikel 23 (jf. rapporten ESMA70-156-3569, punkt 84, sidste bulletpunkt). Det foreslås at begrænse anvendelsesområdet for forpligtelsen til at indsende oplysninger for finansielle instrumenter oprettet under andre medlemskabers lovgivning til aktier, eftersom "anvendelsen på andre instrumenter end aktier ikke er forholdsmæssig og udløser utilsigtede og meningsløse konsekvenser".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7</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23 – stk. 3 – litra b</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b)</w:t>
            </w:r>
            <w:r w:rsidRPr="001371BE">
              <w:tab/>
            </w:r>
            <w:r w:rsidRPr="001371BE">
              <w:rPr>
                <w:b/>
                <w:i/>
              </w:rPr>
              <w:t>en driftsplan, hvori det bl.a. angives,</w:t>
            </w:r>
            <w:r w:rsidRPr="001371BE">
              <w:t xml:space="preserve"> hvilke former for tjenesteydelser CSD'en har til hensigt at levere</w:t>
            </w:r>
          </w:p>
        </w:tc>
        <w:tc>
          <w:tcPr>
            <w:tcW w:w="4876" w:type="dxa"/>
            <w:hideMark/>
          </w:tcPr>
          <w:p w:rsidR="00255CE7" w:rsidRPr="001371BE" w:rsidRDefault="00592AAB">
            <w:pPr>
              <w:pStyle w:val="Normal6"/>
              <w:rPr>
                <w:szCs w:val="24"/>
              </w:rPr>
            </w:pPr>
            <w:r w:rsidRPr="001371BE">
              <w:t>b)</w:t>
            </w:r>
            <w:r w:rsidRPr="001371BE">
              <w:tab/>
            </w:r>
            <w:r w:rsidRPr="001371BE">
              <w:rPr>
                <w:b/>
                <w:i/>
              </w:rPr>
              <w:t>typen af aktier, der er oprettet under værtslandets lovgivning, for hvilke CSD'en har til hensigt at tilbyde tjenesteydelser, og</w:t>
            </w:r>
            <w:r w:rsidRPr="001371BE">
              <w:t xml:space="preserve"> hvilke former for tjenesteydelser CSD'en har til hensigt at levere</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Af hensyn til konsekvens og letlæselighed og for at sikre, at filialer ikke fejlagtigt udelukkes fra anvendelsesområdet, og at de relevante kriterier opstilles for den relevante situation under pasordningen, foreslås det at opdele artikel 23, stk. 3, i dedikerede underafsnit: et om tjenesteydelser oprettet under en anden medlemsstats lovgivning og et om filialer i en anden medlemsstat.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47</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7</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23 – stk. 3 – litra d</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d)</w:t>
            </w:r>
            <w:r w:rsidRPr="001371BE">
              <w:rPr>
                <w:b/>
                <w:i/>
              </w:rPr>
              <w:tab/>
              <w:t>når der er en filial, filialens organisatoriske struktur og navnene på de personer, der er ansvarlige for filialens ledelse</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Af hensyn til konsekvens og letlæselighed og for at sikre, at filialer ikke fejlagtigt udelukkes fra anvendelsesområdet, og at de relevante kriterier opstilles for den relevante situation under pasordningen, foreslås det at opdele artikel 23, stk. 3, i dedikerede underafsnit: et om tjenesteydelser oprettet under en anden medlemsstats lovgivning og et om filialer i en anden medlemsstat.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48</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7</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23 – stk. 3 a (nyt)</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615927">
            <w:pPr>
              <w:pStyle w:val="Normal6"/>
              <w:rPr>
                <w:szCs w:val="24"/>
              </w:rPr>
            </w:pPr>
            <w:r w:rsidRPr="001371BE">
              <w:rPr>
                <w:b/>
                <w:i/>
              </w:rPr>
              <w:t>3a.</w:t>
            </w:r>
            <w:r w:rsidRPr="001371BE">
              <w:rPr>
                <w:b/>
                <w:i/>
              </w:rPr>
              <w:tab/>
              <w:t>En CSD, der ønsker at oprette en filial i en anden medlemsstat eller at ændre udvalget af udbudte serviceydelser via en filial, meddeler den kompetente myndighed i hjemlandet:</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a) værtslandet</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b) typen af aktier, der er oprettet under værtslandets lovgivning, for hvilke CSD'en har til hensigt at tilbyde tjenesteydelser, og de tjenesteydelser, som CSD'en har til hensigt at tilbyde</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c) hvilken eller hvilke valutaer CSD'en agter at behandle</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d) filialens organisatoriske struktur og navnene på de personer, der er ansvarlige for filialens ledelse.</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Af hensyn til konsekvens og letlæselighed og for at sikre, at filialer ikke fejlagtigt udelukkes fra anvendelsesområdet, og at de relevante kriterier opstilles for den relevante situation under pasordningen, foreslås det at opdele artikel 23, stk. 3, i dedikerede underafsnit: et om tjenesteydelser oprettet under en anden medlemsstats lovgivning og et om filialer i en anden medlemsstat.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49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7</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23 – stk. 4</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4. Den kompetente myndighed i hjemlandet fremsender senest én måned efter modtagelsen af oplysningerne i stk. 3 de pågældende oplysninger til den kompetente myndighed i værtslandet, medmindre den under hensyn til leveringen af de påtænkte tjenesteydelser har grund til at betvivle, at de administrative strukturer eller den finansielle situation i den CSD, der ønsker at levere tjenesteydelser i værtslandet, er egnede eller tilstrækkelige. </w:t>
            </w:r>
            <w:r w:rsidRPr="001371BE">
              <w:rPr>
                <w:b/>
                <w:i/>
              </w:rPr>
              <w:t>Hvis CSD'en allerede leverer tjenesteydelser til andre værtslande, underretter den kompetente myndighed i hjemlandet også tilsynskollegiet under pasordningen omhandlet i artikel 24a.</w:t>
            </w:r>
          </w:p>
        </w:tc>
        <w:tc>
          <w:tcPr>
            <w:tcW w:w="4876" w:type="dxa"/>
            <w:hideMark/>
          </w:tcPr>
          <w:p w:rsidR="00255CE7" w:rsidRPr="001371BE" w:rsidRDefault="00592AAB">
            <w:pPr>
              <w:pStyle w:val="Normal6"/>
              <w:rPr>
                <w:szCs w:val="24"/>
              </w:rPr>
            </w:pPr>
            <w:r w:rsidRPr="001371BE">
              <w:t>4. Den kompetente myndighed i hjemlandet fremsender senest én måned efter modtagelsen af oplysningerne i stk. 3 de pågældende oplysninger til den kompetente myndighed i værtslandet, medmindre den under hensyn til leveringen af de påtænkte tjenesteydelser har grund til at betvivle, at de administrative strukturer eller den finansielle situation i den CSD, der ønsker at levere tjenesteydelser i værtslandet, er egnede eller tilstrækkelige.</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 er uklart, hvorfor myndighederne fra ét værtsland skal informeres om en CSD's hensigt om at åbne en filial i eller udbyde værdipapirer i henhold til lovgivningen i et andet værtsland. Det foreslås derfor at fjerne dette krav om deling af forretningsoplysninger om en CSD på denne måde.</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50</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7</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23 – stk. 5</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5.</w:t>
            </w:r>
            <w:r w:rsidRPr="001371BE">
              <w:tab/>
              <w:t xml:space="preserve">Hvis den kompetente myndighed i hjemlandet i overensstemmelse med stk. 4 beslutter ikke at videresende alle oplysningerne i stk. 3 til den kompetente myndighed i værtslandet, skal den begrunde dette afslag over for den berørte CSD senest tre måneder efter at have modtaget samtlige oplysninger og underrette den kompetente myndighed i værtslandet </w:t>
            </w:r>
            <w:r w:rsidRPr="001371BE">
              <w:rPr>
                <w:b/>
                <w:i/>
              </w:rPr>
              <w:t>og tilsynskollegiet under pasordningen omhandlet i artikel 24a</w:t>
            </w:r>
            <w:r w:rsidRPr="001371BE">
              <w:t xml:space="preserve"> om sin beslutning.</w:t>
            </w:r>
          </w:p>
        </w:tc>
        <w:tc>
          <w:tcPr>
            <w:tcW w:w="4876" w:type="dxa"/>
            <w:hideMark/>
          </w:tcPr>
          <w:p w:rsidR="00255CE7" w:rsidRPr="001371BE" w:rsidRDefault="00592AAB">
            <w:pPr>
              <w:pStyle w:val="Normal6"/>
              <w:rPr>
                <w:szCs w:val="24"/>
              </w:rPr>
            </w:pPr>
            <w:r w:rsidRPr="001371BE">
              <w:t>5.</w:t>
            </w:r>
            <w:r w:rsidRPr="001371BE">
              <w:tab/>
              <w:t>Hvis den kompetente myndighed i hjemlandet i overensstemmelse med stk. 4 beslutter ikke at videresende alle oplysningerne i stk. 3 til den kompetente myndighed i værtslandet, skal den begrunde dette afslag over for den berørte CSD senest tre måneder efter at have modtaget samtlige oplysninger og underrette den kompetente myndighed i værtslandet om sin beslutning.</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 er uklart, hvorfor myndighederne fra ét værtsland skal informeres om en CSD's hensigt om at åbne en filial i eller udbyde værdipapirer i henhold til lovgivningen i et andet værtsland. Det foreslås derfor at fjerne dette krav om deling af forretningsoplysninger om en CSD på denne måde.</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7</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23 – stk. 7</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7.</w:t>
            </w:r>
            <w:r w:rsidRPr="001371BE">
              <w:tab/>
              <w:t xml:space="preserve">Hvis der sker ændringer i oplysningerne </w:t>
            </w:r>
            <w:r w:rsidRPr="001371BE">
              <w:rPr>
                <w:b/>
                <w:i/>
              </w:rPr>
              <w:t>i de dokumenter</w:t>
            </w:r>
            <w:r w:rsidRPr="001371BE">
              <w:t xml:space="preserve">, der er videregivet i overensstemmelse med denne artikels stk. 3, giver CSD'en, mindst en måned inden de foretages, den kompetente myndighed i hjemlandet skriftlig meddelelse herom. Den kompetente myndighed i hjemlandet underretter hurtigst muligt den kompetente myndighed i værtslandet </w:t>
            </w:r>
            <w:r w:rsidRPr="001371BE">
              <w:rPr>
                <w:b/>
                <w:i/>
              </w:rPr>
              <w:t>og tilsynskollegiet under pasordningen omhandlet i artikel 24a</w:t>
            </w:r>
            <w:r w:rsidRPr="001371BE">
              <w:t xml:space="preserve"> om sådanne ændringer.</w:t>
            </w:r>
          </w:p>
        </w:tc>
        <w:tc>
          <w:tcPr>
            <w:tcW w:w="4876" w:type="dxa"/>
            <w:hideMark/>
          </w:tcPr>
          <w:p w:rsidR="00255CE7" w:rsidRPr="001371BE" w:rsidRDefault="00592AAB">
            <w:pPr>
              <w:pStyle w:val="Normal6"/>
              <w:rPr>
                <w:szCs w:val="24"/>
              </w:rPr>
            </w:pPr>
            <w:r w:rsidRPr="001371BE">
              <w:t>7.</w:t>
            </w:r>
            <w:r w:rsidRPr="001371BE">
              <w:tab/>
              <w:t xml:space="preserve">Hvis der sker </w:t>
            </w:r>
            <w:r w:rsidRPr="001371BE">
              <w:rPr>
                <w:b/>
                <w:i/>
              </w:rPr>
              <w:t>væsentlige</w:t>
            </w:r>
            <w:r w:rsidRPr="001371BE">
              <w:t xml:space="preserve"> ændringer i oplysningerne, der er videregivet i overensstemmelse med denne artikels stk. 3 eller 3a, giver CSD'en, mindst en måned inden de foretages, den kompetente myndighed i hjemlandet skriftlig meddelelse herom Den kompetente myndighed i hjemlandet underretter også hurtigst muligt den kompetente myndighed i værtslandet om sådanne ændringer.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Ordet "væsentlige" tilføjes for bedre at afspejle proportionalitetsprincippet og ordlyden i artikel 16, stk. 4. Desuden foreslås det at slette den foreslåede oplysningspligt over for tilsynskollegiet, jf. artikel 24a, eftersom en ændring i et dokument vedrørende ét pas ikke i sig selv synes at være relevant for et andet pas.</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8 – litra a</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 – stk. 1 – afsnit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Efter anmodning fra et medlem af tilsynskollegiet under pasordningen omhandlet i artikel 24a</w:t>
            </w:r>
            <w:r w:rsidRPr="001371BE">
              <w:t xml:space="preserve"> kan den kompetente myndighed i hjemlandet </w:t>
            </w:r>
            <w:r w:rsidRPr="001371BE">
              <w:rPr>
                <w:b/>
                <w:i/>
              </w:rPr>
              <w:t>opfordre</w:t>
            </w:r>
            <w:r w:rsidRPr="001371BE">
              <w:t xml:space="preserve"> invitere personale fra </w:t>
            </w:r>
            <w:r w:rsidRPr="001371BE">
              <w:rPr>
                <w:b/>
                <w:i/>
              </w:rPr>
              <w:t>værtslandets kompetente myndigheder og</w:t>
            </w:r>
            <w:r w:rsidRPr="001371BE">
              <w:t xml:space="preserve"> ESMA til at deltage i kontrolbesøg.</w:t>
            </w:r>
          </w:p>
        </w:tc>
        <w:tc>
          <w:tcPr>
            <w:tcW w:w="4876" w:type="dxa"/>
            <w:hideMark/>
          </w:tcPr>
          <w:p w:rsidR="00255CE7" w:rsidRPr="001371BE" w:rsidRDefault="00592AAB">
            <w:pPr>
              <w:pStyle w:val="Normal6"/>
              <w:rPr>
                <w:szCs w:val="24"/>
              </w:rPr>
            </w:pPr>
            <w:r w:rsidRPr="001371BE">
              <w:t>Den kompetente myndighed i hjemlandet kan invitere personale fra ESMA til at deltage i kontrolbesøg.</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 foreslås at slette de dele af denne sætning, der giver det fejlagtige indtryk, at overvågningen af en CSD er en kollektiv øvelse for EU's medlemsstater. Eftersom myndighederne i værtslandet for filialen allerede er omfattet af det første afsnit, bør invitationerne til at deltage i kontrolbesøg i dette afsnit begrænses til ESMA.</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8 – litra a</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 – stk. 1 – afsnit 3</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Den kompetente myndighed i hjemlandet </w:t>
            </w:r>
            <w:r w:rsidRPr="001371BE">
              <w:rPr>
                <w:b/>
                <w:i/>
              </w:rPr>
              <w:t>kan fremsende</w:t>
            </w:r>
            <w:r w:rsidRPr="001371BE">
              <w:t xml:space="preserve"> alle oplysninger, som den modtager fra CCP'er under eller i forbindelse med kontrolbesøg på stedet, til ESMA.</w:t>
            </w:r>
          </w:p>
        </w:tc>
        <w:tc>
          <w:tcPr>
            <w:tcW w:w="4876" w:type="dxa"/>
            <w:hideMark/>
          </w:tcPr>
          <w:p w:rsidR="00255CE7" w:rsidRPr="001371BE" w:rsidRDefault="00592AAB">
            <w:pPr>
              <w:pStyle w:val="Normal6"/>
              <w:rPr>
                <w:szCs w:val="24"/>
              </w:rPr>
            </w:pPr>
            <w:r w:rsidRPr="001371BE">
              <w:t xml:space="preserve">Den kompetente myndighed i hjemlandet </w:t>
            </w:r>
            <w:r w:rsidRPr="001371BE">
              <w:rPr>
                <w:b/>
                <w:i/>
              </w:rPr>
              <w:t>fremsender</w:t>
            </w:r>
            <w:r w:rsidRPr="001371BE">
              <w:t xml:space="preserve"> alle </w:t>
            </w:r>
            <w:r w:rsidRPr="001371BE">
              <w:rPr>
                <w:b/>
                <w:i/>
              </w:rPr>
              <w:t>væsentlige</w:t>
            </w:r>
            <w:r w:rsidRPr="001371BE">
              <w:t xml:space="preserve"> oplysninger, som den modtager fra CCP'er under eller i forbindelse med kontrolbesøg på stedet, til ESMA.</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Hjemlandets kompetente myndigheds oplysningspligt over for ESMA bør være obligatorisk snarere end frivillig. Ordet "væsentlige" tilføjes for at undgå uforholdsmæssigt mange dokumenter uden merværdi for ESMA.</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8 – litra a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 – stk. 3</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BE0ADC">
        <w:trPr>
          <w:jc w:val="center"/>
        </w:trPr>
        <w:tc>
          <w:tcPr>
            <w:tcW w:w="9752" w:type="dxa"/>
            <w:gridSpan w:val="2"/>
          </w:tcPr>
          <w:p w:rsidR="00255CE7" w:rsidRPr="001371BE" w:rsidRDefault="00255CE7">
            <w:pPr>
              <w:keepNext/>
            </w:pPr>
          </w:p>
        </w:tc>
      </w:tr>
      <w:tr w:rsidR="00024A66" w:rsidRPr="001371BE" w:rsidTr="00BE0ADC">
        <w:trPr>
          <w:jc w:val="center"/>
        </w:trPr>
        <w:tc>
          <w:tcPr>
            <w:tcW w:w="4876" w:type="dxa"/>
            <w:hideMark/>
          </w:tcPr>
          <w:p w:rsidR="00255CE7" w:rsidRPr="001371BE" w:rsidRDefault="00592AAB">
            <w:pPr>
              <w:pStyle w:val="ColumnHeading"/>
              <w:keepNext/>
            </w:pPr>
            <w:r w:rsidRPr="001371BE">
              <w:t>Gældende ordlyd</w:t>
            </w:r>
          </w:p>
        </w:tc>
        <w:tc>
          <w:tcPr>
            <w:tcW w:w="4876" w:type="dxa"/>
            <w:hideMark/>
          </w:tcPr>
          <w:p w:rsidR="00255CE7" w:rsidRPr="001371BE" w:rsidRDefault="00592AAB">
            <w:pPr>
              <w:pStyle w:val="ColumnHeading"/>
              <w:keepNext/>
            </w:pPr>
            <w:r w:rsidRPr="001371BE">
              <w:t>Ændringsforslag</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aa)</w:t>
            </w:r>
            <w:r w:rsidRPr="001371BE">
              <w:rPr>
                <w:b/>
                <w:i/>
              </w:rPr>
              <w:tab/>
              <w:t>Stk. 3 affattes således:</w:t>
            </w:r>
          </w:p>
        </w:tc>
      </w:tr>
      <w:tr w:rsidR="00024A66" w:rsidRPr="001371BE" w:rsidTr="00BE0ADC">
        <w:trPr>
          <w:jc w:val="center"/>
        </w:trPr>
        <w:tc>
          <w:tcPr>
            <w:tcW w:w="4876" w:type="dxa"/>
            <w:hideMark/>
          </w:tcPr>
          <w:p w:rsidR="00255CE7" w:rsidRPr="001371BE" w:rsidRDefault="00592AAB">
            <w:pPr>
              <w:pStyle w:val="Normal6"/>
            </w:pPr>
            <w:r w:rsidRPr="001371BE">
              <w:rPr>
                <w:b/>
                <w:i/>
              </w:rPr>
              <w:t>3.</w:t>
            </w:r>
            <w:r w:rsidRPr="001371BE">
              <w:t xml:space="preserve"> Den kompetente myndighed i CSD'ens hjemland fremsender efter anmodning fra den kompetente myndighed i værtslandet hurtigst muligt oplysninger om identiteten af </w:t>
            </w:r>
            <w:r w:rsidRPr="001371BE">
              <w:rPr>
                <w:b/>
                <w:i/>
              </w:rPr>
              <w:t>udstederne og deltagerne</w:t>
            </w:r>
            <w:r w:rsidRPr="001371BE">
              <w:t xml:space="preserve"> i de værdipapirafviklingssystemer, som drives af den CSD, der leverer </w:t>
            </w:r>
            <w:r w:rsidRPr="001371BE">
              <w:rPr>
                <w:b/>
                <w:i/>
              </w:rPr>
              <w:t>tjenesteydelser i det pågældende værtsland</w:t>
            </w:r>
            <w:r w:rsidRPr="001371BE">
              <w:t xml:space="preserve">, og alle andre relevante oplysninger om </w:t>
            </w:r>
            <w:r w:rsidRPr="001371BE">
              <w:rPr>
                <w:b/>
                <w:i/>
              </w:rPr>
              <w:t>den pågældende CSD's</w:t>
            </w:r>
            <w:r w:rsidRPr="001371BE">
              <w:t xml:space="preserve"> aktiviteter i værtslandet.</w:t>
            </w:r>
          </w:p>
        </w:tc>
        <w:tc>
          <w:tcPr>
            <w:tcW w:w="4876" w:type="dxa"/>
            <w:hideMark/>
          </w:tcPr>
          <w:p w:rsidR="00255CE7" w:rsidRPr="001371BE" w:rsidRDefault="00592AAB">
            <w:pPr>
              <w:pStyle w:val="Normal6"/>
              <w:rPr>
                <w:szCs w:val="24"/>
              </w:rPr>
            </w:pPr>
            <w:r w:rsidRPr="001371BE">
              <w:t xml:space="preserve">Den kompetente myndighed i CSD'ens hjemland fremsender efter anmodning fra den kompetente myndighed i værtslandet hurtigst muligt oplysninger om identiteten af </w:t>
            </w:r>
            <w:r w:rsidRPr="001371BE">
              <w:rPr>
                <w:b/>
                <w:i/>
              </w:rPr>
              <w:t>udstedere, der er etableret i værtslandet, og/eller deltagere, der ejer finansielle instrumenter oprettet i henhold til værtslandets lovgivning,</w:t>
            </w:r>
            <w:r w:rsidRPr="001371BE">
              <w:t xml:space="preserve"> i de værdipapirafviklingssystemer, som drives af den CSD, der leverer </w:t>
            </w:r>
            <w:r w:rsidRPr="001371BE">
              <w:rPr>
                <w:b/>
                <w:i/>
              </w:rPr>
              <w:t>kerneydelser, jf. bilagets afsnit A, punkt 1 og 2, vedrørende finansielle instrumenter oprettet i henhold til værtslandets lovgivning,</w:t>
            </w:r>
            <w:r w:rsidRPr="001371BE">
              <w:t xml:space="preserve"> og alle andre relevante oplysninger om </w:t>
            </w:r>
            <w:r w:rsidRPr="001371BE">
              <w:rPr>
                <w:b/>
                <w:i/>
              </w:rPr>
              <w:t>en CSD, der leverer kerneydelser</w:t>
            </w:r>
            <w:r w:rsidRPr="001371BE">
              <w:t xml:space="preserve"> i værtslandet </w:t>
            </w:r>
            <w:r w:rsidRPr="001371BE">
              <w:rPr>
                <w:b/>
                <w:i/>
              </w:rPr>
              <w:t>via en filial</w:t>
            </w:r>
            <w:r w:rsidRPr="001371BE">
              <w:t>.</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CrossRef"/>
      </w:pPr>
      <w:r w:rsidRPr="001371BE">
        <w:t>(https://eur-lex.europa.eu/legal-content/DA/TXT/PDF/?uri=CELEX:02014R0909-20220622&amp;qid=1665050653870&amp;from=EN)</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 at sikre proportionaliteten i fremlæggelsen af oplysninger foreslås det at præcisere den type oplysninger, som værtslandets kompetente myndighed kan anmode hjemlandets kompetente myndighed om.</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8 – litra c</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 – stk. 5 – afsnit 1</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Hvis den kompetente myndighed i værtslandet har klare og påviselige grunde til at tro, at en CSD, der leverer tjenesteydelser på dens område i henhold til artikel 23, har tilsidesat de forpligtelser, der følger af bestemmelserne i denne forordning, underretter den hjemlandets kompetente myndighed</w:t>
            </w:r>
            <w:r w:rsidRPr="001371BE">
              <w:rPr>
                <w:b/>
                <w:i/>
              </w:rPr>
              <w:t>,</w:t>
            </w:r>
            <w:r w:rsidRPr="001371BE">
              <w:t xml:space="preserve"> ESMA </w:t>
            </w:r>
            <w:r w:rsidRPr="001371BE">
              <w:rPr>
                <w:b/>
                <w:i/>
              </w:rPr>
              <w:t>og</w:t>
            </w:r>
            <w:r w:rsidRPr="001371BE">
              <w:t xml:space="preserve"> tilsynskollegiet </w:t>
            </w:r>
            <w:r w:rsidRPr="001371BE">
              <w:rPr>
                <w:b/>
                <w:i/>
              </w:rPr>
              <w:t>under pasordningen</w:t>
            </w:r>
            <w:r w:rsidRPr="001371BE">
              <w:t xml:space="preserve"> omhandlet i artikel 24a om disse konstateringer.</w:t>
            </w:r>
          </w:p>
        </w:tc>
        <w:tc>
          <w:tcPr>
            <w:tcW w:w="4876" w:type="dxa"/>
            <w:hideMark/>
          </w:tcPr>
          <w:p w:rsidR="00255CE7" w:rsidRPr="001371BE" w:rsidRDefault="00592AAB">
            <w:pPr>
              <w:pStyle w:val="Normal6"/>
              <w:rPr>
                <w:szCs w:val="24"/>
              </w:rPr>
            </w:pPr>
            <w:r w:rsidRPr="001371BE">
              <w:t xml:space="preserve">Hvis den kompetente myndighed i værtslandet har klare og påviselige grunde til at tro, at en CSD, der leverer tjenesteydelser på dens område i henhold til artikel 23, har tilsidesat de forpligtelser, der følger af bestemmelserne i denne forordning, underretter den hjemlandets kompetente myndighed </w:t>
            </w:r>
            <w:r w:rsidRPr="001371BE">
              <w:rPr>
                <w:b/>
                <w:i/>
              </w:rPr>
              <w:t>og</w:t>
            </w:r>
            <w:r w:rsidRPr="001371BE">
              <w:t xml:space="preserve"> ESMA.</w:t>
            </w:r>
            <w:r w:rsidRPr="001371BE">
              <w:rPr>
                <w:b/>
                <w:i/>
              </w:rPr>
              <w:t xml:space="preserve"> ESMA kan underrette</w:t>
            </w:r>
            <w:r w:rsidRPr="001371BE">
              <w:t xml:space="preserve"> tilsynskollegiet omhandlet i artikel 24a om disse konstateringer.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Formålet med dette ændringsforslag er at undgå at give det fejlagtige indtryk, at overvågningen af en CSD er en kollektiv øvelse for EU's medlemsstater. Ikke alle CSD-aktiviteter er relevante for alle værtslandes myndigheder. Dette gælder f.eks. operationelle processer, der specifikt er beregnet til at fungere som udsteder-CSD for et enkelt marked, eller når en CSD har et organisatorisk problem i en filial i bare et enkelt værtsland.</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8 – litra c</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 – stk. 5 – afsnit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Hvis CSD'en på trods af de forholdsregler, som hjemlandets kompetente myndighed har truffet, fortsat tilsidesætter de forpligtelser, der følger af bestemmelserne i denne forordning, træffer værtslandets kompetente myndighed, efter at den har underrettet hjemlandets kompetente myndighed herom, alle passende forholdsregler, som er nødvendige for at sikre, at bestemmelserne i denne forordning overholdes på værtslandets område. ESMA </w:t>
            </w:r>
            <w:r w:rsidRPr="001371BE">
              <w:rPr>
                <w:b/>
                <w:i/>
              </w:rPr>
              <w:t>og tilsynskollegiet under pasordningen omhandlet i artikel 24a</w:t>
            </w:r>
            <w:r w:rsidRPr="001371BE">
              <w:t xml:space="preserve"> underrettes hurtigst muligt om sådanne forholdsregler.</w:t>
            </w:r>
          </w:p>
        </w:tc>
        <w:tc>
          <w:tcPr>
            <w:tcW w:w="4876" w:type="dxa"/>
            <w:hideMark/>
          </w:tcPr>
          <w:p w:rsidR="00255CE7" w:rsidRPr="001371BE" w:rsidRDefault="00592AAB">
            <w:pPr>
              <w:pStyle w:val="Normal6"/>
              <w:rPr>
                <w:szCs w:val="24"/>
              </w:rPr>
            </w:pPr>
            <w:r w:rsidRPr="001371BE">
              <w:t xml:space="preserve">Hvis CSD'en på trods af de forholdsregler, som hjemlandets kompetente myndighed har truffet, fortsat tilsidesætter de forpligtelser, der følger af bestemmelserne i denne forordning, træffer værtslandets kompetente myndighed, efter at den har underrettet hjemlandets kompetente myndighed herom, alle passende forholdsregler, som er nødvendige for at sikre, at bestemmelserne i denne forordning overholdes på værtslandets område. ESMA underrettes straks om sådanne foranstaltninger. </w:t>
            </w:r>
            <w:r w:rsidRPr="001371BE">
              <w:rPr>
                <w:b/>
                <w:i/>
              </w:rPr>
              <w:t>ESMA kan underrette tilsynskollegiet omhandlet i artikel 24a om disse foranstaltninger.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Formålet med dette ændringsforslag er at undgå at give det fejlagtige indtryk, at overvågningen af en CSD er en kollektiv øvelse for EU's medlemsstater. Ikke alle CSD-aktiviteter er relevante for alle værtslandes myndigheder. Dette gælder f.eks. operationelle processer, der specifikt er beregnet til at fungere som udsteder-CSD for et enkelt marked, eller når en CSD har et organisatorisk problem i en filial i bare et enkelt værtsland.</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57</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8 – litra d</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 – stk. 7 og 8</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d)</w:t>
            </w:r>
            <w:r w:rsidRPr="001371BE">
              <w:tab/>
              <w:t xml:space="preserve">Stk. </w:t>
            </w:r>
            <w:r w:rsidRPr="001371BE">
              <w:rPr>
                <w:b/>
                <w:i/>
              </w:rPr>
              <w:t>7 og</w:t>
            </w:r>
            <w:r w:rsidRPr="001371BE">
              <w:t xml:space="preserve"> 8 udgår.</w:t>
            </w:r>
          </w:p>
        </w:tc>
        <w:tc>
          <w:tcPr>
            <w:tcW w:w="4876" w:type="dxa"/>
            <w:hideMark/>
          </w:tcPr>
          <w:p w:rsidR="00255CE7" w:rsidRPr="001371BE" w:rsidRDefault="00592AAB">
            <w:pPr>
              <w:pStyle w:val="Normal6"/>
              <w:rPr>
                <w:szCs w:val="24"/>
              </w:rPr>
            </w:pPr>
            <w:r w:rsidRPr="001371BE">
              <w:t>d)</w:t>
            </w:r>
            <w:r w:rsidRPr="001371BE">
              <w:tab/>
              <w:t>Stk. 8 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Hvorvidt en CSD er af væsentlig betydning for et værtsland, bør fortsat være et kriterium for, hvorvidt værtslandets myndigheder skal deltage i samarbejdsordninger. Det foreslås derfor, at den nuværende ordlyd i stk. 7 bevares.</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58</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overskrift</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Tilsynskollegier for CSD'er</w:t>
            </w:r>
            <w:r w:rsidRPr="001371BE">
              <w:rPr>
                <w:b/>
                <w:i/>
              </w:rPr>
              <w:t>, som leverer tjenesteydelser i en anden medlemsstat, og for CSD'er, som er del af en koncern med to eller flere CSD'er</w:t>
            </w:r>
          </w:p>
        </w:tc>
        <w:tc>
          <w:tcPr>
            <w:tcW w:w="4876" w:type="dxa"/>
            <w:hideMark/>
          </w:tcPr>
          <w:p w:rsidR="00255CE7" w:rsidRPr="001371BE" w:rsidRDefault="00592AAB">
            <w:pPr>
              <w:pStyle w:val="Normal6"/>
              <w:rPr>
                <w:szCs w:val="24"/>
              </w:rPr>
            </w:pPr>
            <w:r w:rsidRPr="001371BE">
              <w:t>Tilsynskollegier for CSD'er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59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1 – afsnit 1 – indledning</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Der skal oprettes tilsynskollegier</w:t>
            </w:r>
            <w:r w:rsidRPr="001371BE">
              <w:t xml:space="preserve">, som udfører opgaverne i stk. 6, </w:t>
            </w:r>
            <w:r w:rsidRPr="001371BE">
              <w:rPr>
                <w:b/>
                <w:i/>
              </w:rPr>
              <w:t>i følgende tilfælde</w:t>
            </w:r>
            <w:r w:rsidRPr="001371BE">
              <w:t>:</w:t>
            </w:r>
          </w:p>
        </w:tc>
        <w:tc>
          <w:tcPr>
            <w:tcW w:w="4876" w:type="dxa"/>
            <w:hideMark/>
          </w:tcPr>
          <w:p w:rsidR="00255CE7" w:rsidRPr="001371BE" w:rsidRDefault="00592AAB" w:rsidP="00615927">
            <w:pPr>
              <w:pStyle w:val="Normal6"/>
              <w:rPr>
                <w:szCs w:val="24"/>
              </w:rPr>
            </w:pPr>
            <w:r w:rsidRPr="001371BE">
              <w:rPr>
                <w:b/>
                <w:i/>
              </w:rPr>
              <w:t>Kompetente myndigheder udpeget i henhold til artikel 11 opretter, forvalter og leder et tilsynskollegium</w:t>
            </w:r>
            <w:r w:rsidRPr="001371BE">
              <w:t>, som udfører opgaverne i stk. 6</w:t>
            </w:r>
            <w:r w:rsidRPr="001371BE">
              <w:rPr>
                <w:b/>
                <w:i/>
              </w:rPr>
              <w:t>, når den CSD, de fører tilsyn med, er af væsentlig betydning i mere end ét værtsland.</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60</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1 – afsnit 1 – litra a</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a)</w:t>
            </w:r>
            <w:r w:rsidRPr="001371BE">
              <w:rPr>
                <w:b/>
                <w:i/>
              </w:rPr>
              <w:tab/>
              <w:t>når en CSD er omfattet af proceduren i artikel 23, stk. 3- 7 ("tilsynskollegium under pasordningen")</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1 – afsnit 1 – litra b</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b)</w:t>
            </w:r>
            <w:r w:rsidRPr="001371BE">
              <w:rPr>
                <w:b/>
                <w:i/>
              </w:rPr>
              <w:tab/>
              <w:t>når en CSD er del af en koncern bestående af to eller flere CSD'er, som er meddelt tilladelse i mindst to medlemsstater ("tilsynskollegium på koncernplan").</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1 – afsnit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I det tilfælde, der er nævnt i første afsnit, litra a), er det CSD'ens kompetente myndighed i hjemlandet, der opretter, styrer og leder tilsynskollegiet under pasordningen. Nævnte tilsynskollegium oprettes senest 1 måned efter datoen i artikel 23, stk. 6. Når en CSD indgiver efterfølgende underretninger i henhold til artikel 23, stk. 3, inviterer den kompetente myndighed i hjemlandet de kompetente myndigheder i de relevante værtslande til at deltage i tilsynskollegiet under pasordningen inden for 1 måned fra datoen i artikel 23, stk. 6.</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1 – afsnit 3</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I det tilfælde, der er nævnt i første afsnit, litra b), hvor moderselskabet er en CSD, der er meddelt tilladelse i Unionen, er det den kompetente myndighed i hjemlandet for denne CSD, der opretter, styrer og leder tilsynskollegiet på koncernplan. Hvis moderselskabet er en CSD, der ikke er meddelt tilladelse i Unionen, er det den kompetente myndighed i hjemlandet for CSD'en med den største samlede balancesum, der opretter, styrer og leder tilsynskollegiet på koncernplan.</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1 – afsnit 4</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Uanset tredje afsnit kan de kompetente myndigheder, hvis anvendelse at kriterierne i nævnte afsnit ville være uhensigtsmæssig, efter fælles aftale undlade at anvende nævnte kriterier og udpege en anden CSD's kompetente myndighed til at styre og lede tilsynskollegiet, idet der tages hensyn til de pågældende CSD'er og den relative betydning af deres aktiviteter i de relevante medlemsstater. I sådanne tilfælde har moder-CSD'en eller CSD'en med den største samlede balancesum, alt efter hvad der er relevant, ret til at blive hørt, inden de kompetente myndigheder træffer afgørelse.</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1 – afsnit 5</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De kompetente myndigheder underretter hurtigst muligt Kommissionen og ESMA om enhver aftale, der er indgået i henhold til fjerde afsnit.</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2 – litra d</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d)</w:t>
            </w:r>
            <w:r w:rsidRPr="001371BE">
              <w:tab/>
            </w:r>
            <w:r w:rsidRPr="001371BE">
              <w:rPr>
                <w:b/>
                <w:i/>
              </w:rPr>
              <w:t>hvis der er tale om et tilsynskollegium under pasordningen,</w:t>
            </w:r>
            <w:r w:rsidRPr="001371BE">
              <w:t xml:space="preserve"> den kompetente myndighed i hjemlandet</w:t>
            </w:r>
          </w:p>
        </w:tc>
        <w:tc>
          <w:tcPr>
            <w:tcW w:w="4876" w:type="dxa"/>
            <w:hideMark/>
          </w:tcPr>
          <w:p w:rsidR="00255CE7" w:rsidRPr="001371BE" w:rsidRDefault="00592AAB">
            <w:pPr>
              <w:pStyle w:val="Normal6"/>
              <w:rPr>
                <w:szCs w:val="24"/>
              </w:rPr>
            </w:pPr>
            <w:r w:rsidRPr="001371BE">
              <w:t>d)</w:t>
            </w:r>
            <w:r w:rsidRPr="001371BE">
              <w:tab/>
              <w:t>den kompetente myndighed i hjemlandet</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67</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2 – litra e</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e)</w:t>
            </w:r>
            <w:r w:rsidRPr="001371BE">
              <w:rPr>
                <w:b/>
                <w:i/>
              </w:rPr>
              <w:tab/>
              <w:t>hvis der er tale om et tilsynskollegium på koncernplan, den kompetente myndighed og de relevante myndigheder for hver CSD i koncernen</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68</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2 a (nyt)</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2a.</w:t>
            </w:r>
            <w:r w:rsidRPr="001371BE">
              <w:rPr>
                <w:b/>
                <w:i/>
              </w:rPr>
              <w:tab/>
              <w:t>Når en CSD, for hvilken der er oprettet et tilsynskollegium i overensstemmelse med stk. 1, ikke er af væsentlig betydning i en medlemsstat, hvor et datterselskab tilhørende den samme gruppe af selskaber som CSD'en eller dennes moderselskab er etableret, eller hvor den CSD, for hvilken der er oprettet et tilsynskollegium, har ret til at levere tjenesteydelser i en anden medlemsstat i overensstemmelse med artikel 23, stk. 2, skal den kompetente myndighed og de relevante myndigheder i den pågældende medlemsstat kunne deltage i tilsynskollegiet, der er oprettet i overensstemmelse med denne artikels stk. 1, hvis de anmoder om det.</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Formålet med dette ændringsforslag er yderligere at styrke samarbejdet mellem de kompetente myndigheder med ansvar for tilsynet med CSD'er, der tilhører den samme koncern, og relevante myndigheder, hvilket er særligt vigtigt, når nogle ydelser outsources til enheder i samme koncern, der befinder sig i en anden medlemsstat, og ligeledes mellem myndigheder fra hjemlande og værtslande i forbindelse med pas.</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69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3 – afsnit 1</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Hvis en CSD, som er omfattet af proceduren i artikel 23, stk. 3-7, også er del af en koncern, der består af to eller flere CSD'er, og dens kompetente myndighed også leder kollegiet på koncernplan, kan nævnte kompetente myndighed beslutte, at der for den pågældende CSD kun skal oprettes ét tilsynskollegium med henblik på denne artikels stk. 1, litra a) og b). Hvis nogen af de andre CSD'er i gruppen også er omfattet af proceduren i artikel 23, stk. 3-7, kan den myndighed, der leder tilsynskollegiet, kun træffe denne afgørelse efter aftale med disse CSD'ers kompetente myndigheder.</w:t>
            </w:r>
          </w:p>
        </w:tc>
        <w:tc>
          <w:tcPr>
            <w:tcW w:w="4876" w:type="dxa"/>
            <w:hideMark/>
          </w:tcPr>
          <w:p w:rsidR="00255CE7" w:rsidRPr="001371BE" w:rsidRDefault="00592AAB">
            <w:pPr>
              <w:pStyle w:val="Normal6"/>
              <w:rPr>
                <w:szCs w:val="24"/>
              </w:rPr>
            </w:pPr>
            <w:r w:rsidRPr="001371BE">
              <w:rPr>
                <w:b/>
                <w:i/>
              </w:rPr>
              <w:t>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70</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3 – afsnit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Når et tilsynskollegium, der er oprettet i henhold til første afsnit:</w:t>
            </w:r>
          </w:p>
        </w:tc>
        <w:tc>
          <w:tcPr>
            <w:tcW w:w="4876" w:type="dxa"/>
            <w:hideMark/>
          </w:tcPr>
          <w:p w:rsidR="00255CE7" w:rsidRPr="001371BE" w:rsidRDefault="00592AAB">
            <w:pPr>
              <w:pStyle w:val="Normal6"/>
              <w:rPr>
                <w:szCs w:val="24"/>
              </w:rPr>
            </w:pPr>
            <w:r w:rsidRPr="001371BE">
              <w:rPr>
                <w:b/>
                <w:i/>
              </w:rPr>
              <w:t>udgår</w:t>
            </w:r>
          </w:p>
        </w:tc>
      </w:tr>
      <w:tr w:rsidR="00024A66" w:rsidRPr="001371BE" w:rsidTr="00255CE7">
        <w:trPr>
          <w:jc w:val="center"/>
        </w:trPr>
        <w:tc>
          <w:tcPr>
            <w:tcW w:w="4876" w:type="dxa"/>
            <w:hideMark/>
          </w:tcPr>
          <w:p w:rsidR="00255CE7" w:rsidRPr="001371BE" w:rsidRDefault="00592AAB">
            <w:pPr>
              <w:pStyle w:val="Normal6"/>
            </w:pPr>
            <w:r w:rsidRPr="001371BE">
              <w:rPr>
                <w:b/>
                <w:i/>
              </w:rPr>
              <w:t>a)</w:t>
            </w:r>
            <w:r w:rsidRPr="001371BE">
              <w:rPr>
                <w:b/>
                <w:i/>
              </w:rPr>
              <w:tab/>
              <w:t>samles for at udføre de opgaver, der er nævnt i denne artikels stk. 6, litra a)-d), skal myndighederne i denne artikels stk. 2, litra a)-f), med tilknytning til hver CSD i koncernen deltage i tilsynskollegiets møde</w:t>
            </w:r>
          </w:p>
        </w:tc>
        <w:tc>
          <w:tcPr>
            <w:tcW w:w="4876" w:type="dxa"/>
          </w:tcPr>
          <w:p w:rsidR="00255CE7" w:rsidRPr="001371BE" w:rsidRDefault="00255CE7">
            <w:pPr>
              <w:pStyle w:val="Normal6"/>
              <w:rPr>
                <w:szCs w:val="24"/>
              </w:rPr>
            </w:pPr>
          </w:p>
        </w:tc>
      </w:tr>
      <w:tr w:rsidR="00024A66" w:rsidRPr="001371BE" w:rsidTr="00255CE7">
        <w:trPr>
          <w:jc w:val="center"/>
        </w:trPr>
        <w:tc>
          <w:tcPr>
            <w:tcW w:w="4876" w:type="dxa"/>
            <w:hideMark/>
          </w:tcPr>
          <w:p w:rsidR="00255CE7" w:rsidRPr="001371BE" w:rsidRDefault="00592AAB">
            <w:pPr>
              <w:pStyle w:val="Normal6"/>
            </w:pPr>
            <w:r w:rsidRPr="001371BE">
              <w:rPr>
                <w:b/>
                <w:i/>
              </w:rPr>
              <w:t>b)</w:t>
            </w:r>
            <w:r w:rsidRPr="001371BE">
              <w:rPr>
                <w:b/>
                <w:i/>
              </w:rPr>
              <w:tab/>
              <w:t>samles for at udføre de opgaver, der er nævnt i denne artikels stk. 6, litra e), er det kun myndighederne i denne artikels stk. 2, litra a), b), c) og e), og, hvis det er relevant, litra f), der skal deltage i tilsynskollegiets møde.</w:t>
            </w:r>
          </w:p>
        </w:tc>
        <w:tc>
          <w:tcPr>
            <w:tcW w:w="4876" w:type="dxa"/>
          </w:tcPr>
          <w:p w:rsidR="00255CE7" w:rsidRPr="001371BE" w:rsidRDefault="00255CE7">
            <w:pPr>
              <w:pStyle w:val="Normal6"/>
              <w:rPr>
                <w:szCs w:val="24"/>
              </w:rPr>
            </w:pP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6 – afsnit 1 – litra d</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d)</w:t>
            </w:r>
            <w:r w:rsidRPr="001371BE">
              <w:tab/>
            </w:r>
            <w:r w:rsidRPr="001371BE">
              <w:rPr>
                <w:b/>
                <w:i/>
              </w:rPr>
              <w:t>hvis der er tale om et tilsynskollegium under pasordningen,</w:t>
            </w:r>
            <w:r w:rsidRPr="001371BE">
              <w:t xml:space="preserve"> samarbejde mellem hjem- og værtslandet i henhold til artikel 24 og om de foranstaltninger, der er nævnt i artikel 23, stk. </w:t>
            </w:r>
            <w:r w:rsidRPr="001371BE">
              <w:rPr>
                <w:b/>
                <w:i/>
              </w:rPr>
              <w:t>4</w:t>
            </w:r>
            <w:r w:rsidRPr="001371BE">
              <w:t>, litra e), og om eventuelle problemer i forbindelse med leveringen af tjenesteydelser i andre medlemsstater</w:t>
            </w:r>
          </w:p>
        </w:tc>
        <w:tc>
          <w:tcPr>
            <w:tcW w:w="4876" w:type="dxa"/>
            <w:hideMark/>
          </w:tcPr>
          <w:p w:rsidR="00255CE7" w:rsidRPr="001371BE" w:rsidRDefault="00592AAB">
            <w:pPr>
              <w:pStyle w:val="Normal6"/>
              <w:rPr>
                <w:szCs w:val="24"/>
              </w:rPr>
            </w:pPr>
            <w:r w:rsidRPr="001371BE">
              <w:t>d)</w:t>
            </w:r>
            <w:r w:rsidRPr="001371BE">
              <w:tab/>
              <w:t xml:space="preserve">samarbejde mellem hjem- og værtslandet i henhold til artikel 24 og om de foranstaltninger, der er nævnt i artikel 23, stk. </w:t>
            </w:r>
            <w:r w:rsidRPr="001371BE">
              <w:rPr>
                <w:b/>
                <w:i/>
              </w:rPr>
              <w:t>3</w:t>
            </w:r>
            <w:r w:rsidRPr="001371BE">
              <w:t>, litra e), og om eventuelle problemer i forbindelse med leveringen af tjenesteydelser i andre medlemsstater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6 – afsnit 1 – litra e</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e)</w:t>
            </w:r>
            <w:r w:rsidRPr="001371BE">
              <w:tab/>
            </w:r>
            <w:r w:rsidRPr="001371BE">
              <w:rPr>
                <w:b/>
                <w:i/>
              </w:rPr>
              <w:t>hvis der er tale om et tilsynskollegium på koncernplan,</w:t>
            </w:r>
            <w:r w:rsidRPr="001371BE">
              <w:t xml:space="preserve"> udveksling af oplysninger om delte ressourcer og ordninger vedrørende outsourcing, der er indført i en koncern af CSD'er i henhold til artikel 19, om væsentlige ændringer af koncernens struktur og ejerskab og om ændringer i organisationen, den øverste ledelse, procedurer eller ordninger, hvor sådanne ændringer har en væsentlig indvirkning på ledelsen eller risikostyringen for de CSD'er, der indgår i koncernen.</w:t>
            </w:r>
          </w:p>
        </w:tc>
        <w:tc>
          <w:tcPr>
            <w:tcW w:w="4876" w:type="dxa"/>
            <w:hideMark/>
          </w:tcPr>
          <w:p w:rsidR="00255CE7" w:rsidRPr="001371BE" w:rsidRDefault="00592AAB">
            <w:pPr>
              <w:pStyle w:val="Normal6"/>
              <w:rPr>
                <w:szCs w:val="24"/>
              </w:rPr>
            </w:pPr>
            <w:r w:rsidRPr="001371BE">
              <w:t>e)</w:t>
            </w:r>
            <w:r w:rsidRPr="001371BE">
              <w:tab/>
              <w:t>udveksling af oplysninger om delte ressourcer og ordninger vedrørende outsourcing, der er indført i en koncern af CSD'er i henhold til artikel 19, om væsentlige ændringer af koncernens struktur og ejerskab og om ændringer i organisationen, den øverste ledelse, procedurer eller ordninger, hvor sådanne ændringer har en væsentlig indvirkning på ledelsen eller risikostyringen for de CSD'er, der indgår i koncernen.</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Eftersom samarbejdet mellem hjemlandet og værtslandet i øjeblikket er utilstrækkeligt, og tilsynsordningerne er ineffektive, støtter vi oprettelsen af obligatoriske tilsynskollegier, der skal fremme tilsynsmæssig konvergens ved anvendelsen af kravene i CSD-forordningen. Ud fra et operativt synspunkt forekommer det imidlertid uforholdsmæssigt at oprette to typer af tilsynskollegier. Det foreslås derfor at forenkle og strømline Kommissionens forslag ved at kræve, at tilsynskollegierne oprettes på grundlag af et eksisterende pålideligt kriterium, dvs. en CSD's betydelige indflydelse i andre medlemsstater.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6 a (nyt)</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8D01B7">
            <w:pPr>
              <w:pStyle w:val="Normal6"/>
              <w:rPr>
                <w:szCs w:val="24"/>
              </w:rPr>
            </w:pPr>
            <w:r w:rsidRPr="001371BE">
              <w:rPr>
                <w:b/>
                <w:i/>
              </w:rPr>
              <w:t>6a.</w:t>
            </w:r>
            <w:r w:rsidRPr="001371BE">
              <w:rPr>
                <w:b/>
                <w:i/>
              </w:rPr>
              <w:tab/>
              <w:t>På anmodning af et af dets medlemmer og efter vedtagelse ved flertalsafgørelse i tilsynskollegiet i overensstemmelse med stk. 6b kan tilsynskollegiet vedtage bindende udtalelser vedrørende problemer, der afdækkes ved revisions- og evalueringsprocesserne i henhold til artikel 22 eller artikel 60, eller som vedrører en udvidelse eller outsourcing af aktiviteter og tjenesteydelser i henhold til artikel 19, eller som vedrører en potentiel overtrædelse af kravene i CSD-forordningen, der skyldes levering af tjenesteydelser i et værtsland, jf. artikel 24, stk. 5.</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Medlemmerne af et tilsynskollegium bør kunne anmode om vedtagelse af bindende udtalelser om problemer med gennemførelsen, som identificeres ved revisions- og evalueringsprocesserne for CSD'erne og udbydere af bankmæssige accessoriske tjenesteydelser, udvidelse eller outsourcing af aktiviteter og tjenesteydelser, som leveres af CSD'en, og potentielle overtrædelser af kravene i CSD-forordningen, der skyldes levering af tjenesteydelser i et værtsland. Tilsynskollegierne bør således rent faktisk være værktøjer til fremme af tilsynsmæssig konvergens. Processen for vedtagelse af udtalelser bør være baseret på afstemninger med simpelt flertal.</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9</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24a – stk. 6 b (nyt)</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8D01B7">
            <w:pPr>
              <w:pStyle w:val="Normal6"/>
              <w:rPr>
                <w:szCs w:val="24"/>
              </w:rPr>
            </w:pPr>
            <w:r w:rsidRPr="001371BE">
              <w:rPr>
                <w:b/>
                <w:i/>
              </w:rPr>
              <w:t>6b.</w:t>
            </w:r>
            <w:r w:rsidRPr="001371BE">
              <w:rPr>
                <w:b/>
                <w:i/>
              </w:rPr>
              <w:tab/>
              <w:t>En bindende udtalelse fra tilsynskollegiet vedtages med simpelt flertal af dets medlemmer. Hvert medlem af tilsynskollegiet har én stemme. Medlemmer af tilsynskollegiet, der optræder i mere end én egenskab, herunder som kompetent myndighed og som relevant myndighed, har én stemme for hver af de egenskaber, de optræder i.</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8D01B7">
            <w:pPr>
              <w:pStyle w:val="Normal6"/>
              <w:rPr>
                <w:szCs w:val="24"/>
              </w:rPr>
            </w:pPr>
            <w:r w:rsidRPr="001371BE">
              <w:rPr>
                <w:b/>
                <w:i/>
              </w:rPr>
              <w:t>Når EBA er medlem af tilsynskollegiet, jf. artikel 24a, stk. 2, har dets stemmeafgivende medlem kun stemmeret vedrørende udtalelser, der drejer sig om problemer afdækket under revisions- og evalueringsprocessen i henhold til artikel 60.</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I dette ændringsforslag foreslås det, at tilsynskollegiets vedtagelse af en udtalelse i henhold til artikel 24a (ny), stk. 6a (ny), kræver simpelt flertal blandt tilsynskollegiets medlemmer. Det giver bl.a. også ESMA stemmeret som fuldgyldigt medlem af tilsynskollegiet, således at ESMA kan afdække og afhjælpe problemer med tilsynsmæssig konvergens. EBA's stemmeret er begrænset til spørgsmål vedrørende bankmæssige accessoriske tjenesteydelser.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12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29 – stk. 2 a (nyt)</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471062">
        <w:trPr>
          <w:jc w:val="center"/>
        </w:trPr>
        <w:tc>
          <w:tcPr>
            <w:tcW w:w="9752" w:type="dxa"/>
            <w:gridSpan w:val="2"/>
          </w:tcPr>
          <w:p w:rsidR="00255CE7" w:rsidRPr="001371BE" w:rsidRDefault="00255CE7">
            <w:pPr>
              <w:keepNext/>
            </w:pPr>
          </w:p>
        </w:tc>
      </w:tr>
      <w:tr w:rsidR="00024A66" w:rsidRPr="001371BE" w:rsidTr="00471062">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471062">
        <w:trPr>
          <w:jc w:val="center"/>
        </w:trPr>
        <w:tc>
          <w:tcPr>
            <w:tcW w:w="4876" w:type="dxa"/>
          </w:tcPr>
          <w:p w:rsidR="00255CE7" w:rsidRPr="001371BE" w:rsidRDefault="00255CE7">
            <w:pPr>
              <w:pStyle w:val="Normal6"/>
            </w:pPr>
          </w:p>
        </w:tc>
        <w:tc>
          <w:tcPr>
            <w:tcW w:w="4876" w:type="dxa"/>
            <w:hideMark/>
          </w:tcPr>
          <w:p w:rsidR="00255CE7" w:rsidRPr="001371BE" w:rsidRDefault="00592AAB" w:rsidP="008D01B7">
            <w:pPr>
              <w:pStyle w:val="Normal6"/>
              <w:rPr>
                <w:szCs w:val="24"/>
              </w:rPr>
            </w:pPr>
            <w:r w:rsidRPr="001371BE">
              <w:rPr>
                <w:b/>
                <w:i/>
              </w:rPr>
              <w:t>12a)</w:t>
            </w:r>
            <w:r w:rsidRPr="001371BE">
              <w:rPr>
                <w:b/>
                <w:i/>
              </w:rPr>
              <w:tab/>
              <w:t>I artikel 29 tilføjes følgende stykke:</w:t>
            </w:r>
          </w:p>
        </w:tc>
      </w:tr>
      <w:tr w:rsidR="00024A66" w:rsidRPr="001371BE" w:rsidTr="00471062">
        <w:trPr>
          <w:jc w:val="center"/>
        </w:trPr>
        <w:tc>
          <w:tcPr>
            <w:tcW w:w="4876" w:type="dxa"/>
          </w:tcPr>
          <w:p w:rsidR="00255CE7" w:rsidRPr="001371BE" w:rsidRDefault="00255CE7">
            <w:pPr>
              <w:pStyle w:val="Normal6"/>
            </w:pPr>
          </w:p>
        </w:tc>
        <w:tc>
          <w:tcPr>
            <w:tcW w:w="4876" w:type="dxa"/>
            <w:hideMark/>
          </w:tcPr>
          <w:p w:rsidR="00255CE7" w:rsidRPr="001371BE" w:rsidRDefault="00592AAB" w:rsidP="00522606">
            <w:pPr>
              <w:pStyle w:val="Normal6"/>
              <w:rPr>
                <w:szCs w:val="24"/>
              </w:rPr>
            </w:pPr>
            <w:r w:rsidRPr="001371BE">
              <w:rPr>
                <w:b/>
                <w:i/>
              </w:rPr>
              <w:t>"(2a) Inden en udsteder benytter tjenesteydelserne fra en CSD, skal den sikre sig, at den er identificeret med en gyldig identifikator for juridiske enheder (LEI). En CSD må ikke levere tjenesteydelser til en udsteder i henhold til denne forordning, inden den har fået LEI'en fra den pågældende udsteder."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LEI-koden er et krav for adskillige enheder under flere forskellige regler, hvoraf ingen gælder direkte for alle udstedere. LEI-kravet i forordningen om prospekter gælder kun for EU-udstedere, hvorved de stilles ringere end udstedere fra tredjelande. Forordning (EU) 2017/394 om gennemførelsesmæssige tekniske standarder er rettet til CSD'er, som måske ikke altid har midlerne til at pålægge udstederne dette. Med dette ændringsforslag indføres en direkte forpligtelse til, at alle udstedere skal have en LEI-kode uden at skabe markedsforstyrrelser, eftersom kravet allerede gælder for CSD'er, mens anden lovgivning allerede dækker kravet for størstedelen af udstedere.</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14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47 – stk. 1 – litra b</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F65B14">
        <w:trPr>
          <w:jc w:val="center"/>
        </w:trPr>
        <w:tc>
          <w:tcPr>
            <w:tcW w:w="9752" w:type="dxa"/>
            <w:gridSpan w:val="2"/>
          </w:tcPr>
          <w:p w:rsidR="00255CE7" w:rsidRPr="001371BE" w:rsidRDefault="00255CE7">
            <w:pPr>
              <w:keepNext/>
            </w:pPr>
          </w:p>
        </w:tc>
      </w:tr>
      <w:tr w:rsidR="00024A66" w:rsidRPr="001371BE" w:rsidTr="00F65B14">
        <w:trPr>
          <w:jc w:val="center"/>
        </w:trPr>
        <w:tc>
          <w:tcPr>
            <w:tcW w:w="4876" w:type="dxa"/>
            <w:hideMark/>
          </w:tcPr>
          <w:p w:rsidR="00255CE7" w:rsidRPr="001371BE" w:rsidRDefault="00592AAB">
            <w:pPr>
              <w:pStyle w:val="ColumnHeading"/>
              <w:keepNext/>
            </w:pPr>
            <w:r w:rsidRPr="001371BE">
              <w:t>Gældende ordlyd</w:t>
            </w:r>
          </w:p>
        </w:tc>
        <w:tc>
          <w:tcPr>
            <w:tcW w:w="4876" w:type="dxa"/>
            <w:hideMark/>
          </w:tcPr>
          <w:p w:rsidR="00255CE7" w:rsidRPr="001371BE" w:rsidRDefault="00592AAB">
            <w:pPr>
              <w:pStyle w:val="ColumnHeading"/>
              <w:keepNext/>
            </w:pPr>
            <w:r w:rsidRPr="001371BE">
              <w:t>Ændringsforslag</w:t>
            </w:r>
          </w:p>
        </w:tc>
      </w:tr>
      <w:tr w:rsidR="00024A66" w:rsidRPr="001371BE" w:rsidTr="00F65B14">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14a)</w:t>
            </w:r>
            <w:r w:rsidRPr="001371BE">
              <w:rPr>
                <w:b/>
                <w:i/>
              </w:rPr>
              <w:tab/>
              <w:t>I artikel 47 foretages følgende ændringer:</w:t>
            </w:r>
          </w:p>
        </w:tc>
      </w:tr>
      <w:tr w:rsidR="00024A66" w:rsidRPr="001371BE" w:rsidTr="00697429">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a) Stk. 1, litra b), affattes således:</w:t>
            </w:r>
          </w:p>
        </w:tc>
      </w:tr>
      <w:tr w:rsidR="00024A66" w:rsidRPr="001371BE" w:rsidTr="00F65B14">
        <w:trPr>
          <w:jc w:val="center"/>
        </w:trPr>
        <w:tc>
          <w:tcPr>
            <w:tcW w:w="4876" w:type="dxa"/>
            <w:hideMark/>
          </w:tcPr>
          <w:p w:rsidR="00697429" w:rsidRPr="001371BE" w:rsidRDefault="00592AAB" w:rsidP="00697429">
            <w:pPr>
              <w:pStyle w:val="Normal6"/>
            </w:pPr>
            <w:r w:rsidRPr="001371BE">
              <w:rPr>
                <w:b/>
                <w:i/>
              </w:rPr>
              <w:t>b) sikre</w:t>
            </w:r>
            <w:r w:rsidRPr="001371BE">
              <w:t xml:space="preserve"> en velordnet afvikling eller omstrukturering af </w:t>
            </w:r>
            <w:r w:rsidRPr="001371BE">
              <w:rPr>
                <w:b/>
                <w:i/>
              </w:rPr>
              <w:t>CSD'ens aktiviteter over en passende periode på mindst seks måneder under en række stressscenarier</w:t>
            </w:r>
            <w:r w:rsidRPr="001371BE">
              <w:t>.</w:t>
            </w:r>
          </w:p>
        </w:tc>
        <w:tc>
          <w:tcPr>
            <w:tcW w:w="4876" w:type="dxa"/>
            <w:hideMark/>
          </w:tcPr>
          <w:p w:rsidR="00697429" w:rsidRPr="001371BE" w:rsidRDefault="00592AAB" w:rsidP="00697429">
            <w:pPr>
              <w:pStyle w:val="Normal6"/>
              <w:rPr>
                <w:szCs w:val="24"/>
              </w:rPr>
            </w:pPr>
            <w:r w:rsidRPr="001371BE">
              <w:rPr>
                <w:b/>
                <w:i/>
              </w:rPr>
              <w:t>"muliggøre</w:t>
            </w:r>
            <w:r w:rsidRPr="001371BE">
              <w:t xml:space="preserve"> en velordnet afvikling eller omstrukturering af </w:t>
            </w:r>
            <w:r w:rsidRPr="001371BE">
              <w:rPr>
                <w:b/>
                <w:i/>
              </w:rPr>
              <w:t>dens aktiviteter og tjenesteydelser, hvis CSD'en ikke kan tilvejebringe ny kapital."</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CrossRef"/>
      </w:pPr>
      <w:r w:rsidRPr="001371BE">
        <w:t>(https://eur-lex.europa.eu/legal-content/DA/TXT/PDF/?uri=CELEX:02014R0909-20220622&amp;qid=1665050653870&amp;from=EN)</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På tidspunktet for udarbejdelse af planerne for genopretning eller velordnet afvikling kan en CSD ikke på forhånd fastsætte bestemmelser, der effektivt "sikrer" en rettidig overførsel, eftersom dette ville afhænge af de efterfølgende omstændigheder. Det foreslås derfor, at CSD-planerne bør "muliggøre" dette mål. Af hensyn til konsekvensen og letlæseligheden foreslås det endvidere at flytte sætningen om bestyrelsens godkendelse og kommunikation til den kompetente myndighed fra artikel 47 til artikel 22.</w:t>
      </w:r>
    </w:p>
    <w:p w:rsidR="00255CE7" w:rsidRPr="001371BE" w:rsidRDefault="00592AAB" w:rsidP="00255CE7">
      <w:r w:rsidRPr="001371BE">
        <w:rPr>
          <w:rStyle w:val="HideTWBExt"/>
          <w:noProof w:val="0"/>
        </w:rPr>
        <w:t>&lt;/Amend&gt;</w:t>
      </w:r>
    </w:p>
    <w:p w:rsidR="002E07DA" w:rsidRPr="001371BE" w:rsidRDefault="00592AAB" w:rsidP="002E07DA">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77</w:t>
      </w:r>
      <w:r w:rsidRPr="001371BE">
        <w:rPr>
          <w:rStyle w:val="HideTWBExt"/>
          <w:b w:val="0"/>
          <w:noProof w:val="0"/>
        </w:rPr>
        <w:t>&lt;/NumAm&gt;</w:t>
      </w:r>
    </w:p>
    <w:p w:rsidR="002E07DA" w:rsidRPr="001371BE" w:rsidRDefault="00592AAB" w:rsidP="002E07DA">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E07DA" w:rsidRPr="001371BE" w:rsidRDefault="00592AAB" w:rsidP="002E07DA">
      <w:pPr>
        <w:pStyle w:val="NormalBold"/>
      </w:pPr>
      <w:r w:rsidRPr="001371BE">
        <w:rPr>
          <w:rStyle w:val="HideTWBExt"/>
          <w:b w:val="0"/>
          <w:noProof w:val="0"/>
        </w:rPr>
        <w:t>&lt;Article&gt;</w:t>
      </w:r>
      <w:r w:rsidRPr="001371BE">
        <w:t>Artikel 1 – stk. 1 – nr. 14 a (nyt)</w:t>
      </w:r>
      <w:r w:rsidRPr="001371BE">
        <w:rPr>
          <w:rStyle w:val="HideTWBExt"/>
          <w:b w:val="0"/>
          <w:noProof w:val="0"/>
        </w:rPr>
        <w:t>&lt;/Article&gt;</w:t>
      </w:r>
    </w:p>
    <w:p w:rsidR="002E07DA" w:rsidRPr="001371BE" w:rsidRDefault="00592AAB" w:rsidP="002E07DA">
      <w:pPr>
        <w:keepNext/>
      </w:pPr>
      <w:r w:rsidRPr="001371BE">
        <w:rPr>
          <w:rStyle w:val="HideTWBExt"/>
          <w:noProof w:val="0"/>
        </w:rPr>
        <w:t>&lt;DocAmend2&gt;</w:t>
      </w:r>
      <w:r w:rsidRPr="001371BE">
        <w:t>Forordning (EU) nr. 909/2014</w:t>
      </w:r>
      <w:r w:rsidRPr="001371BE">
        <w:rPr>
          <w:rStyle w:val="HideTWBExt"/>
          <w:noProof w:val="0"/>
        </w:rPr>
        <w:t>&lt;/DocAmend2&gt;</w:t>
      </w:r>
    </w:p>
    <w:p w:rsidR="002E07DA" w:rsidRPr="001371BE" w:rsidRDefault="00592AAB" w:rsidP="002E07DA">
      <w:r w:rsidRPr="001371BE">
        <w:rPr>
          <w:rStyle w:val="HideTWBExt"/>
          <w:noProof w:val="0"/>
        </w:rPr>
        <w:t>&lt;Article2&gt;</w:t>
      </w:r>
      <w:r w:rsidRPr="001371BE">
        <w:t>Artikel 47 – stk. 2 – afsnit 2</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0C0D9C">
        <w:trPr>
          <w:jc w:val="center"/>
        </w:trPr>
        <w:tc>
          <w:tcPr>
            <w:tcW w:w="9752" w:type="dxa"/>
            <w:gridSpan w:val="2"/>
          </w:tcPr>
          <w:p w:rsidR="002E07DA" w:rsidRPr="001371BE" w:rsidRDefault="002E07DA" w:rsidP="000C0D9C">
            <w:pPr>
              <w:keepNext/>
            </w:pPr>
          </w:p>
        </w:tc>
      </w:tr>
      <w:tr w:rsidR="00024A66" w:rsidRPr="001371BE" w:rsidTr="000C0D9C">
        <w:trPr>
          <w:jc w:val="center"/>
        </w:trPr>
        <w:tc>
          <w:tcPr>
            <w:tcW w:w="4876" w:type="dxa"/>
            <w:hideMark/>
          </w:tcPr>
          <w:p w:rsidR="002E07DA" w:rsidRPr="001371BE" w:rsidRDefault="00592AAB" w:rsidP="000C0D9C">
            <w:pPr>
              <w:pStyle w:val="ColumnHeading"/>
              <w:keepNext/>
            </w:pPr>
            <w:r w:rsidRPr="001371BE">
              <w:t>Gældende ordlyd</w:t>
            </w:r>
          </w:p>
        </w:tc>
        <w:tc>
          <w:tcPr>
            <w:tcW w:w="4876" w:type="dxa"/>
            <w:hideMark/>
          </w:tcPr>
          <w:p w:rsidR="002E07DA" w:rsidRPr="001371BE" w:rsidRDefault="00592AAB" w:rsidP="000C0D9C">
            <w:pPr>
              <w:pStyle w:val="ColumnHeading"/>
              <w:keepNext/>
            </w:pPr>
            <w:r w:rsidRPr="001371BE">
              <w:t>Ændringsforslag</w:t>
            </w:r>
          </w:p>
        </w:tc>
      </w:tr>
      <w:tr w:rsidR="00024A66" w:rsidRPr="001371BE" w:rsidTr="000C0D9C">
        <w:trPr>
          <w:jc w:val="center"/>
        </w:trPr>
        <w:tc>
          <w:tcPr>
            <w:tcW w:w="4876" w:type="dxa"/>
          </w:tcPr>
          <w:p w:rsidR="002E07DA" w:rsidRPr="001371BE" w:rsidRDefault="002E07DA" w:rsidP="000C0D9C">
            <w:pPr>
              <w:pStyle w:val="Normal6"/>
            </w:pPr>
          </w:p>
        </w:tc>
        <w:tc>
          <w:tcPr>
            <w:tcW w:w="4876" w:type="dxa"/>
            <w:hideMark/>
          </w:tcPr>
          <w:p w:rsidR="002E07DA" w:rsidRPr="001371BE" w:rsidRDefault="00592AAB" w:rsidP="000C0D9C">
            <w:pPr>
              <w:pStyle w:val="Normal6"/>
              <w:rPr>
                <w:b/>
                <w:i/>
              </w:rPr>
            </w:pPr>
            <w:r w:rsidRPr="001371BE">
              <w:rPr>
                <w:b/>
                <w:i/>
              </w:rPr>
              <w:t>b) Stk. 2, andet afsnit, affattes således:</w:t>
            </w:r>
          </w:p>
        </w:tc>
      </w:tr>
      <w:tr w:rsidR="00024A66" w:rsidRPr="001371BE" w:rsidTr="000C0D9C">
        <w:trPr>
          <w:jc w:val="center"/>
        </w:trPr>
        <w:tc>
          <w:tcPr>
            <w:tcW w:w="4876" w:type="dxa"/>
            <w:hideMark/>
          </w:tcPr>
          <w:p w:rsidR="002E07DA" w:rsidRPr="001371BE" w:rsidRDefault="00592AAB" w:rsidP="000C0D9C">
            <w:pPr>
              <w:pStyle w:val="Normal6"/>
            </w:pPr>
            <w:r w:rsidRPr="001371BE">
              <w:rPr>
                <w:b/>
                <w:i/>
              </w:rPr>
              <w:t>Planen godkendes af ledelsesorganet eller et passende udvalg under ledelsesorganet og ajourføres med regelmæssige mellemrum. Enhver ajourføring af planen forelægges den kompetente myndighed til godkendelse. Den kompetente myndighed kan kræve, at CSD'en træffer yderligere eller eventuelle alternative foranstaltninger, hvis den kompetente myndighed vurderer, at CSD'ens plan er utilstrækkelig.</w:t>
            </w:r>
          </w:p>
        </w:tc>
        <w:tc>
          <w:tcPr>
            <w:tcW w:w="4876" w:type="dxa"/>
            <w:hideMark/>
          </w:tcPr>
          <w:p w:rsidR="002E07DA" w:rsidRPr="001371BE" w:rsidRDefault="00592AAB" w:rsidP="000C0D9C">
            <w:pPr>
              <w:pStyle w:val="Normal6"/>
              <w:rPr>
                <w:b/>
                <w:i/>
              </w:rPr>
            </w:pPr>
            <w:r w:rsidRPr="001371BE">
              <w:rPr>
                <w:b/>
                <w:i/>
              </w:rPr>
              <w:t>"Den i første afsnit, litra b), krævede plan udarbejdes i overensstemmelse med artikel 22.".</w:t>
            </w:r>
          </w:p>
        </w:tc>
      </w:tr>
    </w:tbl>
    <w:p w:rsidR="002E07DA" w:rsidRPr="001371BE" w:rsidRDefault="00592AAB" w:rsidP="00BE0ADC">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E07DA" w:rsidRPr="001371BE" w:rsidRDefault="00592AAB" w:rsidP="002E07DA">
      <w:r w:rsidRPr="001371BE">
        <w:rPr>
          <w:rStyle w:val="HideTWBExt"/>
          <w:noProof w:val="0"/>
        </w:rPr>
        <w:t>&lt;/Amend&gt;</w:t>
      </w:r>
    </w:p>
    <w:p w:rsidR="00F65B14" w:rsidRPr="001371BE" w:rsidRDefault="00592AAB" w:rsidP="00F65B14">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78</w:t>
      </w:r>
      <w:r w:rsidRPr="001371BE">
        <w:rPr>
          <w:rStyle w:val="HideTWBExt"/>
          <w:b w:val="0"/>
          <w:noProof w:val="0"/>
        </w:rPr>
        <w:t>&lt;/NumAm&gt;</w:t>
      </w:r>
    </w:p>
    <w:p w:rsidR="00F65B14" w:rsidRPr="001371BE" w:rsidRDefault="00592AAB" w:rsidP="00F65B14">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F65B14" w:rsidRPr="001371BE" w:rsidRDefault="00592AAB" w:rsidP="00F65B14">
      <w:pPr>
        <w:pStyle w:val="NormalBold"/>
      </w:pPr>
      <w:r w:rsidRPr="001371BE">
        <w:rPr>
          <w:rStyle w:val="HideTWBExt"/>
          <w:b w:val="0"/>
          <w:noProof w:val="0"/>
        </w:rPr>
        <w:t>&lt;Article&gt;</w:t>
      </w:r>
      <w:r w:rsidRPr="001371BE">
        <w:t>Artikel 1 – stk. 1 – nr. 14 b (nyt)</w:t>
      </w:r>
      <w:r w:rsidRPr="001371BE">
        <w:rPr>
          <w:rStyle w:val="HideTWBExt"/>
          <w:b w:val="0"/>
          <w:noProof w:val="0"/>
        </w:rPr>
        <w:t>&lt;/Article&gt;</w:t>
      </w:r>
    </w:p>
    <w:p w:rsidR="00F65B14" w:rsidRPr="001371BE" w:rsidRDefault="00592AAB" w:rsidP="00F65B14">
      <w:pPr>
        <w:keepNext/>
      </w:pPr>
      <w:r w:rsidRPr="001371BE">
        <w:rPr>
          <w:rStyle w:val="HideTWBExt"/>
          <w:noProof w:val="0"/>
        </w:rPr>
        <w:t>&lt;DocAmend2&gt;</w:t>
      </w:r>
      <w:r w:rsidRPr="001371BE">
        <w:t>Forordning (EU) nr. 909/2014</w:t>
      </w:r>
      <w:r w:rsidRPr="001371BE">
        <w:rPr>
          <w:rStyle w:val="HideTWBExt"/>
          <w:noProof w:val="0"/>
        </w:rPr>
        <w:t>&lt;/DocAmend2&gt;</w:t>
      </w:r>
    </w:p>
    <w:p w:rsidR="00F65B14" w:rsidRPr="001371BE" w:rsidRDefault="00592AAB" w:rsidP="00F65B14">
      <w:r w:rsidRPr="001371BE">
        <w:rPr>
          <w:rStyle w:val="HideTWBExt"/>
          <w:noProof w:val="0"/>
        </w:rPr>
        <w:t>&lt;Article2&gt;</w:t>
      </w:r>
      <w:r w:rsidRPr="001371BE">
        <w:t>Artikel 47 a (ny)</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F65B14">
        <w:trPr>
          <w:jc w:val="center"/>
        </w:trPr>
        <w:tc>
          <w:tcPr>
            <w:tcW w:w="9752" w:type="dxa"/>
            <w:gridSpan w:val="2"/>
          </w:tcPr>
          <w:p w:rsidR="00F65B14" w:rsidRPr="001371BE" w:rsidRDefault="00F65B14" w:rsidP="005D3009">
            <w:pPr>
              <w:keepNext/>
            </w:pPr>
          </w:p>
        </w:tc>
      </w:tr>
      <w:tr w:rsidR="00024A66" w:rsidRPr="001371BE" w:rsidTr="00F65B14">
        <w:trPr>
          <w:jc w:val="center"/>
        </w:trPr>
        <w:tc>
          <w:tcPr>
            <w:tcW w:w="4876" w:type="dxa"/>
            <w:hideMark/>
          </w:tcPr>
          <w:p w:rsidR="00F65B14" w:rsidRPr="001371BE" w:rsidRDefault="00592AAB" w:rsidP="005D3009">
            <w:pPr>
              <w:pStyle w:val="ColumnHeading"/>
              <w:keepNext/>
            </w:pPr>
            <w:r w:rsidRPr="001371BE">
              <w:t>Kommissionens forslag</w:t>
            </w:r>
          </w:p>
        </w:tc>
        <w:tc>
          <w:tcPr>
            <w:tcW w:w="4876" w:type="dxa"/>
            <w:hideMark/>
          </w:tcPr>
          <w:p w:rsidR="00F65B14" w:rsidRPr="001371BE" w:rsidRDefault="00592AAB" w:rsidP="005D3009">
            <w:pPr>
              <w:pStyle w:val="ColumnHeading"/>
              <w:keepNext/>
            </w:pPr>
            <w:r w:rsidRPr="001371BE">
              <w:t>Ændringsforslag</w:t>
            </w:r>
          </w:p>
        </w:tc>
      </w:tr>
      <w:tr w:rsidR="00024A66" w:rsidRPr="001371BE" w:rsidTr="00F65B14">
        <w:trPr>
          <w:jc w:val="center"/>
        </w:trPr>
        <w:tc>
          <w:tcPr>
            <w:tcW w:w="4876" w:type="dxa"/>
          </w:tcPr>
          <w:p w:rsidR="00F65B14" w:rsidRPr="001371BE" w:rsidRDefault="00F65B14" w:rsidP="005D3009">
            <w:pPr>
              <w:pStyle w:val="Normal6"/>
            </w:pPr>
          </w:p>
        </w:tc>
        <w:tc>
          <w:tcPr>
            <w:tcW w:w="4876" w:type="dxa"/>
            <w:hideMark/>
          </w:tcPr>
          <w:p w:rsidR="00F65B14" w:rsidRPr="001371BE" w:rsidRDefault="00592AAB" w:rsidP="00320C6C">
            <w:pPr>
              <w:pStyle w:val="Normal6"/>
              <w:rPr>
                <w:szCs w:val="24"/>
              </w:rPr>
            </w:pPr>
            <w:r w:rsidRPr="001371BE">
              <w:rPr>
                <w:b/>
                <w:i/>
              </w:rPr>
              <w:t>14b)</w:t>
            </w:r>
            <w:r w:rsidRPr="001371BE">
              <w:rPr>
                <w:b/>
                <w:i/>
              </w:rPr>
              <w:tab/>
              <w:t>Følgende artikel indsættes:</w:t>
            </w:r>
          </w:p>
        </w:tc>
      </w:tr>
      <w:tr w:rsidR="00024A66" w:rsidRPr="001371BE" w:rsidTr="00F65B14">
        <w:trPr>
          <w:jc w:val="center"/>
        </w:trPr>
        <w:tc>
          <w:tcPr>
            <w:tcW w:w="4876" w:type="dxa"/>
          </w:tcPr>
          <w:p w:rsidR="00F65B14" w:rsidRPr="001371BE" w:rsidRDefault="00F65B14" w:rsidP="005D3009">
            <w:pPr>
              <w:pStyle w:val="Normal6"/>
            </w:pPr>
          </w:p>
        </w:tc>
        <w:tc>
          <w:tcPr>
            <w:tcW w:w="4876" w:type="dxa"/>
            <w:hideMark/>
          </w:tcPr>
          <w:p w:rsidR="001C02EA" w:rsidRPr="001371BE" w:rsidRDefault="00592AAB" w:rsidP="005D3009">
            <w:pPr>
              <w:pStyle w:val="Normal6"/>
              <w:rPr>
                <w:b/>
                <w:i/>
              </w:rPr>
            </w:pPr>
            <w:r w:rsidRPr="001371BE">
              <w:rPr>
                <w:b/>
                <w:i/>
              </w:rPr>
              <w:t>"Artikel 47a</w:t>
            </w:r>
          </w:p>
          <w:p w:rsidR="00F65B14" w:rsidRPr="001371BE" w:rsidRDefault="00592AAB" w:rsidP="005D3009">
            <w:pPr>
              <w:pStyle w:val="Normal6"/>
              <w:rPr>
                <w:szCs w:val="24"/>
              </w:rPr>
            </w:pPr>
            <w:r w:rsidRPr="001371BE">
              <w:rPr>
                <w:b/>
                <w:i/>
              </w:rPr>
              <w:t>Netting</w:t>
            </w:r>
          </w:p>
        </w:tc>
      </w:tr>
      <w:tr w:rsidR="00024A66" w:rsidRPr="001371BE" w:rsidTr="00F65B14">
        <w:trPr>
          <w:jc w:val="center"/>
        </w:trPr>
        <w:tc>
          <w:tcPr>
            <w:tcW w:w="4876" w:type="dxa"/>
          </w:tcPr>
          <w:p w:rsidR="00F65B14" w:rsidRPr="001371BE" w:rsidRDefault="00F65B14" w:rsidP="005D3009">
            <w:pPr>
              <w:pStyle w:val="Normal6"/>
            </w:pPr>
          </w:p>
        </w:tc>
        <w:tc>
          <w:tcPr>
            <w:tcW w:w="4876" w:type="dxa"/>
            <w:hideMark/>
          </w:tcPr>
          <w:p w:rsidR="00F65B14" w:rsidRPr="001371BE" w:rsidRDefault="00592AAB" w:rsidP="00320C6C">
            <w:pPr>
              <w:pStyle w:val="Normal6"/>
              <w:rPr>
                <w:szCs w:val="24"/>
              </w:rPr>
            </w:pPr>
            <w:r w:rsidRPr="001371BE">
              <w:rPr>
                <w:b/>
                <w:i/>
              </w:rPr>
              <w:t>1. CSD'er skal udtrykkeligt i deres interne regler angive, hvorvidt de anvender nettingaftaler.</w:t>
            </w:r>
          </w:p>
        </w:tc>
      </w:tr>
      <w:tr w:rsidR="00024A66" w:rsidRPr="001371BE" w:rsidTr="00F65B14">
        <w:trPr>
          <w:jc w:val="center"/>
        </w:trPr>
        <w:tc>
          <w:tcPr>
            <w:tcW w:w="4876" w:type="dxa"/>
          </w:tcPr>
          <w:p w:rsidR="00F65B14" w:rsidRPr="001371BE" w:rsidRDefault="00F65B14" w:rsidP="005D3009">
            <w:pPr>
              <w:pStyle w:val="Normal6"/>
            </w:pPr>
          </w:p>
        </w:tc>
        <w:tc>
          <w:tcPr>
            <w:tcW w:w="4876" w:type="dxa"/>
            <w:hideMark/>
          </w:tcPr>
          <w:p w:rsidR="00F65B14" w:rsidRPr="001371BE" w:rsidRDefault="00592AAB" w:rsidP="00320C6C">
            <w:pPr>
              <w:pStyle w:val="Normal6"/>
              <w:rPr>
                <w:szCs w:val="24"/>
              </w:rPr>
            </w:pPr>
            <w:r w:rsidRPr="001371BE">
              <w:rPr>
                <w:b/>
                <w:i/>
              </w:rPr>
              <w:t>2. CSD'er, der anvender nettingaftaler, måler, overvåger og forvalter de kredit- og likviditetsrisici, der opstår som følge af nettingaftalerne.</w:t>
            </w:r>
          </w:p>
        </w:tc>
      </w:tr>
      <w:tr w:rsidR="00024A66" w:rsidRPr="001371BE" w:rsidTr="00F65B14">
        <w:trPr>
          <w:jc w:val="center"/>
        </w:trPr>
        <w:tc>
          <w:tcPr>
            <w:tcW w:w="4876" w:type="dxa"/>
          </w:tcPr>
          <w:p w:rsidR="00F65B14" w:rsidRPr="001371BE" w:rsidRDefault="00F65B14" w:rsidP="005D3009">
            <w:pPr>
              <w:pStyle w:val="Normal6"/>
            </w:pPr>
          </w:p>
        </w:tc>
        <w:tc>
          <w:tcPr>
            <w:tcW w:w="4876" w:type="dxa"/>
            <w:hideMark/>
          </w:tcPr>
          <w:p w:rsidR="00F65B14" w:rsidRPr="001371BE" w:rsidRDefault="00592AAB" w:rsidP="00320C6C">
            <w:pPr>
              <w:pStyle w:val="Normal6"/>
              <w:rPr>
                <w:szCs w:val="24"/>
              </w:rPr>
            </w:pPr>
            <w:r w:rsidRPr="001371BE">
              <w:rPr>
                <w:b/>
                <w:i/>
              </w:rPr>
              <w:t>3. ESMA udarbejder i tæt samarbejde med EBA og medlemmerne af ESCB udkast til reguleringsmæssige tekniske standarder med henblik på yderligere at præcisere rammerne for til overvågningen, målingen og forvaltningen af samt rapporteringen om og offentliggørelsen af de risici, der stammer fra nettingaftaler.</w:t>
            </w:r>
          </w:p>
        </w:tc>
      </w:tr>
      <w:tr w:rsidR="00024A66" w:rsidRPr="001371BE" w:rsidTr="00F65B14">
        <w:trPr>
          <w:jc w:val="center"/>
        </w:trPr>
        <w:tc>
          <w:tcPr>
            <w:tcW w:w="4876" w:type="dxa"/>
          </w:tcPr>
          <w:p w:rsidR="00F65B14" w:rsidRPr="001371BE" w:rsidRDefault="00F65B14" w:rsidP="005D3009">
            <w:pPr>
              <w:pStyle w:val="Normal6"/>
            </w:pPr>
          </w:p>
        </w:tc>
        <w:tc>
          <w:tcPr>
            <w:tcW w:w="4876" w:type="dxa"/>
            <w:hideMark/>
          </w:tcPr>
          <w:p w:rsidR="00F65B14" w:rsidRPr="001371BE" w:rsidRDefault="00592AAB" w:rsidP="00522606">
            <w:pPr>
              <w:pStyle w:val="Normal6"/>
              <w:rPr>
                <w:szCs w:val="24"/>
              </w:rPr>
            </w:pPr>
            <w:r w:rsidRPr="001371BE">
              <w:rPr>
                <w:b/>
                <w:i/>
              </w:rPr>
              <w:t>ESMA forelægger de i første afsnit omhandlede udkast til reguleringsmæssige tekniske standarder for Kommissionen senest den ... [ét år efter datoen for denne ændringsforordnings ikrafttræden].</w:t>
            </w:r>
          </w:p>
        </w:tc>
      </w:tr>
      <w:tr w:rsidR="00024A66" w:rsidRPr="001371BE" w:rsidTr="00F65B14">
        <w:trPr>
          <w:jc w:val="center"/>
        </w:trPr>
        <w:tc>
          <w:tcPr>
            <w:tcW w:w="4876" w:type="dxa"/>
          </w:tcPr>
          <w:p w:rsidR="00F65B14" w:rsidRPr="001371BE" w:rsidRDefault="00F65B14" w:rsidP="005D3009">
            <w:pPr>
              <w:pStyle w:val="Normal6"/>
            </w:pPr>
          </w:p>
        </w:tc>
        <w:tc>
          <w:tcPr>
            <w:tcW w:w="4876" w:type="dxa"/>
            <w:hideMark/>
          </w:tcPr>
          <w:p w:rsidR="00F65B14" w:rsidRPr="001371BE" w:rsidRDefault="00592AAB" w:rsidP="005D3009">
            <w:pPr>
              <w:pStyle w:val="Normal6"/>
              <w:rPr>
                <w:szCs w:val="24"/>
              </w:rPr>
            </w:pPr>
            <w:r w:rsidRPr="001371BE">
              <w:rPr>
                <w:b/>
                <w:i/>
              </w:rPr>
              <w:t>Kommissionen tillægges beføjelser til at vedtage de reguleringsmæssige tekniske standarder, der er omhandlet i første afsnit, i overensstemmelse med artikel 10-14 i forordning (EU) nr. 1093/2010.".</w:t>
            </w:r>
          </w:p>
        </w:tc>
      </w:tr>
    </w:tbl>
    <w:p w:rsidR="00F65B14" w:rsidRPr="001371BE" w:rsidRDefault="00592AAB" w:rsidP="00F65B14">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F65B14" w:rsidRPr="001371BE" w:rsidRDefault="00592AAB" w:rsidP="00F65B14">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F65B14" w:rsidRPr="001371BE" w:rsidRDefault="00592AAB" w:rsidP="00F65B14">
      <w:pPr>
        <w:pStyle w:val="Normal12Italic"/>
        <w:rPr>
          <w:noProof w:val="0"/>
        </w:rPr>
      </w:pPr>
      <w:r w:rsidRPr="001371BE">
        <w:rPr>
          <w:noProof w:val="0"/>
        </w:rPr>
        <w:t>Ændringsforslag 15 fremsat af ECB i dets udtalelse af 28. juli 2022. Som det afspejles i flere principper i Principles for Financial Market Infrastructures, som er udgivet af Udvalget om Betalings- og Afviklingssystemer og Den Internationale Børstilsynsorganisation, er der behov for specifikke krav for at afhjælpe risici, der stammer fra CSD'ers nettingaftaler. Disse bør gælder for alle CSD'er, der driver værdipapirafviklingssystemer, og som benytter nettingaftaler, uanset om de pågældende CSD'er leverer bankmæssige accessoriske tjenesteydelser eller ej.</w:t>
      </w:r>
    </w:p>
    <w:p w:rsidR="00F65B14" w:rsidRPr="001371BE" w:rsidRDefault="00592AAB" w:rsidP="00F65B14">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79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14 c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49 – stk. 1 – afsnit 1</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BE0ADC">
        <w:trPr>
          <w:jc w:val="center"/>
        </w:trPr>
        <w:tc>
          <w:tcPr>
            <w:tcW w:w="9752" w:type="dxa"/>
            <w:gridSpan w:val="2"/>
          </w:tcPr>
          <w:p w:rsidR="00255CE7" w:rsidRPr="001371BE" w:rsidRDefault="00255CE7">
            <w:pPr>
              <w:keepNext/>
            </w:pPr>
          </w:p>
        </w:tc>
      </w:tr>
      <w:tr w:rsidR="00024A66" w:rsidRPr="001371BE" w:rsidTr="00BE0ADC">
        <w:trPr>
          <w:jc w:val="center"/>
        </w:trPr>
        <w:tc>
          <w:tcPr>
            <w:tcW w:w="4876" w:type="dxa"/>
            <w:hideMark/>
          </w:tcPr>
          <w:p w:rsidR="00255CE7" w:rsidRPr="001371BE" w:rsidRDefault="00592AAB">
            <w:pPr>
              <w:pStyle w:val="ColumnHeading"/>
              <w:keepNext/>
            </w:pPr>
            <w:r w:rsidRPr="001371BE">
              <w:t>Gældende ordlyd</w:t>
            </w:r>
          </w:p>
        </w:tc>
        <w:tc>
          <w:tcPr>
            <w:tcW w:w="4876" w:type="dxa"/>
            <w:hideMark/>
          </w:tcPr>
          <w:p w:rsidR="00255CE7" w:rsidRPr="001371BE" w:rsidRDefault="00592AAB">
            <w:pPr>
              <w:pStyle w:val="ColumnHeading"/>
              <w:keepNext/>
            </w:pPr>
            <w:r w:rsidRPr="001371BE">
              <w:t>Ændringsforslag</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14c)</w:t>
            </w:r>
            <w:r w:rsidRPr="001371BE">
              <w:rPr>
                <w:b/>
                <w:i/>
              </w:rPr>
              <w:tab/>
              <w:t>Artikel 49, stk. 1, første afsnit, affattes således:</w:t>
            </w:r>
          </w:p>
        </w:tc>
      </w:tr>
      <w:tr w:rsidR="00024A66" w:rsidRPr="001371BE" w:rsidTr="00BE0ADC">
        <w:trPr>
          <w:jc w:val="center"/>
        </w:trPr>
        <w:tc>
          <w:tcPr>
            <w:tcW w:w="4876" w:type="dxa"/>
            <w:hideMark/>
          </w:tcPr>
          <w:p w:rsidR="00255CE7" w:rsidRPr="001371BE" w:rsidRDefault="00592AAB">
            <w:pPr>
              <w:pStyle w:val="Normal6"/>
            </w:pPr>
            <w:r w:rsidRPr="001371BE">
              <w:t>Udstedere har ret til at få registreret deres værdipapirer, der er optaget til handel på regulerede markeder eller MHF'er, eller som handles på handelspladser, i CSD'er, som er oprettet i en medlemsstat, idet den pågældende CSD dog skal opfylde de i artikel 23 omhandlede betingelser.</w:t>
            </w:r>
          </w:p>
        </w:tc>
        <w:tc>
          <w:tcPr>
            <w:tcW w:w="4876" w:type="dxa"/>
            <w:hideMark/>
          </w:tcPr>
          <w:p w:rsidR="00255CE7" w:rsidRPr="001371BE" w:rsidRDefault="00592AAB" w:rsidP="00522606">
            <w:pPr>
              <w:pStyle w:val="Normal6"/>
              <w:rPr>
                <w:szCs w:val="24"/>
              </w:rPr>
            </w:pPr>
            <w:r w:rsidRPr="001371BE">
              <w:t xml:space="preserve">Udstedere har ret til at få registreret deres værdipapirer, der er optaget til handel på regulerede markeder eller MHF'er, eller som handles på markedspladser, i CSD'er, som er oprettet i en medlemsstat, </w:t>
            </w:r>
            <w:r w:rsidRPr="001371BE">
              <w:rPr>
                <w:b/>
                <w:i/>
              </w:rPr>
              <w:t>og når der er tale om aktier,</w:t>
            </w:r>
            <w:r w:rsidRPr="001371BE">
              <w:t xml:space="preserve"> idet den pågældende CSD dog skal opfylde de i artikel 23 omhandlede betingelser.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CrossRef"/>
      </w:pPr>
      <w:r w:rsidRPr="001371BE">
        <w:t>(https://eur-lex.europa.eu/legal-content/DA/TXT/?uri=CELEX:32014R0909#d1e3629-1-1)</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Tilpasning efter forslaget om at begrænse anvendelsesområdet for artikel 23, stk. 3, litra e), i CSD-forordningen til aktier.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80</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17 – litra b – nr. ii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54 – stk. 4 – litra d</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BE0ADC">
        <w:trPr>
          <w:jc w:val="center"/>
        </w:trPr>
        <w:tc>
          <w:tcPr>
            <w:tcW w:w="9752" w:type="dxa"/>
            <w:gridSpan w:val="2"/>
          </w:tcPr>
          <w:p w:rsidR="00255CE7" w:rsidRPr="001371BE" w:rsidRDefault="00255CE7">
            <w:pPr>
              <w:keepNext/>
            </w:pPr>
          </w:p>
        </w:tc>
      </w:tr>
      <w:tr w:rsidR="00024A66" w:rsidRPr="001371BE" w:rsidTr="00BE0ADC">
        <w:trPr>
          <w:jc w:val="center"/>
        </w:trPr>
        <w:tc>
          <w:tcPr>
            <w:tcW w:w="4876" w:type="dxa"/>
            <w:hideMark/>
          </w:tcPr>
          <w:p w:rsidR="00255CE7" w:rsidRPr="001371BE" w:rsidRDefault="00592AAB">
            <w:pPr>
              <w:pStyle w:val="ColumnHeading"/>
              <w:keepNext/>
            </w:pPr>
            <w:r w:rsidRPr="001371BE">
              <w:t>Gældende ordlyd</w:t>
            </w:r>
          </w:p>
        </w:tc>
        <w:tc>
          <w:tcPr>
            <w:tcW w:w="4876" w:type="dxa"/>
            <w:hideMark/>
          </w:tcPr>
          <w:p w:rsidR="00255CE7" w:rsidRPr="001371BE" w:rsidRDefault="00592AAB">
            <w:pPr>
              <w:pStyle w:val="ColumnHeading"/>
              <w:keepNext/>
            </w:pPr>
            <w:r w:rsidRPr="001371BE">
              <w:t>Ændringsforslag</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iia)</w:t>
            </w:r>
            <w:r w:rsidRPr="001371BE">
              <w:rPr>
                <w:b/>
                <w:i/>
              </w:rPr>
              <w:tab/>
              <w:t>Litra d) affattes således:</w:t>
            </w:r>
          </w:p>
        </w:tc>
      </w:tr>
      <w:tr w:rsidR="00024A66" w:rsidRPr="001371BE" w:rsidTr="00BE0ADC">
        <w:trPr>
          <w:jc w:val="center"/>
        </w:trPr>
        <w:tc>
          <w:tcPr>
            <w:tcW w:w="4876" w:type="dxa"/>
            <w:hideMark/>
          </w:tcPr>
          <w:p w:rsidR="00255CE7" w:rsidRPr="001371BE" w:rsidRDefault="00592AAB">
            <w:pPr>
              <w:pStyle w:val="Normal6"/>
            </w:pPr>
            <w:r w:rsidRPr="001371BE">
              <w:rPr>
                <w:b/>
                <w:i/>
              </w:rPr>
              <w:t>d)</w:t>
            </w:r>
            <w:r w:rsidRPr="001371BE">
              <w:t xml:space="preserve"> tilladelsen omhandlet i litra a) bruges kun til at levere de i bilagets afsnit C omhandlede bankmæssige accessoriske tjenesteydelser og ikke til at udføre nogen andre aktiviteter</w:t>
            </w:r>
          </w:p>
        </w:tc>
        <w:tc>
          <w:tcPr>
            <w:tcW w:w="4876" w:type="dxa"/>
            <w:hideMark/>
          </w:tcPr>
          <w:p w:rsidR="00255CE7" w:rsidRPr="001371BE" w:rsidRDefault="00592AAB" w:rsidP="00320C6C">
            <w:pPr>
              <w:pStyle w:val="Normal6"/>
              <w:rPr>
                <w:szCs w:val="24"/>
              </w:rPr>
            </w:pPr>
            <w:r w:rsidRPr="001371BE">
              <w:t>d)</w:t>
            </w:r>
            <w:r w:rsidRPr="001371BE">
              <w:rPr>
                <w:b/>
                <w:i/>
              </w:rPr>
              <w:tab/>
              <w:t>når en CSD søger at udpege et kreditinstitut, som ikke selv udfører nogen af de i bilagets afsnit A omhandlede kerneydelser,</w:t>
            </w:r>
            <w:r w:rsidRPr="001371BE">
              <w:t xml:space="preserve"> bruges tilladelsen omhandlet i litra a) kun til at levere de i bilagets afsnit C omhandlede bankmæssige accessoriske tjenesteydelser </w:t>
            </w:r>
            <w:r w:rsidRPr="001371BE">
              <w:rPr>
                <w:b/>
                <w:i/>
              </w:rPr>
              <w:t>til afvikling af kontantdelen svarende til transaktionerne i værdipapirafviklingssystemet for den CSD, der ønsker at benytte de bankmæssige accessoriske tjenesteydelser i en anden valuta end valutaen i landet, hvor afviklingen finder sted,</w:t>
            </w:r>
            <w:r w:rsidRPr="001371BE">
              <w:t xml:space="preserve"> og ikke til at udføre nogen andre aktiviteter</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når en CSD ønsker at benytte en CSD, der er godkendt i henhold til stk. 3, anvendes den i litra a) omhandlede tilladelse kun til at levere de i bilagets afsnit C omhandlede bankmæssige accessoriske tjenesteydelser til afviklingen af kontantdelen svarende til transaktionerne i værdipapirafviklingssystemet for den CDS, der ønsker at benytte de bankmæssige accessoriske tjenesteydelser i en anden valuta end valutaen i landet, hvor afviklingen finder sted, og ikke til at udføre nogen andre aktiviteter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CrossRef"/>
      </w:pPr>
      <w:r w:rsidRPr="001371BE">
        <w:t>(https://eur-lex.europa.eu/legal-content/DA/TXT/PDF/?uri=CELEX:02014R0909-20220622&amp;qid=1665050653870&amp;from=EN)</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Baseret på ændringsforslag 12 fremsat af ECB i dets udtalelse af 28. juli 2022. Omfanget af tjenesteydelser, som bank-CSD'er tilbyder bruger-CSD'er, bør begrænses til tjenesteydelser, der tilbydes med henblik på afvikling i udenlandsk valuta. Den lille ændring i ECB's forslag – ordene "svarende til" – har til formål at undgå enhver fejlagtig opfattelse af, at afviklingen af kontantdelen kan ske i værdipapirafviklingssystemet for den CDS, der ønsker at benytte de bankmæssige accessoriske tjenesteydelser, og dermed præcisere, at afviklingen af kontantdelen kun kan udføres af bank-CSD'er eller udpegede kreditinstitutter.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17 – litra c</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54 – stk. 5 – afsnit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rPr>
                <w:b/>
                <w:i/>
              </w:rPr>
              <w:t>Den kompetente myndighed</w:t>
            </w:r>
            <w:r w:rsidRPr="001371BE">
              <w:t xml:space="preserve"> kontrollerer mindst én gang om året, at den i første afsnit fastsatte tærskel overholdes og indberetter sine resultater til </w:t>
            </w:r>
            <w:r w:rsidRPr="001371BE">
              <w:rPr>
                <w:b/>
                <w:i/>
              </w:rPr>
              <w:t>ESMA</w:t>
            </w:r>
            <w:r w:rsidRPr="001371BE">
              <w:t>, ESCB og EBA.</w:t>
            </w:r>
            <w:r w:rsidRPr="001371BE">
              <w:rPr>
                <w:b/>
                <w:i/>
              </w:rPr>
              <w:t xml:space="preserve"> </w:t>
            </w:r>
            <w:r w:rsidRPr="001371BE">
              <w:t xml:space="preserve">Såfremt </w:t>
            </w:r>
            <w:r w:rsidRPr="001371BE">
              <w:rPr>
                <w:b/>
                <w:i/>
              </w:rPr>
              <w:t>den kompetente myndighed</w:t>
            </w:r>
            <w:r w:rsidRPr="001371BE">
              <w:t xml:space="preserve"> finder, at tærsklen er overskredet, pålægger </w:t>
            </w:r>
            <w:r w:rsidRPr="001371BE">
              <w:rPr>
                <w:b/>
                <w:i/>
              </w:rPr>
              <w:t>den</w:t>
            </w:r>
            <w:r w:rsidRPr="001371BE">
              <w:t xml:space="preserve"> den berørte CSD at søge om tilladelse i henhold til stk. 4. Den berørte CSD har en frist på seks måneder til at indgive sin ansøgning om tilladelse.</w:t>
            </w:r>
          </w:p>
        </w:tc>
        <w:tc>
          <w:tcPr>
            <w:tcW w:w="4876" w:type="dxa"/>
            <w:hideMark/>
          </w:tcPr>
          <w:p w:rsidR="00255CE7" w:rsidRPr="001371BE" w:rsidRDefault="00592AAB">
            <w:pPr>
              <w:pStyle w:val="Normal6"/>
              <w:rPr>
                <w:szCs w:val="24"/>
              </w:rPr>
            </w:pPr>
            <w:r w:rsidRPr="001371BE">
              <w:rPr>
                <w:b/>
                <w:i/>
              </w:rPr>
              <w:t>ESMA</w:t>
            </w:r>
            <w:r w:rsidRPr="001371BE">
              <w:t xml:space="preserve"> kontrollerer mindst én gang om året, at den i første afsnit fastsatte tærskel overholdes og indberetter sine resultater til </w:t>
            </w:r>
            <w:r w:rsidRPr="001371BE">
              <w:rPr>
                <w:b/>
                <w:i/>
              </w:rPr>
              <w:t>den kompetente myndighed</w:t>
            </w:r>
            <w:r w:rsidRPr="001371BE">
              <w:t>, ESCB og EBA.</w:t>
            </w:r>
            <w:r w:rsidRPr="001371BE">
              <w:rPr>
                <w:b/>
                <w:i/>
              </w:rPr>
              <w:t xml:space="preserve"> </w:t>
            </w:r>
            <w:r w:rsidRPr="001371BE">
              <w:t xml:space="preserve">Såfremt </w:t>
            </w:r>
            <w:r w:rsidRPr="001371BE">
              <w:rPr>
                <w:b/>
                <w:i/>
              </w:rPr>
              <w:t>ESMA</w:t>
            </w:r>
            <w:r w:rsidRPr="001371BE">
              <w:t xml:space="preserve"> finder, at tærsklen er overskredet, pålægger </w:t>
            </w:r>
            <w:r w:rsidRPr="001371BE">
              <w:rPr>
                <w:b/>
                <w:i/>
              </w:rPr>
              <w:t>den kompetente myndighed</w:t>
            </w:r>
            <w:r w:rsidRPr="001371BE">
              <w:t xml:space="preserve"> den berørte CSD at søge om tilladelse i henhold til stk. 4. Den berørte CSD har en frist på seks måneder til at indgive sin ansøgning om tilladelse.</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 synes berettiget at give ESMA ansvaret for at overvåge, at tærsklen overholdes.</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17 – litra d</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54 – stk. 9 – afsnit 1</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EBA udarbejder i tæt samarbejde med ESMA og medlemmerne af ESCB udkast til reguleringsmæssige tekniske standarder for at bestemme maksimumbeløbet i stk. 5, idet der tages hensyn til behovet for balance i kredit- og likviditetsrisiciene for CSD'er, som følger af afviklingen af kontantbetalinger over konti, der er oprettet hos kreditinstitutter, og behovet for at tillade CSD'er at afvikle i udenlandsk valuta over konti, der er oprettet hos sådanne kreditinstitutter. Når EBA udarbejder disse udkast til reguleringsmæssige tekniske standarder, indfører den </w:t>
            </w:r>
            <w:r w:rsidRPr="001371BE">
              <w:rPr>
                <w:b/>
                <w:i/>
              </w:rPr>
              <w:t>om nødvendigt</w:t>
            </w:r>
            <w:r w:rsidRPr="001371BE">
              <w:t xml:space="preserve"> ligeledes bestemmelser om eventuelle ledsagende passende krav vedrørende risikostyring og krav vedrørende afbødning af tilsynsmæssige risici.</w:t>
            </w:r>
          </w:p>
        </w:tc>
        <w:tc>
          <w:tcPr>
            <w:tcW w:w="4876" w:type="dxa"/>
            <w:hideMark/>
          </w:tcPr>
          <w:p w:rsidR="00255CE7" w:rsidRPr="001371BE" w:rsidRDefault="00592AAB">
            <w:pPr>
              <w:pStyle w:val="Normal6"/>
              <w:rPr>
                <w:szCs w:val="24"/>
              </w:rPr>
            </w:pPr>
            <w:r w:rsidRPr="001371BE">
              <w:t>EBA udarbejder i tæt samarbejde med medlemmerne af ESCB udkast til reguleringsmæssige tekniske standarder med henblik på at bestemmelser om trinnene i de procedurer, der er omhandlet i stk. 5 at tage hensyn til</w:t>
            </w:r>
            <w:r w:rsidRPr="001371BE">
              <w:rPr>
                <w:b/>
                <w:i/>
              </w:rPr>
              <w:t>:</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i)</w:t>
            </w:r>
            <w:r w:rsidRPr="001371BE">
              <w:rPr>
                <w:b/>
                <w:i/>
              </w:rPr>
              <w:tab/>
            </w:r>
            <w:r w:rsidRPr="001371BE">
              <w:t>behovet for balance i kredit- og likviditetsrisiciene for CSD'er</w:t>
            </w:r>
            <w:r w:rsidRPr="001371BE">
              <w:rPr>
                <w:b/>
                <w:i/>
              </w:rPr>
              <w:t>, for de udpegede kreditinstitutter og for de CSD-deltagere</w:t>
            </w:r>
            <w:r w:rsidRPr="001371BE">
              <w:t>, som følger af afviklingen af kontantbetalinger over konti, der er oprettet hos kreditinstitutter</w:t>
            </w:r>
            <w:r w:rsidRPr="001371BE">
              <w:rPr>
                <w:b/>
                <w:i/>
              </w:rPr>
              <w:t>, der er undtaget fra anvendelsen af stk. 4,</w:t>
            </w:r>
            <w:r w:rsidRPr="001371BE">
              <w:t xml:space="preserve"> og behovet for at tillade CSD'er at afvikle i udenlandsk valuta over konti, der er oprettet hos sådanne kreditinstitutter.</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ii)</w:t>
            </w:r>
            <w:r w:rsidRPr="001371BE">
              <w:rPr>
                <w:b/>
                <w:i/>
              </w:rPr>
              <w:tab/>
              <w:t>indvirkningen på markedsstabiliteten, der kan opstå som følge af en ændring af CSD'ers risikoprofil under hensyntagen til deres systemiske betydning for værdipapirmarkedernes funktion</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CD4444">
            <w:pPr>
              <w:pStyle w:val="Normal6"/>
              <w:rPr>
                <w:szCs w:val="24"/>
              </w:rPr>
            </w:pPr>
            <w:r w:rsidRPr="001371BE">
              <w:rPr>
                <w:b/>
                <w:i/>
              </w:rPr>
              <w:t>iii)</w:t>
            </w:r>
            <w:r w:rsidRPr="001371BE">
              <w:rPr>
                <w:b/>
                <w:i/>
              </w:rPr>
              <w:tab/>
              <w:t>behovet for at undgå såvel et utilsigtet skift fra afvikling i centralbankpenge til afvikling i handelsbankpenge og fjernelse af CSD'ers incitament til at opnå afvikling i centralbankpenge</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iv)</w:t>
            </w:r>
            <w:r w:rsidRPr="001371BE">
              <w:rPr>
                <w:b/>
                <w:i/>
              </w:rPr>
              <w:tab/>
              <w:t>eksisterende global vejledning såsom Principles for Financial Market Infrastructures.</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t>Når EBA udarbejder disse udkast til reguleringsmæssige tekniske standarder, indfører den ligeledes bestemmelser om eventuelle ledsagende passende krav vedrørende risikostyring og krav vedrørende afbødning af tilsynsmæssige risici.</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Formålet med dette ændringsforslag er at behandle de bekymringer, som ECB giver udtryk for i sin udtalelse af 28. juli 2022 vedrørende bankmæssige accessoriske tjenesteydelser. Der er desuden altid behov for risikoreducerende foranstaltninger for at overholde Principles for Financial Market Infrastructures (PFMI).</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18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55 – stk. 6 a (nyt)</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F65B14">
        <w:trPr>
          <w:jc w:val="center"/>
        </w:trPr>
        <w:tc>
          <w:tcPr>
            <w:tcW w:w="9752" w:type="dxa"/>
            <w:gridSpan w:val="2"/>
          </w:tcPr>
          <w:p w:rsidR="00255CE7" w:rsidRPr="001371BE" w:rsidRDefault="00255CE7">
            <w:pPr>
              <w:keepNext/>
            </w:pPr>
          </w:p>
        </w:tc>
      </w:tr>
      <w:tr w:rsidR="00024A66" w:rsidRPr="001371BE" w:rsidTr="00F65B14">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F65B14">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18a)</w:t>
            </w:r>
            <w:r w:rsidRPr="001371BE">
              <w:rPr>
                <w:b/>
                <w:i/>
              </w:rPr>
              <w:tab/>
              <w:t>I artikel 55 tilføjes følgende stykke:</w:t>
            </w:r>
          </w:p>
        </w:tc>
      </w:tr>
      <w:tr w:rsidR="00024A66" w:rsidRPr="001371BE" w:rsidTr="00F65B14">
        <w:trPr>
          <w:jc w:val="center"/>
        </w:trPr>
        <w:tc>
          <w:tcPr>
            <w:tcW w:w="4876" w:type="dxa"/>
          </w:tcPr>
          <w:p w:rsidR="00255CE7" w:rsidRPr="001371BE" w:rsidRDefault="00255CE7">
            <w:pPr>
              <w:pStyle w:val="Normal6"/>
            </w:pPr>
          </w:p>
        </w:tc>
        <w:tc>
          <w:tcPr>
            <w:tcW w:w="4876" w:type="dxa"/>
            <w:hideMark/>
          </w:tcPr>
          <w:p w:rsidR="00255CE7" w:rsidRPr="001371BE" w:rsidRDefault="00592AAB" w:rsidP="00CD4444">
            <w:pPr>
              <w:pStyle w:val="Normal6"/>
              <w:rPr>
                <w:szCs w:val="24"/>
              </w:rPr>
            </w:pPr>
            <w:r w:rsidRPr="001371BE">
              <w:rPr>
                <w:b/>
                <w:i/>
              </w:rPr>
              <w:t>"6a.</w:t>
            </w:r>
            <w:r w:rsidRPr="001371BE">
              <w:rPr>
                <w:b/>
                <w:i/>
              </w:rPr>
              <w:tab/>
              <w:t>Den kompetente myndighed underretter straks de i stk. 4, litra a)-e), omhandlede myndigheder om resultaterne af godkendelsesprocessen, herunder eventuelle afhjælpende foranstaltninger.".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Formålet med dette ændringsforslag er at tilføje et tilsvarende krav for bankmæssige accessoriske tjenesteydelser som det, der findes i Kommissionens forslag til godkendelsesproceduren i henhold til artikel 17 (jf. forslaget til et nyt stk. 7a i den artikel).</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84</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19 – litra a – nr. iii</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59 – stk. 4 – litra k</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F65B14">
        <w:trPr>
          <w:jc w:val="center"/>
        </w:trPr>
        <w:tc>
          <w:tcPr>
            <w:tcW w:w="9752" w:type="dxa"/>
            <w:gridSpan w:val="2"/>
          </w:tcPr>
          <w:p w:rsidR="00255CE7" w:rsidRPr="001371BE" w:rsidRDefault="00255CE7">
            <w:pPr>
              <w:keepNext/>
            </w:pPr>
          </w:p>
        </w:tc>
      </w:tr>
      <w:tr w:rsidR="00024A66" w:rsidRPr="001371BE" w:rsidTr="00F65B14">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F65B14">
        <w:trPr>
          <w:jc w:val="center"/>
        </w:trPr>
        <w:tc>
          <w:tcPr>
            <w:tcW w:w="4876" w:type="dxa"/>
            <w:hideMark/>
          </w:tcPr>
          <w:p w:rsidR="00255CE7" w:rsidRPr="001371BE" w:rsidRDefault="00592AAB">
            <w:pPr>
              <w:pStyle w:val="Normal6"/>
            </w:pPr>
            <w:r w:rsidRPr="001371BE">
              <w:rPr>
                <w:b/>
                <w:i/>
              </w:rPr>
              <w:t>iii)</w:t>
            </w:r>
            <w:r w:rsidRPr="001371BE">
              <w:rPr>
                <w:b/>
                <w:i/>
              </w:rPr>
              <w:tab/>
              <w:t>Følgende tilføjes som litra k):</w:t>
            </w:r>
          </w:p>
        </w:tc>
        <w:tc>
          <w:tcPr>
            <w:tcW w:w="4876" w:type="dxa"/>
            <w:hideMark/>
          </w:tcPr>
          <w:p w:rsidR="00255CE7" w:rsidRPr="001371BE" w:rsidRDefault="00592AAB">
            <w:pPr>
              <w:pStyle w:val="Normal6"/>
              <w:rPr>
                <w:szCs w:val="24"/>
              </w:rPr>
            </w:pPr>
            <w:r w:rsidRPr="001371BE">
              <w:rPr>
                <w:b/>
                <w:i/>
              </w:rPr>
              <w:t>udgår</w:t>
            </w:r>
          </w:p>
        </w:tc>
      </w:tr>
      <w:tr w:rsidR="00024A66" w:rsidRPr="001371BE" w:rsidTr="00F65B14">
        <w:trPr>
          <w:jc w:val="center"/>
        </w:trPr>
        <w:tc>
          <w:tcPr>
            <w:tcW w:w="4876" w:type="dxa"/>
            <w:hideMark/>
          </w:tcPr>
          <w:p w:rsidR="00255CE7" w:rsidRPr="001371BE" w:rsidRDefault="00592AAB">
            <w:pPr>
              <w:pStyle w:val="Normal6"/>
            </w:pPr>
            <w:r w:rsidRPr="001371BE">
              <w:rPr>
                <w:b/>
                <w:i/>
              </w:rPr>
              <w:t>k)</w:t>
            </w:r>
            <w:r w:rsidRPr="001371BE">
              <w:rPr>
                <w:b/>
                <w:i/>
              </w:rPr>
              <w:tab/>
              <w:t>det skal overvåge og styre eventuelle risici på passende vis, herunder relevante nettingaftaler i tilknytning til kontantdelen af deres anvendte afviklingsmodel."</w:t>
            </w:r>
          </w:p>
        </w:tc>
        <w:tc>
          <w:tcPr>
            <w:tcW w:w="4876" w:type="dxa"/>
          </w:tcPr>
          <w:p w:rsidR="00255CE7" w:rsidRPr="001371BE" w:rsidRDefault="00255CE7">
            <w:pPr>
              <w:pStyle w:val="Normal6"/>
              <w:rPr>
                <w:szCs w:val="24"/>
              </w:rPr>
            </w:pP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Denne tilføjelse bliver overflødig, hvis ECB's anbefaling om at indsætte specifikke bestemmelser til afhjælpning risiciene ved nettingaftaler efterkommes.</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85</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20 – litra a</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60 – stk. 1 – afsnit 3</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697429">
        <w:trPr>
          <w:jc w:val="center"/>
        </w:trPr>
        <w:tc>
          <w:tcPr>
            <w:tcW w:w="9752" w:type="dxa"/>
            <w:gridSpan w:val="2"/>
          </w:tcPr>
          <w:p w:rsidR="00255CE7" w:rsidRPr="001371BE" w:rsidRDefault="00255CE7">
            <w:pPr>
              <w:keepNext/>
            </w:pPr>
          </w:p>
        </w:tc>
      </w:tr>
      <w:tr w:rsidR="00024A66" w:rsidRPr="001371BE" w:rsidTr="00697429">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697429">
        <w:trPr>
          <w:jc w:val="center"/>
        </w:trPr>
        <w:tc>
          <w:tcPr>
            <w:tcW w:w="4876" w:type="dxa"/>
            <w:hideMark/>
          </w:tcPr>
          <w:p w:rsidR="00255CE7" w:rsidRPr="001371BE" w:rsidRDefault="00592AAB">
            <w:pPr>
              <w:pStyle w:val="Normal6"/>
            </w:pPr>
            <w:r w:rsidRPr="001371BE">
              <w:t xml:space="preserve">Den i første afsnit omhandlede kompetente myndighed skal regelmæssigt og mindst </w:t>
            </w:r>
            <w:r w:rsidRPr="001371BE">
              <w:rPr>
                <w:b/>
                <w:i/>
              </w:rPr>
              <w:t>en gang om året</w:t>
            </w:r>
            <w:r w:rsidRPr="001371BE">
              <w:t xml:space="preserve"> vurdere, om det udpegede kreditinstitut eller den CSD, der er meddelt tilladelse til at levere bankmæssige accessoriske tjenesteydelser, overholder artikel 59, og underretter den kompetente myndighed for CSD'en, der derpå underretter myndighederne omhandlet i artikel 55, stk. 4, og, hvis det er relevant, </w:t>
            </w:r>
            <w:r w:rsidRPr="001371BE">
              <w:rPr>
                <w:b/>
                <w:i/>
              </w:rPr>
              <w:t>tilsynskollegierne</w:t>
            </w:r>
            <w:r w:rsidRPr="001371BE">
              <w:t xml:space="preserve"> omhandlet i artikel 24a om resultaterne, herunder eventuelle afhjælpende foranstaltninger eller sanktioner, af dens tilsyn i henhold til dette stykke.</w:t>
            </w:r>
          </w:p>
        </w:tc>
        <w:tc>
          <w:tcPr>
            <w:tcW w:w="4876" w:type="dxa"/>
            <w:hideMark/>
          </w:tcPr>
          <w:p w:rsidR="00255CE7" w:rsidRPr="001371BE" w:rsidRDefault="00592AAB">
            <w:pPr>
              <w:pStyle w:val="Normal6"/>
              <w:rPr>
                <w:szCs w:val="24"/>
              </w:rPr>
            </w:pPr>
            <w:r w:rsidRPr="001371BE">
              <w:t xml:space="preserve">Den i første afsnit omhandlede kompetente myndighed skal regelmæssigt og mindst </w:t>
            </w:r>
            <w:r w:rsidRPr="001371BE">
              <w:rPr>
                <w:b/>
                <w:i/>
              </w:rPr>
              <w:t>hvert andet år</w:t>
            </w:r>
            <w:r w:rsidRPr="001371BE">
              <w:t xml:space="preserve"> vurdere, om det udpegede kreditinstitut eller den CSD, der er meddelt tilladelse til at levere bankmæssige accessoriske tjenesteydelser, overholder artikel 59, og underretter den kompetente myndighed for CSD'en, der derpå underretter myndighederne omhandlet i artikel 55, stk. 4, og, hvis det er relevant, </w:t>
            </w:r>
            <w:r w:rsidRPr="001371BE">
              <w:rPr>
                <w:b/>
                <w:i/>
              </w:rPr>
              <w:t>tilsynskollegiet</w:t>
            </w:r>
            <w:r w:rsidRPr="001371BE">
              <w:t xml:space="preserve"> omhandlet i artikel 24a om resultaterne, herunder eventuelle afhjælpende foranstaltninger eller sanktioner, af dens tilsyn i henhold til dette stykke.</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Ændringsforslag 13 fremsat af ECB i dets udtalelse af 28. juli 2022. Af hensyn til konsekvensen giver det mening at tilpasse den foreslåede minimumshyppighed, hvormed de kompetente myndigheder for CSD og de i artikel 4, stk. 1, nr. 40, i forordning (EU) nr. 575/2013 omhandlede myndigheder reviderer og evaluerer, hvorvidt bankmæssige accessoriske tjenesteydelser er i overensstemmelse med CSD-forordningen, til hyppigheden af revisionen og evalueringen af CSD'er. Det foreslås at udvide hyppigheden af sådanne vurderinger til hvert andet år.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86</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20 – litra b</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60 – stk. 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697429" w:rsidRPr="001371BE" w:rsidRDefault="00592AAB">
            <w:pPr>
              <w:pStyle w:val="Normal6"/>
            </w:pPr>
            <w:r w:rsidRPr="001371BE">
              <w:t>b)</w:t>
            </w:r>
            <w:r w:rsidRPr="001371BE">
              <w:tab/>
              <w:t>stk. 2</w:t>
            </w:r>
            <w:r w:rsidRPr="001371BE">
              <w:rPr>
                <w:b/>
                <w:i/>
              </w:rPr>
              <w:t>, andet afsnit,</w:t>
            </w:r>
            <w:r w:rsidRPr="001371BE">
              <w:t xml:space="preserve"> affattes således:</w:t>
            </w:r>
          </w:p>
        </w:tc>
        <w:tc>
          <w:tcPr>
            <w:tcW w:w="4876" w:type="dxa"/>
          </w:tcPr>
          <w:p w:rsidR="00697429" w:rsidRPr="001371BE" w:rsidRDefault="00592AAB">
            <w:pPr>
              <w:pStyle w:val="Normal6"/>
              <w:rPr>
                <w:b/>
                <w:i/>
              </w:rPr>
            </w:pPr>
            <w:r w:rsidRPr="001371BE">
              <w:t>b)</w:t>
            </w:r>
            <w:r w:rsidRPr="001371BE">
              <w:tab/>
              <w:t>Stk. 2 affattes således:</w:t>
            </w:r>
          </w:p>
        </w:tc>
      </w:tr>
      <w:tr w:rsidR="00024A66" w:rsidRPr="001371BE" w:rsidTr="00255CE7">
        <w:trPr>
          <w:jc w:val="center"/>
        </w:trPr>
        <w:tc>
          <w:tcPr>
            <w:tcW w:w="4876" w:type="dxa"/>
            <w:hideMark/>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"2.</w:t>
            </w:r>
            <w:r w:rsidRPr="001371BE">
              <w:rPr>
                <w:b/>
                <w:i/>
              </w:rPr>
              <w:tab/>
              <w:t>Den kompetente myndighed for CSD'en skal efter høring af de i stk. 1 omhandlede kompetente myndigheder og de relevante myndigheder og i overensstemmelse med den i artikel 55, stk. 5, omhandlede procedure mindst hvert andet år revidere og evaluere følgende:</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a)</w:t>
            </w:r>
            <w:r w:rsidRPr="001371BE">
              <w:rPr>
                <w:b/>
                <w:i/>
              </w:rPr>
              <w:tab/>
              <w:t>i det i artikel 54, stk. 2, litra b), nævnte tilfælde om alle nødvendige ordninger mellem de udpegede kreditinstitutter og CSD'en gør det muligt for dem at opfylde deres forpligtelser som fastsat i denne forordning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CD4444">
            <w:pPr>
              <w:pStyle w:val="Normal6"/>
              <w:rPr>
                <w:szCs w:val="24"/>
              </w:rPr>
            </w:pPr>
            <w:r w:rsidRPr="001371BE">
              <w:rPr>
                <w:b/>
                <w:i/>
              </w:rPr>
              <w:t>b)</w:t>
            </w:r>
            <w:r w:rsidRPr="001371BE">
              <w:rPr>
                <w:b/>
                <w:i/>
              </w:rPr>
              <w:tab/>
              <w:t>i det i artikel 54, stk. 2, litra a), nævnte tilfælde om ordningerne vedrørende tilladelse til at levere bankmæssige accessoriske tjenesteydelser gør det muligt for CSD'en at opfylde sine forpligtelser som fastsat i denne forordning.</w:t>
            </w:r>
          </w:p>
        </w:tc>
      </w:tr>
      <w:tr w:rsidR="00024A66" w:rsidRPr="001371BE" w:rsidTr="00255CE7">
        <w:trPr>
          <w:jc w:val="center"/>
        </w:trPr>
        <w:tc>
          <w:tcPr>
            <w:tcW w:w="4876" w:type="dxa"/>
          </w:tcPr>
          <w:p w:rsidR="00255CE7" w:rsidRPr="001371BE" w:rsidRDefault="00592AAB">
            <w:pPr>
              <w:pStyle w:val="Normal6"/>
            </w:pPr>
            <w:r w:rsidRPr="001371BE">
              <w:t xml:space="preserve">Den kompetente myndighed for CSD'en underretter regelmæssigt og mindst </w:t>
            </w:r>
            <w:r w:rsidRPr="001371BE">
              <w:rPr>
                <w:b/>
                <w:i/>
              </w:rPr>
              <w:t>én gang om året</w:t>
            </w:r>
            <w:r w:rsidRPr="001371BE">
              <w:t xml:space="preserve"> de relevante myndigheder omhandlet i artikel 55, stk. 4, og, hvis det er relevant, </w:t>
            </w:r>
            <w:r w:rsidRPr="001371BE">
              <w:rPr>
                <w:b/>
                <w:i/>
              </w:rPr>
              <w:t>tilsynskollegierne</w:t>
            </w:r>
            <w:r w:rsidRPr="001371BE">
              <w:t xml:space="preserve"> omhandlet i artikel 24a om resultaterne af sin undersøgelse og vurdering i medfør af dette stykke, herunder om afhjælpende foranstaltninger eller sanktioner.</w:t>
            </w:r>
          </w:p>
        </w:tc>
        <w:tc>
          <w:tcPr>
            <w:tcW w:w="4876" w:type="dxa"/>
            <w:hideMark/>
          </w:tcPr>
          <w:p w:rsidR="00255CE7" w:rsidRPr="001371BE" w:rsidRDefault="00592AAB">
            <w:pPr>
              <w:pStyle w:val="Normal6"/>
              <w:rPr>
                <w:szCs w:val="24"/>
              </w:rPr>
            </w:pPr>
            <w:r w:rsidRPr="001371BE">
              <w:t xml:space="preserve">Den kompetente myndighed for CSD'en underretter regelmæssigt og mindst </w:t>
            </w:r>
            <w:r w:rsidRPr="001371BE">
              <w:rPr>
                <w:b/>
                <w:i/>
              </w:rPr>
              <w:t>hvert andet år</w:t>
            </w:r>
            <w:r w:rsidRPr="001371BE">
              <w:t xml:space="preserve"> de relevante myndigheder omhandlet i artikel 55, stk. 4, og, hvis det er relevant, </w:t>
            </w:r>
            <w:r w:rsidRPr="001371BE">
              <w:rPr>
                <w:b/>
                <w:i/>
              </w:rPr>
              <w:t>tilsynskollegiet</w:t>
            </w:r>
            <w:r w:rsidRPr="001371BE">
              <w:t xml:space="preserve"> omhandlet i artikel 24a om resultaterne af sin undersøgelse og vurdering i medfør af dette stykke, herunder om afhjælpende foranstaltninger eller sanktioner.</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Hvis en CSD udpeger et kreditinstitut, der er meddelt tilladelse i henhold til artikel 54, skal en CSD, med henblik på beskyttelse af deltagerne i de værdipapirafviklingssystemer, CSD'en driver, sikre, at den fra det kreditinstitut, den udpeger, har adgang til alle nødvendige oplysninger med henblik på anvendelse af denne forordning. CSD'en indberetter alle tilfælde, hvor det udpegede kreditinstitut undlader at levere de nødvendige oplysninger til den kompetente myndighed for CSD'en og til de i stk. 1 nævnte kompetente myndigheder.".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Baseret på ændringsforslag 13 fremsat af ECB i dets udtalelse af 28. juli 2022. Af hensyn til konsekvensen giver det mening at tilpasse den foreslåede minimumshyppighed, hvormed de kompetente myndigheder for CSD og de i artikel 4, stk. 1, nr. 40, i forordning (EU) nr. 575/2013 omhandlede myndigheder reviderer og evaluerer, hvorvidt bankmæssige accessoriske tjenesteydelser er i overensstemmelse med CSD-forordningen, til hyppigheden af revisionen og evalueringen af CSD'er. Det foreslås at udvide hyppigheden af sådanne vurderinger til hvert andet år.</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87</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23 – litra c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69 – stk. 6 a (nyt)</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F65B14">
        <w:trPr>
          <w:jc w:val="center"/>
        </w:trPr>
        <w:tc>
          <w:tcPr>
            <w:tcW w:w="9752" w:type="dxa"/>
            <w:gridSpan w:val="2"/>
          </w:tcPr>
          <w:p w:rsidR="00255CE7" w:rsidRPr="001371BE" w:rsidRDefault="00255CE7">
            <w:pPr>
              <w:keepNext/>
            </w:pPr>
          </w:p>
        </w:tc>
      </w:tr>
      <w:tr w:rsidR="00024A66" w:rsidRPr="001371BE" w:rsidTr="00F65B14">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F65B14">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ca)</w:t>
            </w:r>
            <w:r w:rsidRPr="001371BE">
              <w:rPr>
                <w:b/>
                <w:i/>
              </w:rPr>
              <w:tab/>
              <w:t>Følgende stykke tilføjes:</w:t>
            </w:r>
          </w:p>
        </w:tc>
      </w:tr>
      <w:tr w:rsidR="00024A66" w:rsidRPr="001371BE" w:rsidTr="00F65B14">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"6a.</w:t>
            </w:r>
            <w:r w:rsidRPr="001371BE">
              <w:rPr>
                <w:b/>
                <w:i/>
              </w:rPr>
              <w:tab/>
              <w:t>Udstederne, til hvem en CSD allerede leverer tjenesteydelser vedrørende ... [datoen for denne ændringsforordnings [Refit-forslaget om CSD-forordningen] ikrafttræden] får udstedt og leverer deres LEI til CSD'en inden for et år herefter.".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LEI-koden er et krav for adskillige enheder i henhold til flere forskellige regler, hvoraf ingen gælder direkte for alle udstedere. LEI-kravet i forordningen om prospekter gælder kun for EU-udstedere, hvorved de stilles ringere end udstedere fra tredjelande. Forordning (EU) 2017/394 om gennemførelsesmæssige tekniske standarder er rettet til CSD'er, som måske ikke altid har midlerne til at pålægge udstederne dette. Med dette ændringsforslag indføres en direkte forpligtelse til, at alle udstedere skal have en LEI-kode uden at skabe markedsforstyrrelser, eftersom kravet allerede gælder for CSD'er, mens anden lovgivning allerede dækker kravet for størstedelen af udstedere.</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88</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23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72</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23a)</w:t>
            </w:r>
            <w:r w:rsidRPr="001371BE">
              <w:rPr>
                <w:b/>
                <w:i/>
              </w:rPr>
              <w:tab/>
              <w:t>Artikel 72 udgår.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CrossRef"/>
      </w:pPr>
      <w:r w:rsidRPr="001371BE">
        <w:t>(https://eur-lex.europa.eu/legal-content/DA/TXT/?uri=CELEX%3A32014R0909#d1e5083-1-1)</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Sletningen af artikel 15 i forordning (EU) nr. 236/2012 (short selling-forordningen) via artikel 72 i forordning (EU) nr. 909/2014 (CSD-forordningen) trådte i kraft i februar 2022 i henhold til bestemmelserne i artikel 76, stk. 5, i CSD-forordningen. Dette var begrundet, fordi short selling-forordningens bestemmelser om CCP'ers dækningskøb imod naked short-selling herefter vil være dækket af CSD-forordningens bestemmelser om management buy-in. Kombineret med forsinkelsen i CSD-forordningens ordning vedrørende management buy-in efterlod sletningen af artikel 15 i short selling-forordningen et hul i lovgivningen. Sideløbende med forslaget om at fjerne anvendelsen af bestemmelserne om management buy-in i CSD-forordningen foreslås det at genindføre disse bestemmelser i short selling-forordningen.</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89</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24 – litra a – nr. iii a (nyt)</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74 – stk. 1 – litra l a (nyt)</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F65B14">
        <w:trPr>
          <w:jc w:val="center"/>
        </w:trPr>
        <w:tc>
          <w:tcPr>
            <w:tcW w:w="9752" w:type="dxa"/>
            <w:gridSpan w:val="2"/>
          </w:tcPr>
          <w:p w:rsidR="00255CE7" w:rsidRPr="001371BE" w:rsidRDefault="00255CE7">
            <w:pPr>
              <w:keepNext/>
            </w:pPr>
          </w:p>
        </w:tc>
      </w:tr>
      <w:tr w:rsidR="00024A66" w:rsidRPr="001371BE" w:rsidTr="00F65B14">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F65B14">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iiia)</w:t>
            </w:r>
            <w:r w:rsidRPr="001371BE">
              <w:rPr>
                <w:b/>
                <w:i/>
              </w:rPr>
              <w:tab/>
              <w:t>Følgende litra tilføjes:</w:t>
            </w:r>
          </w:p>
        </w:tc>
      </w:tr>
      <w:tr w:rsidR="00024A66" w:rsidRPr="001371BE" w:rsidTr="00F65B14">
        <w:trPr>
          <w:jc w:val="center"/>
        </w:trPr>
        <w:tc>
          <w:tcPr>
            <w:tcW w:w="4876" w:type="dxa"/>
          </w:tcPr>
          <w:p w:rsidR="00255CE7" w:rsidRPr="001371BE" w:rsidRDefault="00255CE7">
            <w:pPr>
              <w:pStyle w:val="Normal6"/>
            </w:pPr>
          </w:p>
        </w:tc>
        <w:tc>
          <w:tcPr>
            <w:tcW w:w="4876" w:type="dxa"/>
            <w:hideMark/>
          </w:tcPr>
          <w:p w:rsidR="00255CE7" w:rsidRPr="001371BE" w:rsidRDefault="00592AAB" w:rsidP="00320C6C">
            <w:pPr>
              <w:pStyle w:val="Normal6"/>
              <w:rPr>
                <w:szCs w:val="24"/>
              </w:rPr>
            </w:pPr>
            <w:r w:rsidRPr="001371BE">
              <w:rPr>
                <w:b/>
                <w:i/>
              </w:rPr>
              <w:t>"(la) de potentielle fordele og udfordringer, som indførelsen af en T+1-afviklingscyklus vil medføre, herunder en vurdering af dens indvirkning på modparter, markedet, kredit- og driftsrisici, dens indvirkning på Unionens kapitalmarkeders samlede konkurrencedygtighed og tiltrækningskraft og dens indvirkning og gennemførlighed i forbindelse med graden af afviklingseffektiviteten på Unionens kapitalmarkeder"</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 foreslås, at ESMA udarbejder en rapport over omkostninger og fordele ved at afkorte afviklingscyklussen fra den nuværende T+2-standard til T+1.  Kommissionen bør så tage højde for konstateringerne i en sådan rapport ved revisionen af Refit-forslaget om CSD-forordningen.</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90</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24 – litra b</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74 – stk. 1a – litra d</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d)</w:t>
            </w:r>
            <w:r w:rsidRPr="001371BE">
              <w:tab/>
              <w:t xml:space="preserve">efter anmodning fra Kommissionen for de rapporter, der er nævnt i stk. 1, litra e), h), j) </w:t>
            </w:r>
            <w:r w:rsidRPr="001371BE">
              <w:rPr>
                <w:b/>
                <w:i/>
              </w:rPr>
              <w:t>og k)</w:t>
            </w:r>
          </w:p>
        </w:tc>
        <w:tc>
          <w:tcPr>
            <w:tcW w:w="4876" w:type="dxa"/>
            <w:hideMark/>
          </w:tcPr>
          <w:p w:rsidR="00255CE7" w:rsidRPr="001371BE" w:rsidRDefault="00592AAB">
            <w:pPr>
              <w:pStyle w:val="Normal6"/>
              <w:rPr>
                <w:szCs w:val="24"/>
              </w:rPr>
            </w:pPr>
            <w:r w:rsidRPr="001371BE">
              <w:t>d)</w:t>
            </w:r>
            <w:r w:rsidRPr="001371BE">
              <w:tab/>
              <w:t>efter anmodning fra Kommissionen for de rapporter, der er nævnt i stk. 1, litra e), h), j)</w:t>
            </w:r>
            <w:r w:rsidRPr="001371BE">
              <w:rPr>
                <w:b/>
                <w:i/>
              </w:rPr>
              <w:t>, k) og la)</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 foreslås, at rapporten, som fremsat i ændringsforslaget til artikel 74, stk. 1, om et muligt skift til en afviklingsproces T+1 bør indgives til Kommissionen på opfordring.</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91</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 stk. 1 – nr. 25</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909/2014</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75 – stk. 1</w:t>
      </w:r>
      <w:r w:rsidRPr="001371B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 xml:space="preserve">Senest den … [Publikationskontoret: Indsæt venligst datoen = 5 år efter denne forordnings ikrafttræden] reviderer og udarbejder Kommissionen en generel rapport om denne forordning. Denne rapport skal navnlig vurdere spørgsmålene i artikel 74, stk. 1, litra </w:t>
            </w:r>
            <w:r w:rsidRPr="001371BE">
              <w:rPr>
                <w:b/>
                <w:i/>
              </w:rPr>
              <w:t>a)-l)</w:t>
            </w:r>
            <w:r w:rsidRPr="001371BE">
              <w:t>, fastslå, om der er væsentlige hindringer for konkurrencen i forhold til de tjenesteydelser, som er omfattet af denne forordning, og som behandles i utilstrækkelig grad, og bestemme det potentielle behov for yderligere foranstaltninger til at:</w:t>
            </w:r>
          </w:p>
        </w:tc>
        <w:tc>
          <w:tcPr>
            <w:tcW w:w="4876" w:type="dxa"/>
            <w:hideMark/>
          </w:tcPr>
          <w:p w:rsidR="00540D3E" w:rsidRPr="001371BE" w:rsidRDefault="00592AAB" w:rsidP="00972470">
            <w:pPr>
              <w:pStyle w:val="Normal6"/>
              <w:rPr>
                <w:szCs w:val="24"/>
              </w:rPr>
            </w:pPr>
            <w:r w:rsidRPr="001371BE">
              <w:t xml:space="preserve">Senest den … [Publikationskontoret: Indsæt venligst datoen = 5 år efter denne forordnings ikrafttræden] reviderer og udarbejder Kommissionen en generel rapport om denne forordning. Denne rapport skal navnlig vurdere spørgsmålene i artikel 74, stk. 1, litra </w:t>
            </w:r>
            <w:r w:rsidRPr="001371BE">
              <w:rPr>
                <w:b/>
                <w:i/>
              </w:rPr>
              <w:t>a)-l), og rapporten i artikel 14 i Europa-Parlamentets og Rådets forordning (EU) 2022/858</w:t>
            </w:r>
            <w:r w:rsidRPr="001371BE">
              <w:rPr>
                <w:b/>
                <w:i/>
                <w:vertAlign w:val="superscript"/>
              </w:rPr>
              <w:t>43a</w:t>
            </w:r>
            <w:r w:rsidRPr="001371BE">
              <w:t xml:space="preserve">, fastslå, om der er væsentlige hindringer for konkurrencen i forhold til de tjenesteydelser, som er omfattet af denne forordning, og som behandles i utilstrækkelig grad, og bestemme det potentielle behov for yderligere foranstaltninger til at: </w:t>
            </w:r>
          </w:p>
        </w:tc>
      </w:tr>
      <w:tr w:rsidR="00024A66" w:rsidRPr="001371BE" w:rsidTr="00255CE7">
        <w:trPr>
          <w:jc w:val="center"/>
        </w:trPr>
        <w:tc>
          <w:tcPr>
            <w:tcW w:w="4876" w:type="dxa"/>
          </w:tcPr>
          <w:p w:rsidR="00972470" w:rsidRPr="001371BE" w:rsidRDefault="00972470">
            <w:pPr>
              <w:pStyle w:val="Normal6"/>
            </w:pPr>
          </w:p>
        </w:tc>
        <w:tc>
          <w:tcPr>
            <w:tcW w:w="4876" w:type="dxa"/>
          </w:tcPr>
          <w:p w:rsidR="00972470" w:rsidRPr="001371BE" w:rsidRDefault="00592AAB">
            <w:pPr>
              <w:pStyle w:val="Normal6"/>
              <w:rPr>
                <w:szCs w:val="24"/>
              </w:rPr>
            </w:pPr>
            <w:r w:rsidRPr="001371BE">
              <w:t>___________________</w:t>
            </w:r>
          </w:p>
        </w:tc>
      </w:tr>
      <w:tr w:rsidR="00024A66" w:rsidRPr="001371BE" w:rsidTr="00255CE7">
        <w:trPr>
          <w:jc w:val="center"/>
        </w:trPr>
        <w:tc>
          <w:tcPr>
            <w:tcW w:w="4876" w:type="dxa"/>
          </w:tcPr>
          <w:p w:rsidR="00972470" w:rsidRPr="001371BE" w:rsidRDefault="00972470">
            <w:pPr>
              <w:pStyle w:val="Normal6"/>
            </w:pPr>
          </w:p>
        </w:tc>
        <w:tc>
          <w:tcPr>
            <w:tcW w:w="4876" w:type="dxa"/>
          </w:tcPr>
          <w:p w:rsidR="00972470" w:rsidRPr="001371BE" w:rsidRDefault="00592AAB" w:rsidP="00BE0ADC">
            <w:pPr>
              <w:pStyle w:val="title-bold"/>
              <w:shd w:val="clear" w:color="auto" w:fill="FFFFFF"/>
              <w:spacing w:before="0" w:beforeAutospacing="0" w:after="75" w:afterAutospacing="0"/>
            </w:pPr>
            <w:r w:rsidRPr="001371BE">
              <w:rPr>
                <w:b/>
                <w:i/>
              </w:rPr>
              <w:t>43a Europa-Parlamentets og Rådets forordning (EU) 2022/858 af 30. maj 2022 om en pilotordning for markedsinfrastrukturer baseret på distributed ledger-teknologi og om ændring af forordning (EU) nr. 600/2014 og (EU) nr. 909/2014 og direktiv 2014/65/EU (</w:t>
            </w:r>
            <w:r w:rsidRPr="001371BE">
              <w:rPr>
                <w:rStyle w:val="Emphasis"/>
                <w:b/>
              </w:rPr>
              <w:t>EUT L 151, 2.6.2022, s. 1).</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Det foreslås, at rapporten, som fremsat i ændringsforslaget til artikel 74, stk. 1, om et muligt skift til en afviklingsproces T+1 bør tages i betragtning af Kommissionen, når den arbejder på Refit-forslaget om CSD-forordningen. Desuden foreslås det, at Kommissionen også tager højde for evalueringen af DLT-pilotordningen og derved også overvejer DLT-relaterede ændringer af CSD-forordningen, der kan bidrage til at gøre den bedre egnet til den digitale tidsalder, hvis relevant.</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92</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1 a (ny)</w:t>
      </w:r>
      <w:r w:rsidRPr="001371BE">
        <w:rPr>
          <w:rStyle w:val="HideTWBExt"/>
          <w:b w:val="0"/>
          <w:noProof w:val="0"/>
        </w:rPr>
        <w:t>&lt;/Article&gt;</w:t>
      </w:r>
    </w:p>
    <w:p w:rsidR="00255CE7" w:rsidRPr="001371BE" w:rsidRDefault="00592AAB" w:rsidP="00255CE7">
      <w:pPr>
        <w:keepNext/>
      </w:pPr>
      <w:r w:rsidRPr="001371BE">
        <w:rPr>
          <w:rStyle w:val="HideTWBExt"/>
          <w:noProof w:val="0"/>
        </w:rPr>
        <w:t>&lt;DocAmend2&gt;</w:t>
      </w:r>
      <w:r w:rsidRPr="001371BE">
        <w:t>Forordning (EU) nr. 236/2012</w:t>
      </w:r>
      <w:r w:rsidRPr="001371BE">
        <w:rPr>
          <w:rStyle w:val="HideTWBExt"/>
          <w:noProof w:val="0"/>
        </w:rPr>
        <w:t>&lt;/DocAmend2&gt;</w:t>
      </w:r>
    </w:p>
    <w:p w:rsidR="00255CE7" w:rsidRPr="001371BE" w:rsidRDefault="00592AAB" w:rsidP="00255CE7">
      <w:r w:rsidRPr="001371BE">
        <w:rPr>
          <w:rStyle w:val="HideTWBExt"/>
          <w:noProof w:val="0"/>
        </w:rPr>
        <w:t>&lt;Article2&gt;</w:t>
      </w:r>
      <w:r w:rsidRPr="001371BE">
        <w:t>Artikel 15</w:t>
      </w:r>
      <w:r w:rsidRPr="001371B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BE0ADC">
        <w:trPr>
          <w:jc w:val="center"/>
        </w:trPr>
        <w:tc>
          <w:tcPr>
            <w:tcW w:w="9752" w:type="dxa"/>
            <w:gridSpan w:val="2"/>
          </w:tcPr>
          <w:p w:rsidR="00255CE7" w:rsidRPr="001371BE" w:rsidRDefault="00255CE7">
            <w:pPr>
              <w:keepNext/>
            </w:pPr>
          </w:p>
        </w:tc>
      </w:tr>
      <w:tr w:rsidR="00024A66" w:rsidRPr="001371BE" w:rsidTr="00BE0ADC">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972470">
            <w:pPr>
              <w:pStyle w:val="Normal6"/>
              <w:jc w:val="center"/>
              <w:rPr>
                <w:szCs w:val="24"/>
              </w:rPr>
            </w:pPr>
            <w:r w:rsidRPr="001371BE">
              <w:rPr>
                <w:b/>
                <w:i/>
              </w:rPr>
              <w:t>Artikel 1a</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jc w:val="center"/>
              <w:rPr>
                <w:szCs w:val="24"/>
              </w:rPr>
            </w:pPr>
            <w:r w:rsidRPr="001371BE">
              <w:rPr>
                <w:b/>
                <w:i/>
              </w:rPr>
              <w:t>Ændring af forordning (EU) nr. 236/2012</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Følgende artikel indsættes:</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"Artikel 15</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Procedurer for dækningskøb</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EE58BA">
            <w:pPr>
              <w:pStyle w:val="Normal6"/>
              <w:rPr>
                <w:szCs w:val="24"/>
              </w:rPr>
            </w:pPr>
            <w:r w:rsidRPr="001371BE">
              <w:rPr>
                <w:b/>
                <w:i/>
              </w:rPr>
              <w:t>En central modpart i en medlemsstat, som leverer clearingydelser til aktier, skal sikre, at der findes procedurer, som opfylder alle følgende krav:</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EE58BA">
            <w:pPr>
              <w:pStyle w:val="Normal6"/>
              <w:rPr>
                <w:szCs w:val="24"/>
              </w:rPr>
            </w:pPr>
            <w:r w:rsidRPr="001371BE">
              <w:rPr>
                <w:b/>
                <w:i/>
              </w:rPr>
              <w:t>a)</w:t>
            </w:r>
            <w:r w:rsidRPr="001371BE">
              <w:rPr>
                <w:b/>
                <w:i/>
              </w:rPr>
              <w:tab/>
              <w:t>når en fysisk eller juridisk person, der sælger aktier, ikke kan levere aktierne til afvikling inden for fire bankdage fra den dag, hvor afviklingen forfalder, iværksættes der automatisk procedurer for dækningskøb af aktierne for at sikre levering til afvikling</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EE58BA">
            <w:pPr>
              <w:pStyle w:val="Normal6"/>
              <w:rPr>
                <w:szCs w:val="24"/>
              </w:rPr>
            </w:pPr>
            <w:r w:rsidRPr="001371BE">
              <w:rPr>
                <w:b/>
                <w:i/>
              </w:rPr>
              <w:t>b)</w:t>
            </w:r>
            <w:r w:rsidRPr="001371BE">
              <w:rPr>
                <w:b/>
                <w:i/>
              </w:rPr>
              <w:tab/>
              <w:t xml:space="preserve">når dækningskøb af aktierne til levering ikke er muligt, betales der et beløb til køberen på basis af værdien af aktierne, der skulle leveres, på leveringsdatoen plus et beløb for tab, som køberen har lidt som følge af den manglende afvikling </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rsidP="00CD4444">
            <w:pPr>
              <w:pStyle w:val="Normal6"/>
              <w:rPr>
                <w:szCs w:val="24"/>
              </w:rPr>
            </w:pPr>
            <w:r w:rsidRPr="001371BE">
              <w:rPr>
                <w:b/>
                <w:i/>
              </w:rPr>
              <w:t>c)</w:t>
            </w:r>
            <w:r w:rsidRPr="001371BE">
              <w:rPr>
                <w:b/>
                <w:i/>
              </w:rPr>
              <w:tab/>
              <w:t>en fysisk eller juridisk person, der ikke foretager afvikling, godtgør alle beløb, som er betalt i henhold til litra a) og b).</w:t>
            </w:r>
          </w:p>
        </w:tc>
      </w:tr>
      <w:tr w:rsidR="00024A66" w:rsidRPr="001371BE" w:rsidTr="00FE0B26">
        <w:trPr>
          <w:jc w:val="center"/>
        </w:trPr>
        <w:tc>
          <w:tcPr>
            <w:tcW w:w="4876" w:type="dxa"/>
          </w:tcPr>
          <w:p w:rsidR="00255CE7" w:rsidRPr="001371BE" w:rsidRDefault="00255CE7">
            <w:pPr>
              <w:pStyle w:val="Normal6"/>
            </w:pPr>
          </w:p>
        </w:tc>
        <w:tc>
          <w:tcPr>
            <w:tcW w:w="4876" w:type="dxa"/>
            <w:hideMark/>
          </w:tcPr>
          <w:p w:rsidR="00255CE7" w:rsidRPr="001371BE" w:rsidRDefault="00592AAB" w:rsidP="00FE0B26">
            <w:pPr>
              <w:pStyle w:val="Normal6"/>
              <w:rPr>
                <w:szCs w:val="24"/>
              </w:rPr>
            </w:pPr>
            <w:r w:rsidRPr="001371BE">
              <w:rPr>
                <w:b/>
                <w:i/>
              </w:rPr>
              <w:t>En central modpart i en medlemsstat, der leverer clearingydelser til aktier, skal sikre, at der findes procedurer til at sikre, at når en fysisk eller juridisk person, der sælger aktier, ikke leverer aktierne til afvikling på den dag, hvor afvikling skal finde sted, er en sådan person forpligtet til at betale dagbøder for hver dag, leveringen udebliver.</w:t>
            </w:r>
          </w:p>
        </w:tc>
      </w:tr>
      <w:tr w:rsidR="00024A66" w:rsidRPr="001371BE" w:rsidTr="00BE0ADC">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Dagbøderne i henhold til tredje afsnit er tilstrækkelig høje til at virke afskrækkende for fysiske eller juridiske personer, som ikke foretager afvikling."</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 xml:space="preserve">Afskaffelsen af artikel 15 i forordning (EU) nr. 236/2012 (short selling-forordningen) via </w:t>
      </w:r>
      <w:bookmarkStart w:id="1" w:name="_GoBack"/>
      <w:bookmarkEnd w:id="1"/>
      <w:r w:rsidRPr="001371BE">
        <w:rPr>
          <w:noProof w:val="0"/>
        </w:rPr>
        <w:t>artikel 72 i forordning (EU) nr. 909/2014 (CSD-forordningen (CSDR)) trådte i kraft i februar 2022 i henhold til bestemmelserne i artikel 76, stk. 5, i CSDR. Det var berettiget, fordi short selling-forordningens bestemmelser om centrale modparters dækningskøb i modsætning til naked short-selling i så fald vil være omfattet af CSD-forordningens bestemmelser om obligatoriske dækningskøb. Kombineret med forsinkelsen af CSD-forordningens ordning for obligatorisk dækningskøb har afskaffelsen af artikel 15 i short selling-forordningen efterladt et hul i lovgivningen. Parallelt med forslaget om helt at skrotte anvendelsen af CSD-forordningens bestemmelser om obligatoriske dækningskøb foreslås det at genindføre disse bestemmelser i short selling-forordningen.</w:t>
      </w:r>
    </w:p>
    <w:p w:rsidR="00255CE7" w:rsidRPr="001371BE" w:rsidRDefault="00592AAB" w:rsidP="00255CE7">
      <w:r w:rsidRPr="001371BE">
        <w:rPr>
          <w:rStyle w:val="HideTWBExt"/>
          <w:noProof w:val="0"/>
        </w:rPr>
        <w:t>&lt;/Amend&gt;</w:t>
      </w:r>
    </w:p>
    <w:p w:rsidR="00255CE7" w:rsidRPr="001371BE" w:rsidRDefault="00592AAB" w:rsidP="00255CE7">
      <w:pPr>
        <w:pStyle w:val="AMNumberTabs0"/>
        <w:keepNext/>
      </w:pPr>
      <w:r w:rsidRPr="001371BE">
        <w:rPr>
          <w:rStyle w:val="HideTWBExt"/>
          <w:b w:val="0"/>
          <w:noProof w:val="0"/>
        </w:rPr>
        <w:t>&lt;Amend&gt;</w:t>
      </w:r>
      <w:r w:rsidRPr="001371BE">
        <w:t>Ændringsforslag</w:t>
      </w:r>
      <w:r w:rsidRPr="001371BE">
        <w:tab/>
      </w:r>
      <w:r w:rsidRPr="001371BE">
        <w:tab/>
      </w:r>
      <w:r w:rsidRPr="001371BE">
        <w:rPr>
          <w:rStyle w:val="HideTWBExt"/>
          <w:b w:val="0"/>
          <w:noProof w:val="0"/>
        </w:rPr>
        <w:t>&lt;NumAm&gt;</w:t>
      </w:r>
      <w:r w:rsidRPr="001371BE">
        <w:t>93</w:t>
      </w:r>
      <w:r w:rsidRPr="001371BE">
        <w:rPr>
          <w:rStyle w:val="HideTWBExt"/>
          <w:b w:val="0"/>
          <w:noProof w:val="0"/>
        </w:rPr>
        <w:t>&lt;/NumAm&gt;</w:t>
      </w:r>
    </w:p>
    <w:p w:rsidR="00255CE7" w:rsidRPr="001371BE" w:rsidRDefault="00592AAB" w:rsidP="00255CE7">
      <w:pPr>
        <w:pStyle w:val="NormalBold12b"/>
        <w:keepNext/>
      </w:pPr>
      <w:r w:rsidRPr="001371BE">
        <w:rPr>
          <w:rStyle w:val="HideTWBExt"/>
          <w:b w:val="0"/>
          <w:noProof w:val="0"/>
        </w:rPr>
        <w:t>&lt;DocAmend&gt;</w:t>
      </w:r>
      <w:r w:rsidRPr="001371BE">
        <w:t>Forslag til forordning</w:t>
      </w:r>
      <w:r w:rsidRPr="001371BE">
        <w:rPr>
          <w:rStyle w:val="HideTWBExt"/>
          <w:b w:val="0"/>
          <w:noProof w:val="0"/>
        </w:rPr>
        <w:t>&lt;/DocAmend&gt;</w:t>
      </w:r>
    </w:p>
    <w:p w:rsidR="00255CE7" w:rsidRPr="001371BE" w:rsidRDefault="00592AAB" w:rsidP="00255CE7">
      <w:pPr>
        <w:pStyle w:val="NormalBold"/>
      </w:pPr>
      <w:r w:rsidRPr="001371BE">
        <w:rPr>
          <w:rStyle w:val="HideTWBExt"/>
          <w:b w:val="0"/>
          <w:noProof w:val="0"/>
        </w:rPr>
        <w:t>&lt;Article&gt;</w:t>
      </w:r>
      <w:r w:rsidRPr="001371BE">
        <w:t>Artikel 2 – stk. 2</w:t>
      </w:r>
      <w:r w:rsidRPr="001371B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66" w:rsidRPr="001371BE" w:rsidTr="00255CE7">
        <w:trPr>
          <w:jc w:val="center"/>
        </w:trPr>
        <w:tc>
          <w:tcPr>
            <w:tcW w:w="9752" w:type="dxa"/>
            <w:gridSpan w:val="2"/>
          </w:tcPr>
          <w:p w:rsidR="00255CE7" w:rsidRPr="001371BE" w:rsidRDefault="00255CE7">
            <w:pPr>
              <w:keepNext/>
            </w:pPr>
          </w:p>
        </w:tc>
      </w:tr>
      <w:tr w:rsidR="00024A66" w:rsidRPr="001371BE" w:rsidTr="00255CE7">
        <w:trPr>
          <w:jc w:val="center"/>
        </w:trPr>
        <w:tc>
          <w:tcPr>
            <w:tcW w:w="4876" w:type="dxa"/>
            <w:hideMark/>
          </w:tcPr>
          <w:p w:rsidR="00255CE7" w:rsidRPr="001371BE" w:rsidRDefault="00592AAB">
            <w:pPr>
              <w:pStyle w:val="ColumnHeading"/>
              <w:keepNext/>
            </w:pPr>
            <w:r w:rsidRPr="001371BE">
              <w:t>Kommissionens forslag</w:t>
            </w:r>
          </w:p>
        </w:tc>
        <w:tc>
          <w:tcPr>
            <w:tcW w:w="4876" w:type="dxa"/>
            <w:hideMark/>
          </w:tcPr>
          <w:p w:rsidR="00255CE7" w:rsidRPr="001371BE" w:rsidRDefault="00592AAB">
            <w:pPr>
              <w:pStyle w:val="ColumnHeading"/>
              <w:keepNext/>
            </w:pPr>
            <w:r w:rsidRPr="001371BE">
              <w:t>Ændringsforslag</w:t>
            </w:r>
          </w:p>
        </w:tc>
      </w:tr>
      <w:tr w:rsidR="00024A66" w:rsidRPr="001371BE" w:rsidTr="00255CE7">
        <w:trPr>
          <w:jc w:val="center"/>
        </w:trPr>
        <w:tc>
          <w:tcPr>
            <w:tcW w:w="4876" w:type="dxa"/>
            <w:hideMark/>
          </w:tcPr>
          <w:p w:rsidR="00255CE7" w:rsidRPr="001371BE" w:rsidRDefault="00592AAB">
            <w:pPr>
              <w:pStyle w:val="Normal6"/>
            </w:pPr>
            <w:r w:rsidRPr="001371BE">
              <w:t>Artikel 1</w:t>
            </w:r>
            <w:r w:rsidRPr="001371BE">
              <w:rPr>
                <w:b/>
                <w:i/>
              </w:rPr>
              <w:t>, nr. 2), litra a)</w:t>
            </w:r>
            <w:r w:rsidRPr="001371BE">
              <w:t>, nr. 9), nr. 10), litra a), nr. 17), litra c), litra 19), litra a), og nr. 23), litra b), andet afsnit, finder dog anvendelse fra den … [Publikationskontoret: Indsæt venligst datoen = 24 måneder efter denne forordnings ikrafttræden].</w:t>
            </w:r>
          </w:p>
        </w:tc>
        <w:tc>
          <w:tcPr>
            <w:tcW w:w="4876" w:type="dxa"/>
            <w:hideMark/>
          </w:tcPr>
          <w:p w:rsidR="00255CE7" w:rsidRPr="001371BE" w:rsidRDefault="00592AAB">
            <w:pPr>
              <w:pStyle w:val="Normal6"/>
              <w:rPr>
                <w:szCs w:val="24"/>
              </w:rPr>
            </w:pPr>
            <w:r w:rsidRPr="001371BE">
              <w:t>Artikel 1, nr. 9), nr. 10), litra a), nr. 17), litra c), litra 19), litra a), og nr. 23), litra b), andet afsnit, finder dog anvendelse fra den … [Publikationskontoret: Indsæt venligst datoen = 24 måneder efter denne forordnings ikrafttræden].</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Artikel 1, nr. 2), litra a), anvendes fra ikrafttrædelsen af den delegerede retsakt, der vedtages af Kommissionen i henhold til artikel 7, nr. 14a).</w:t>
            </w:r>
          </w:p>
        </w:tc>
      </w:tr>
      <w:tr w:rsidR="00024A66" w:rsidRPr="001371BE" w:rsidTr="00255CE7">
        <w:trPr>
          <w:jc w:val="center"/>
        </w:trPr>
        <w:tc>
          <w:tcPr>
            <w:tcW w:w="4876" w:type="dxa"/>
          </w:tcPr>
          <w:p w:rsidR="00255CE7" w:rsidRPr="001371BE" w:rsidRDefault="00255CE7">
            <w:pPr>
              <w:pStyle w:val="Normal6"/>
            </w:pPr>
          </w:p>
        </w:tc>
        <w:tc>
          <w:tcPr>
            <w:tcW w:w="4876" w:type="dxa"/>
            <w:hideMark/>
          </w:tcPr>
          <w:p w:rsidR="00255CE7" w:rsidRPr="001371BE" w:rsidRDefault="00592AAB">
            <w:pPr>
              <w:pStyle w:val="Normal6"/>
              <w:rPr>
                <w:szCs w:val="24"/>
              </w:rPr>
            </w:pPr>
            <w:r w:rsidRPr="001371BE">
              <w:rPr>
                <w:b/>
                <w:i/>
              </w:rPr>
              <w:t>Artikel 1, nr. 14b), i nærværende forordning anvendes fra ikrafttrædelsen af den delegerede retsakt, der vedtages af Kommissionen i henhold til artikel 47a, stk. 3, i forordning (EU) nr. 909/2014.</w:t>
            </w:r>
          </w:p>
        </w:tc>
      </w:tr>
    </w:tbl>
    <w:p w:rsidR="00255CE7" w:rsidRPr="001371BE" w:rsidRDefault="00592AAB" w:rsidP="00255CE7">
      <w:pPr>
        <w:pStyle w:val="Olang"/>
        <w:rPr>
          <w:noProof w:val="0"/>
        </w:rPr>
      </w:pPr>
      <w:r w:rsidRPr="001371BE">
        <w:rPr>
          <w:noProof w:val="0"/>
        </w:rPr>
        <w:t xml:space="preserve">Or. </w:t>
      </w:r>
      <w:r w:rsidRPr="001371BE">
        <w:rPr>
          <w:rStyle w:val="HideTWBExt"/>
          <w:noProof w:val="0"/>
        </w:rPr>
        <w:t>&lt;Original&gt;</w:t>
      </w:r>
      <w:r w:rsidRPr="001371BE">
        <w:rPr>
          <w:rStyle w:val="HideTWBInt"/>
          <w:noProof w:val="0"/>
        </w:rPr>
        <w:t>{EN}</w:t>
      </w:r>
      <w:r w:rsidRPr="001371BE">
        <w:rPr>
          <w:noProof w:val="0"/>
        </w:rPr>
        <w:t>en</w:t>
      </w:r>
      <w:r w:rsidRPr="001371BE">
        <w:rPr>
          <w:rStyle w:val="HideTWBExt"/>
          <w:noProof w:val="0"/>
        </w:rPr>
        <w:t>&lt;/Original&gt;</w:t>
      </w:r>
    </w:p>
    <w:p w:rsidR="00255CE7" w:rsidRPr="001371BE" w:rsidRDefault="00592AAB" w:rsidP="00255CE7">
      <w:pPr>
        <w:pStyle w:val="JustificationTitle"/>
        <w:rPr>
          <w:noProof w:val="0"/>
        </w:rPr>
      </w:pPr>
      <w:r w:rsidRPr="001371BE">
        <w:rPr>
          <w:rStyle w:val="HideTWBExt"/>
          <w:i w:val="0"/>
          <w:noProof w:val="0"/>
        </w:rPr>
        <w:t>&lt;TitreJust&gt;</w:t>
      </w:r>
      <w:r w:rsidRPr="001371BE">
        <w:rPr>
          <w:noProof w:val="0"/>
        </w:rPr>
        <w:t>Begrundelse</w:t>
      </w:r>
      <w:r w:rsidRPr="001371BE">
        <w:rPr>
          <w:rStyle w:val="HideTWBExt"/>
          <w:i w:val="0"/>
          <w:noProof w:val="0"/>
        </w:rPr>
        <w:t>&lt;/TitreJust&gt;</w:t>
      </w:r>
    </w:p>
    <w:p w:rsidR="00255CE7" w:rsidRPr="001371BE" w:rsidRDefault="00592AAB" w:rsidP="00255CE7">
      <w:pPr>
        <w:pStyle w:val="Normal12Italic"/>
        <w:rPr>
          <w:noProof w:val="0"/>
        </w:rPr>
      </w:pPr>
      <w:r w:rsidRPr="001371BE">
        <w:rPr>
          <w:noProof w:val="0"/>
        </w:rPr>
        <w:t>Ændring 16 fremsat af ECB i dets udtalelse af 28. juli 2022. Når de nærmere oplysninger om omfanget af ordningen for afviklingsdisciplin præciseres i Kommissionens delegerede retsakter, bør CSD'er og finansmarkedsdeltagere gives tilstrækkelig tid til at justere deres systemer. Derfor foreslås det, at perioden på 24 måneder, som påtænkes i den foreslåede forordning mellem vedtagelsen af den foreslåede forordning og ikrafttrædelsen af det ændrede omfang af ordningen for afviklingsdisciplin, først påbegyndes ved vedtagelsen af de relevante delegerede retsakter fra Kommissionen.</w:t>
      </w:r>
    </w:p>
    <w:p w:rsidR="002669B6" w:rsidRPr="001371BE" w:rsidRDefault="00592AAB" w:rsidP="00255CE7">
      <w:r w:rsidRPr="001371BE">
        <w:rPr>
          <w:rStyle w:val="HideTWBExt"/>
          <w:noProof w:val="0"/>
        </w:rPr>
        <w:t>&lt;/Amend&gt;&lt;/RepeatBlock-Amend&gt;</w:t>
      </w:r>
    </w:p>
    <w:p w:rsidR="00E010B8" w:rsidRPr="001371BE" w:rsidRDefault="00592AAB" w:rsidP="00E010B8">
      <w:pPr>
        <w:pStyle w:val="PageHeading"/>
      </w:pPr>
      <w:bookmarkStart w:id="2" w:name="_Toc109918363"/>
      <w:bookmarkStart w:id="3" w:name="_Toc117775393"/>
      <w:r w:rsidRPr="001371BE">
        <w:t>BEGRUNDELSE</w:t>
      </w:r>
      <w:bookmarkEnd w:id="2"/>
      <w:bookmarkEnd w:id="3"/>
    </w:p>
    <w:p w:rsidR="00E010B8" w:rsidRPr="001371BE" w:rsidRDefault="00592AAB" w:rsidP="00592AAB">
      <w:pPr>
        <w:pStyle w:val="NormalWeb"/>
        <w:spacing w:before="0" w:beforeAutospacing="0" w:after="240" w:afterAutospacing="0"/>
        <w:rPr>
          <w:rFonts w:ascii="TimesNewRomanPSMT" w:hAnsi="TimesNewRomanPSMT"/>
          <w:b/>
        </w:rPr>
      </w:pPr>
      <w:r w:rsidRPr="001371BE">
        <w:rPr>
          <w:rFonts w:ascii="TimesNewRomanPSMT" w:hAnsi="TimesNewRomanPSMT"/>
          <w:b/>
        </w:rPr>
        <w:t>1.</w:t>
      </w:r>
      <w:r w:rsidRPr="001371BE">
        <w:rPr>
          <w:rFonts w:ascii="TimesNewRomanPSMT" w:hAnsi="TimesNewRomanPSMT"/>
          <w:b/>
        </w:rPr>
        <w:tab/>
        <w:t>Baggrund</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Den 16. marts 2022 vedtog Kommissionen et Refit-forslag om ændring af forordning (EU) nr. 909/2014 for så vidt angår afviklingsdisciplin, grænseoverskridende levering af tjenesteydelser, tilsynssamarbejde, levering af bankmæssige accessoriske tjenesteydelser og krav til tredjelandes værdipapircentraler (forordningen om forbedring af værdipapirafviklingen i EU og om værdipapircentraler (CSD-forordningen)).</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CSD-forordningen blev vedtaget i 2014 efter finanskrisen for at øge sikkerheden og effektiviteten af afvikling samt for at tilvejebringe et sæt fælles krav til værdipapircentraler (CSD'er) i hele EU.</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Af handlingsplanen for kapitalmarkedsunionen fra 2020 og Kommissionens arbejdsprogram for 2021 fremgik Kommissionens hensigt om at fremsætte et lovforslag om ændring af CSD-forordningen for at gøre den mere effektiv og bidrage til udviklingen af mere effektive afviklingsmarkeder i EU.</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I den forbindelse har ændringsforslaget (Refit-forslaget om CSD-forordningen), ved at bygge videre på resultaterne af en målrettet høring om den bemyndigede revision af CSD-forordningen, til formål at reducere omkostningerne til overholdelse og de lovgivningsmæssige byrder for CSD'er samt at fremme muligheden for, at CSD'er kan tilbyde en bredere vifte af tjenesteydelser på tværs af landegrænser og samtidig forbedre deres grænseoverskridende tilsyn. </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De primære bestemmelser i Kommissionens Refit-forslag om CSD-forordningen relaterer til følgende:</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Afviklingsdisciplin</w:t>
      </w:r>
      <w:r w:rsidRPr="001371BE">
        <w:rPr>
          <w:rFonts w:ascii="TimesNewRomanPSMT" w:hAnsi="TimesNewRomanPSMT"/>
        </w:rPr>
        <w:t>: indførelse af en "totrinstilgang", hvor obligatoriske dækningskøb kan blive relevante, hvis bødeordningen alene ikke afhjælper manglende afvikling i EU.</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Bankmæssige accessoriske tjenesteydelser</w:t>
      </w:r>
      <w:r w:rsidRPr="001371BE">
        <w:rPr>
          <w:rFonts w:ascii="TimesNewRomanPSMT" w:hAnsi="TimesNewRomanPSMT"/>
        </w:rPr>
        <w:t>: ændring af betingelserne for, at CSD'er kan få adgang til banktjenesteydelser, ved at revurdere grænsen for sådanne tjenesteydelser og udvide omfanget af udbydere af sådanne tjenesteydelser.</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Pasregler</w:t>
      </w:r>
      <w:r w:rsidRPr="001371BE">
        <w:rPr>
          <w:rFonts w:ascii="TimesNewRomanPSMT" w:hAnsi="TimesNewRomanPSMT"/>
        </w:rPr>
        <w:t>: forenkling af kravene til CSD'er, så de kan operere i hele EU med én licens, ved at afskaffe omkostningskrævende og overlappende procedurer.</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Samarbejde mellem tilsynsmyndighederne</w:t>
      </w:r>
      <w:r w:rsidRPr="001371BE">
        <w:rPr>
          <w:rFonts w:ascii="TimesNewRomanPSMT" w:hAnsi="TimesNewRomanPSMT"/>
        </w:rPr>
        <w:t>: indførelse af et krav til tilsynskollegier for bestemte CSD'er.</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Overvågning af CSD'er i tredjelande</w:t>
      </w:r>
      <w:r w:rsidRPr="001371BE">
        <w:rPr>
          <w:rFonts w:ascii="TimesNewRomanPSMT" w:hAnsi="TimesNewRomanPSMT"/>
        </w:rPr>
        <w:t>: udfasning af klausulens udløbsdato og indførelse af underretningskrav for CSD'er i tredjelande for at sikre, at ESMA og nationale tilsyn har information om deres aktiviteter i EU.</w:t>
      </w:r>
    </w:p>
    <w:p w:rsidR="00E010B8" w:rsidRPr="001371BE" w:rsidRDefault="00592AAB" w:rsidP="00592AAB">
      <w:pPr>
        <w:pStyle w:val="NormalWeb"/>
        <w:keepNext/>
        <w:keepLines/>
        <w:spacing w:before="0" w:beforeAutospacing="0" w:after="240" w:afterAutospacing="0"/>
        <w:rPr>
          <w:rFonts w:ascii="TimesNewRomanPSMT" w:hAnsi="TimesNewRomanPSMT"/>
          <w:b/>
        </w:rPr>
      </w:pPr>
      <w:r w:rsidRPr="001371BE">
        <w:rPr>
          <w:rFonts w:ascii="TimesNewRomanPSMT" w:hAnsi="TimesNewRomanPSMT"/>
          <w:b/>
        </w:rPr>
        <w:t>2.</w:t>
      </w:r>
      <w:r w:rsidRPr="001371BE">
        <w:rPr>
          <w:rFonts w:ascii="TimesNewRomanPSMT" w:hAnsi="TimesNewRomanPSMT"/>
          <w:b/>
        </w:rPr>
        <w:tab/>
        <w:t>Proceduren i Europa-Parlamentet</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Økonomi- og Valutaudvalget (ECON) blev udpeget som korresponderende udvalg til arbejdet med forslaget. </w:t>
      </w:r>
    </w:p>
    <w:p w:rsidR="00E010B8" w:rsidRPr="001371BE" w:rsidRDefault="00592AAB" w:rsidP="00592AAB">
      <w:pPr>
        <w:pStyle w:val="NormalWeb"/>
        <w:spacing w:before="0" w:beforeAutospacing="0" w:after="240" w:afterAutospacing="0"/>
        <w:rPr>
          <w:rFonts w:ascii="TimesNewRomanPSMT" w:hAnsi="TimesNewRomanPSMT"/>
          <w:b/>
        </w:rPr>
      </w:pPr>
      <w:r w:rsidRPr="001371BE">
        <w:rPr>
          <w:rFonts w:ascii="TimesNewRomanPSMT" w:hAnsi="TimesNewRomanPSMT"/>
          <w:b/>
        </w:rPr>
        <w:t>3.</w:t>
      </w:r>
      <w:r w:rsidRPr="001371BE">
        <w:rPr>
          <w:rFonts w:ascii="TimesNewRomanPSMT" w:hAnsi="TimesNewRomanPSMT"/>
          <w:b/>
        </w:rPr>
        <w:tab/>
        <w:t>Udkast til betænkning</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Fordi CSD'er er pengeinstitutter med systemisk betydning, er det nødvendigt, at de er underlagt en ajourført lovramme, der garanterer sikkerheden og effektiviteten af efterhandelsmiljøet i EU. </w:t>
      </w:r>
      <w:r w:rsidRPr="001371BE">
        <w:t>Derfor bifalder ordføreren Refit-forslaget om CSD-forordningen. Han støtter fuldt ud det overordnede formål hermed samt den overordnede retning for de foreslåede målrettede ændringer. Ikke desto mindre</w:t>
      </w:r>
      <w:r w:rsidRPr="001371BE">
        <w:rPr>
          <w:rFonts w:ascii="TimesNewRomanPSMT" w:hAnsi="TimesNewRomanPSMT"/>
        </w:rPr>
        <w:t xml:space="preserve"> mener han, at forslaget kan ændres positivt på flere centrale punkter. Navnlig foreslår han følgende overordnede ændringer:</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Afviklingsdisciplin</w:t>
      </w:r>
      <w:r w:rsidRPr="001371BE">
        <w:rPr>
          <w:rFonts w:ascii="TimesNewRomanPSMT" w:hAnsi="TimesNewRomanPSMT"/>
        </w:rPr>
        <w:t>: afskaffelse af ordningen for obligatoriske dækningskøb og forbedring af bødeordningen.</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I tråd med ECB's foretrukne tilgang, som udtrykt i dets udtalelse om Refit-forslaget om CSD-forordningen, mener ordføreren, at forordningsregulerede obligatoriske dækningskøb er en væsentlig hindring for udførelse af værdipapirtransaktioner og værdipapirmarkeders funktionsmåde. Ordningen for obligatoriske dækningskøb udgør desuden store risici for markedslikviditeten og den økonomiske stabilitet i EU og kan bringe EU's konkurrencedygtighed globalt i fare. Derfor foreslår ordføreren helt at afskaffe CSD-forordningens ordning for obligatorisk dækningskøb og samtidig genindføre bestemmelserne for centrale modparters (CCP'er) dækningskøb i modsætning til naked short-selling, som eksisterede inden CSD-forordningen. </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Desuden foreslår han at forbedre bødeordningen ved at medtage en krydshenvisning til det kommende fælles europæisk adgangspunkt, der bør give markedsaktører adgang til en central kilde med referencedata til bødeberegning, så snart det er operationelt. </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En yderligere ændring af bødeordningen indebærer at give ESMA mulighed for at fastsætte et behørigt niveau af afviklingseffektivitet. Dette kan bidrage til periodiske vurderinger af indvirkningen på afviklingseffektiviteten og i relevant omfang stille vejledning til rådighed for omkalibrering af de relevante gebyrer.</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Samarbejde mellem tilsynsmyndighederne</w:t>
      </w:r>
      <w:r w:rsidRPr="001371BE">
        <w:rPr>
          <w:rFonts w:ascii="TimesNewRomanPSMT" w:hAnsi="TimesNewRomanPSMT"/>
        </w:rPr>
        <w:t>: forenkling af kravene til at fremme oprettelsen af obligatoriske tilsynskollegier.</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I stedet for at oprette tilsynskollegier for pasregler og tilsynskollegier for CSD'er, der tilhører grupper med to eller flere CSD'er, mener ordføreren, at Refit-forslaget om CSD-forordningen kan optimeres ved at kræve oprettelse af én type tilsynskollegier baseret på eksisterende troværdige kriterier, den væsentlige betydning af en CSD i en medlemsstat. Han foreslår at fastsætte grænsen for obligatorisk oprettelse af et tilsynskollegium, hvor en CSD har fået væsentlig betydning for mindst to værtslande. </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Ordføreren foreslår at gøre det muligt for sådanne tilsynskollegier at stemme via en proces for simpelt flertal om bindende udtalelser om kontrol- og vurderingsprocesserne for CSD'er og for udbydere af bankmæssige accessoriske tjenesteydelser, udvidelse og outsourcing af aktiviteter og tjenesteydelser og potentiel overtrædelse af CSD-forordningens krav på grund af levering af tjenesteydelser i et værtsland. Han tilråder desuden at give ESMA og, i relevant omfang, EBA fuld stemmeret i sådanne kollegier, som derved vil kunne tackle problemer med tilsynskonvergens.</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Bankmæssige accessoriske tjenesteydelser</w:t>
      </w:r>
      <w:r w:rsidRPr="001371BE">
        <w:rPr>
          <w:rFonts w:ascii="TimesNewRomanPSMT" w:hAnsi="TimesNewRomanPSMT"/>
        </w:rPr>
        <w:t>: styrkelse af vejledning og krav.</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Ordføreren er enig i, at CSD'er, som ikke er bemyndiget til at levere bankmæssige accessoriske tjenesteydelser, bør kunne tilbyde et bestemt omfang af afvikling i fremmed valuta via konti åbnet i kreditinstitutter inden for en passende risikogrænse fastsat af EBA. Ud fra et velovervejet perspektiv anbefaler han at yde mere detaljeret vejledning på niveau I med hensyn til, hvilke overvejelser EBA bør gøre sig ved fastsættelse af grænsen, og ledsagende krav til risikostyring og afbødning af tilsynsmæssige risici. Disse overvejelser bør navnlig omfatte mulige indvirkninger på markedsstabilitet og lige konkurrencevilkår, behovet for at undgå en utilsigtet ændring fra afvikling i centralbankpenge til afvikling i almindelige bankpenge og eksisterende global vejledning som f.eks. Principles for Financial Market Infrastructures (PFMI). Desuden foreslår han, at ESMA får ansvaret for at overvåge, at grænsen overholdes.</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I overensstemmelse med anbefalingerne fra ECB foreslår ordføreren desuden udtrykkeligt at begrænse </w:t>
      </w:r>
      <w:r w:rsidRPr="001371BE">
        <w:t xml:space="preserve">omfanget af tjenesteydelser, der tilbydes af bankbaserede CSD'er til bruger-CSD'er, til tjenesteydelser, der tilbydes til afvikling i fremmed valuta, og </w:t>
      </w:r>
      <w:r w:rsidRPr="001371BE">
        <w:rPr>
          <w:rFonts w:ascii="TimesNewRomanPSMT" w:hAnsi="TimesNewRomanPSMT"/>
        </w:rPr>
        <w:t xml:space="preserve">bringe mindstehyppigheden af kontrol og evaluering af overholdelse i overensstemmelse med CSD-forordningen for bankmæssige accessoriske tjenesteydelser med hyppigheden af kontrol og evaluering af CSD'er, samtidig med at hyppigheden forlænges til to år.  </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Pasregler</w:t>
      </w:r>
      <w:r w:rsidRPr="001371BE">
        <w:rPr>
          <w:rFonts w:ascii="TimesNewRomanPSMT" w:hAnsi="TimesNewRomanPSMT"/>
        </w:rPr>
        <w:t>: reducering af barrierer for udstedelse af gældsinstrumenter i en anden medlemsstat</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Nationale selskabslovgivninger er ikke særligt relevante for værdipapirer ud over aktier. Som fremhævet af ESMA i sin rapport fra november 2020 om CSD'ers levering af grænseoverskridende tjenesteydelser forekommer de nuværende bestemmelser i CSD-forordningen for pasregler i denne henseende </w:t>
      </w:r>
      <w:r w:rsidRPr="001371BE">
        <w:t xml:space="preserve">unødvendigt byrdefulde og komplicerede, især for obligationers vedkommende. </w:t>
      </w:r>
      <w:r w:rsidRPr="001371BE">
        <w:rPr>
          <w:rFonts w:ascii="TimesNewRomanPSMT" w:hAnsi="TimesNewRomanPSMT"/>
        </w:rPr>
        <w:t xml:space="preserve">Ordføreren foreslår en mere forholdsmæssig tilgang ved at begrænse omfanget af CSD'ers forpligtelse til at forelægge information om finansielle instrumenter oprettet i henhold til en anden medlemsstats lovgivning om aktier. </w:t>
      </w:r>
    </w:p>
    <w:p w:rsidR="00E010B8" w:rsidRPr="001371BE" w:rsidRDefault="00592AAB" w:rsidP="00592AAB">
      <w:pPr>
        <w:pStyle w:val="NormalWeb"/>
        <w:spacing w:before="0" w:beforeAutospacing="0" w:after="240" w:afterAutospacing="0"/>
        <w:ind w:left="720" w:hanging="360"/>
        <w:rPr>
          <w:rFonts w:ascii="TimesNewRomanPSMT" w:hAnsi="TimesNewRomanPSMT"/>
          <w:b/>
        </w:rPr>
      </w:pPr>
      <w:r w:rsidRPr="001371BE">
        <w:rPr>
          <w:rFonts w:ascii="Symbol" w:hAnsi="Symbol"/>
        </w:rPr>
        <w:sym w:font="Symbol" w:char="F0B7"/>
      </w:r>
      <w:r w:rsidRPr="001371BE">
        <w:rPr>
          <w:rFonts w:ascii="Symbol" w:hAnsi="Symbol"/>
        </w:rPr>
        <w:tab/>
      </w:r>
      <w:r w:rsidRPr="001371BE">
        <w:rPr>
          <w:rFonts w:ascii="TimesNewRomanPSMT" w:hAnsi="TimesNewRomanPSMT"/>
          <w:b/>
        </w:rPr>
        <w:t>Netting</w:t>
      </w:r>
      <w:r w:rsidRPr="001371BE">
        <w:rPr>
          <w:rFonts w:ascii="TimesNewRomanPSMT" w:hAnsi="TimesNewRomanPSMT"/>
        </w:rPr>
        <w:t>: indførelse af specifikke krav</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Baseret på ECB's råd foreslår ordføreren at indføre specifikke krav til at tackle risici, der skyldes, at CSD'er benytter værdipapirafviklingssystemer, som anvender nettingaftaler, uanset om CSD'er tilbyder bankmæssige accessoriske tjenesteydelser eller ej.</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LEI-nummer</w:t>
      </w:r>
      <w:r w:rsidRPr="001371BE">
        <w:rPr>
          <w:rFonts w:ascii="TimesNewRomanPSMT" w:hAnsi="TimesNewRomanPSMT"/>
        </w:rPr>
        <w:t>: indførelse af en LEI-forpligtelse for udstedere</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 xml:space="preserve">Identifikationskoden for juridiske enheder (LEI) er det eneste dataelement, der muliggør entydig og utvetydig identifikation af udstedere af finansielle instrumenter. Anvendelse af LEI sikrer, at indberettede data er af god kvalitet, og fremmer tilsynsmyndighedernes overvågningsopgaver. LEI er allerede et krav for flere enheder efter forskellige regler, men p.t. gælder ingen af disse regler direkte for alle udstedere, der benytter en CSD's tjenesteydelser. Derfor bakker ordføreren op om at forpligte udstedere til at anvende en LEI. </w:t>
      </w:r>
    </w:p>
    <w:p w:rsidR="00E010B8" w:rsidRPr="001371BE" w:rsidRDefault="00592AAB" w:rsidP="00592AAB">
      <w:pPr>
        <w:pStyle w:val="NormalWeb"/>
        <w:spacing w:before="0" w:beforeAutospacing="0" w:after="240" w:afterAutospacing="0"/>
        <w:ind w:left="720" w:hanging="360"/>
        <w:rPr>
          <w:rFonts w:ascii="TimesNewRomanPSMT" w:hAnsi="TimesNewRomanPSMT"/>
        </w:rPr>
      </w:pPr>
      <w:r w:rsidRPr="001371BE">
        <w:rPr>
          <w:rFonts w:ascii="Symbol" w:hAnsi="Symbol"/>
        </w:rPr>
        <w:sym w:font="Symbol" w:char="F0B7"/>
      </w:r>
      <w:r w:rsidRPr="001371BE">
        <w:rPr>
          <w:rFonts w:ascii="Symbol" w:hAnsi="Symbol"/>
        </w:rPr>
        <w:tab/>
      </w:r>
      <w:r w:rsidRPr="001371BE">
        <w:rPr>
          <w:rFonts w:ascii="TimesNewRomanPSMT" w:hAnsi="TimesNewRomanPSMT"/>
          <w:b/>
        </w:rPr>
        <w:t>Revision</w:t>
      </w:r>
      <w:r w:rsidRPr="001371BE">
        <w:rPr>
          <w:rFonts w:ascii="TimesNewRomanPSMT" w:hAnsi="TimesNewRomanPSMT"/>
        </w:rPr>
        <w:t>: nødvendigt at tage højde for den mulige vedtagelse af en afviklingsproces T+1 og erfaringerne fra DLT-pilotordningen</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Ordføreren mener, at Kommissionen ved den næste revision af CSD-forordningen bør tage højde for de potentielle fordele og omkostninger, der ved at gå i retning af en afviklingsproces T+1 vil være med hensyn til modparter, marked, kreditrelaterede og operationelle risici, global konkurrencedygtighed og interessen for EU's kapitalmarkeder og gennemførligheden i forbindelse med niveauet af afviklingseffektivitet. Som forberedelse til fremtidens digitale værdipapirmarked foreslår han desuden, at den næste revision af CSD-forordningen også tager højde for erfaringerne fra pilotordningen for markedsinfrastrukturen baseret på distributed ledger-teknologi ("DLT-pilotordningen").</w:t>
      </w:r>
    </w:p>
    <w:p w:rsidR="00E010B8" w:rsidRPr="001371BE" w:rsidRDefault="00592AAB" w:rsidP="00592AAB">
      <w:pPr>
        <w:pStyle w:val="NormalWeb"/>
        <w:spacing w:before="0" w:beforeAutospacing="0" w:after="240" w:afterAutospacing="0"/>
      </w:pPr>
      <w:r w:rsidRPr="001371BE">
        <w:rPr>
          <w:rFonts w:ascii="TimesNewRomanPS" w:hAnsi="TimesNewRomanPS"/>
          <w:b/>
        </w:rPr>
        <w:t xml:space="preserve">4. Kommende tiltag </w:t>
      </w:r>
    </w:p>
    <w:p w:rsidR="00E010B8" w:rsidRPr="001371BE" w:rsidRDefault="00592AAB" w:rsidP="00592AAB">
      <w:pPr>
        <w:pStyle w:val="NormalWeb"/>
        <w:spacing w:before="0" w:beforeAutospacing="0" w:after="240" w:afterAutospacing="0"/>
        <w:rPr>
          <w:rFonts w:ascii="TimesNewRomanPSMT" w:hAnsi="TimesNewRomanPSMT"/>
        </w:rPr>
      </w:pPr>
      <w:r w:rsidRPr="001371BE">
        <w:rPr>
          <w:rFonts w:ascii="TimesNewRomanPSMT" w:hAnsi="TimesNewRomanPSMT"/>
        </w:rPr>
        <w:t>Ordføreren understreger, at hans udkast til betænkning blot er et udgangspunkt for ECON's arbejde på Refit-forslaget om CSD-forordningen. Han ser frem til bidragene fra skyggeordførerne, som han vil tilgå med et åbent sind og en konstruktiv holdning.</w:t>
      </w:r>
    </w:p>
    <w:p w:rsidR="002669B6" w:rsidRPr="001371BE" w:rsidRDefault="002669B6" w:rsidP="00592AAB">
      <w:pPr>
        <w:spacing w:after="240"/>
      </w:pPr>
    </w:p>
    <w:sectPr w:rsidR="002669B6" w:rsidRPr="001371BE" w:rsidSect="008F01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57B" w:rsidRPr="008F0111" w:rsidRDefault="00592AAB">
      <w:r w:rsidRPr="008F0111">
        <w:separator/>
      </w:r>
    </w:p>
  </w:endnote>
  <w:endnote w:type="continuationSeparator" w:id="0">
    <w:p w:rsidR="0094057B" w:rsidRPr="008F0111" w:rsidRDefault="00592AAB">
      <w:r w:rsidRPr="008F01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DokChampa">
    <w:altName w:val="Leelawadee UI"/>
    <w:charset w:val="DE"/>
    <w:family w:val="swiss"/>
    <w:pitch w:val="variable"/>
    <w:sig w:usb0="83000003" w:usb1="00000000" w:usb2="00000000" w:usb3="00000000" w:csb0="0001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11" w:rsidRPr="008F0111" w:rsidRDefault="008F0111" w:rsidP="008F0111">
    <w:pPr>
      <w:pStyle w:val="EPFooter"/>
    </w:pPr>
    <w:r w:rsidRPr="008F0111">
      <w:t>PE</w:t>
    </w:r>
    <w:r w:rsidRPr="008F0111">
      <w:rPr>
        <w:rStyle w:val="HideTWBExt"/>
      </w:rPr>
      <w:t>&lt;NoPE&gt;</w:t>
    </w:r>
    <w:r w:rsidRPr="008F0111">
      <w:t>736.678</w:t>
    </w:r>
    <w:r w:rsidRPr="008F0111">
      <w:rPr>
        <w:rStyle w:val="HideTWBExt"/>
      </w:rPr>
      <w:t>&lt;/NoPE&gt;&lt;Version&gt;</w:t>
    </w:r>
    <w:r w:rsidRPr="008F0111">
      <w:t>v01-00</w:t>
    </w:r>
    <w:r w:rsidRPr="008F0111">
      <w:rPr>
        <w:rStyle w:val="HideTWBExt"/>
      </w:rPr>
      <w:t>&lt;/Version&gt;</w:t>
    </w:r>
    <w:r w:rsidRPr="008F0111">
      <w:tab/>
    </w:r>
    <w:r w:rsidRPr="008F0111">
      <w:fldChar w:fldCharType="begin"/>
    </w:r>
    <w:r w:rsidRPr="008F0111">
      <w:instrText xml:space="preserve"> PAGE  \* MERGEFORMAT </w:instrText>
    </w:r>
    <w:r w:rsidRPr="008F0111">
      <w:fldChar w:fldCharType="separate"/>
    </w:r>
    <w:r w:rsidR="008D7A9C">
      <w:rPr>
        <w:noProof/>
      </w:rPr>
      <w:t>76</w:t>
    </w:r>
    <w:r w:rsidRPr="008F0111">
      <w:fldChar w:fldCharType="end"/>
    </w:r>
    <w:r w:rsidRPr="008F0111">
      <w:t>/</w:t>
    </w:r>
    <w:fldSimple w:instr=" NUMPAGES  \* MERGEFORMAT ">
      <w:r w:rsidR="008D7A9C">
        <w:rPr>
          <w:noProof/>
        </w:rPr>
        <w:t>81</w:t>
      </w:r>
    </w:fldSimple>
    <w:r w:rsidRPr="008F0111">
      <w:tab/>
    </w:r>
    <w:r w:rsidRPr="008F0111">
      <w:rPr>
        <w:rStyle w:val="HideTWBExt"/>
      </w:rPr>
      <w:t>&lt;PathFdR&gt;</w:t>
    </w:r>
    <w:r w:rsidRPr="008F0111">
      <w:t>PR\1263855DA.docx</w:t>
    </w:r>
    <w:r w:rsidRPr="008F0111">
      <w:rPr>
        <w:rStyle w:val="HideTWBExt"/>
      </w:rPr>
      <w:t>&lt;/PathFdR&gt;</w:t>
    </w:r>
  </w:p>
  <w:p w:rsidR="000C0D9C" w:rsidRPr="008F0111" w:rsidRDefault="008F0111" w:rsidP="008F0111">
    <w:pPr>
      <w:pStyle w:val="EPFooter2"/>
    </w:pPr>
    <w:r w:rsidRPr="008F011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11" w:rsidRPr="008F0111" w:rsidRDefault="008F0111" w:rsidP="008F0111">
    <w:pPr>
      <w:pStyle w:val="EPFooter"/>
    </w:pPr>
    <w:r w:rsidRPr="008F0111">
      <w:rPr>
        <w:rStyle w:val="HideTWBExt"/>
      </w:rPr>
      <w:t>&lt;PathFdR&gt;</w:t>
    </w:r>
    <w:r w:rsidRPr="008F0111">
      <w:t>PR\1263855DA.docx</w:t>
    </w:r>
    <w:r w:rsidRPr="008F0111">
      <w:rPr>
        <w:rStyle w:val="HideTWBExt"/>
      </w:rPr>
      <w:t>&lt;/PathFdR&gt;</w:t>
    </w:r>
    <w:r w:rsidRPr="008F0111">
      <w:tab/>
    </w:r>
    <w:r w:rsidRPr="008F0111">
      <w:fldChar w:fldCharType="begin"/>
    </w:r>
    <w:r w:rsidRPr="008F0111">
      <w:instrText xml:space="preserve"> PAGE  \* MERGEFORMAT </w:instrText>
    </w:r>
    <w:r w:rsidRPr="008F0111">
      <w:fldChar w:fldCharType="separate"/>
    </w:r>
    <w:r w:rsidR="008D7A9C">
      <w:rPr>
        <w:noProof/>
      </w:rPr>
      <w:t>77</w:t>
    </w:r>
    <w:r w:rsidRPr="008F0111">
      <w:fldChar w:fldCharType="end"/>
    </w:r>
    <w:r w:rsidRPr="008F0111">
      <w:t>/</w:t>
    </w:r>
    <w:fldSimple w:instr=" NUMPAGES  \* MERGEFORMAT ">
      <w:r w:rsidR="008D7A9C">
        <w:rPr>
          <w:noProof/>
        </w:rPr>
        <w:t>81</w:t>
      </w:r>
    </w:fldSimple>
    <w:r w:rsidRPr="008F0111">
      <w:tab/>
      <w:t>PE</w:t>
    </w:r>
    <w:r w:rsidRPr="008F0111">
      <w:rPr>
        <w:rStyle w:val="HideTWBExt"/>
      </w:rPr>
      <w:t>&lt;NoPE&gt;</w:t>
    </w:r>
    <w:r w:rsidRPr="008F0111">
      <w:t>736.678</w:t>
    </w:r>
    <w:r w:rsidRPr="008F0111">
      <w:rPr>
        <w:rStyle w:val="HideTWBExt"/>
      </w:rPr>
      <w:t>&lt;/NoPE&gt;&lt;Version&gt;</w:t>
    </w:r>
    <w:r w:rsidRPr="008F0111">
      <w:t>v01-00</w:t>
    </w:r>
    <w:r w:rsidRPr="008F0111">
      <w:rPr>
        <w:rStyle w:val="HideTWBExt"/>
      </w:rPr>
      <w:t>&lt;/Version&gt;</w:t>
    </w:r>
  </w:p>
  <w:p w:rsidR="000C0D9C" w:rsidRPr="008F0111" w:rsidRDefault="008F0111" w:rsidP="008F0111">
    <w:pPr>
      <w:pStyle w:val="EPFooter2"/>
    </w:pPr>
    <w:r w:rsidRPr="008F0111">
      <w:tab/>
    </w:r>
    <w:r w:rsidRPr="008F011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11" w:rsidRPr="008F0111" w:rsidRDefault="008F0111" w:rsidP="008F0111">
    <w:pPr>
      <w:pStyle w:val="EPFooter"/>
    </w:pPr>
    <w:r w:rsidRPr="008F0111">
      <w:rPr>
        <w:rStyle w:val="HideTWBExt"/>
      </w:rPr>
      <w:t>&lt;PathFdR&gt;</w:t>
    </w:r>
    <w:r w:rsidRPr="008F0111">
      <w:t>PR\1263855DA.docx</w:t>
    </w:r>
    <w:r w:rsidRPr="008F0111">
      <w:rPr>
        <w:rStyle w:val="HideTWBExt"/>
      </w:rPr>
      <w:t>&lt;/PathFdR&gt;</w:t>
    </w:r>
    <w:r w:rsidRPr="008F0111">
      <w:tab/>
    </w:r>
    <w:r w:rsidRPr="008F0111">
      <w:tab/>
      <w:t>PE</w:t>
    </w:r>
    <w:r w:rsidRPr="008F0111">
      <w:rPr>
        <w:rStyle w:val="HideTWBExt"/>
      </w:rPr>
      <w:t>&lt;NoPE&gt;</w:t>
    </w:r>
    <w:r w:rsidRPr="008F0111">
      <w:t>736.678</w:t>
    </w:r>
    <w:r w:rsidRPr="008F0111">
      <w:rPr>
        <w:rStyle w:val="HideTWBExt"/>
      </w:rPr>
      <w:t>&lt;/NoPE&gt;&lt;Version&gt;</w:t>
    </w:r>
    <w:r w:rsidRPr="008F0111">
      <w:t>v01-00</w:t>
    </w:r>
    <w:r w:rsidRPr="008F0111">
      <w:rPr>
        <w:rStyle w:val="HideTWBExt"/>
      </w:rPr>
      <w:t>&lt;/Version&gt;</w:t>
    </w:r>
  </w:p>
  <w:p w:rsidR="000C0D9C" w:rsidRPr="008F0111" w:rsidRDefault="008F0111" w:rsidP="008F0111">
    <w:pPr>
      <w:pStyle w:val="EPFooter2"/>
    </w:pPr>
    <w:r w:rsidRPr="008F0111">
      <w:t>DA</w:t>
    </w:r>
    <w:r w:rsidRPr="008F0111">
      <w:tab/>
    </w:r>
    <w:r w:rsidRPr="008F0111">
      <w:rPr>
        <w:b w:val="0"/>
        <w:i/>
        <w:color w:val="C0C0C0"/>
        <w:sz w:val="22"/>
      </w:rPr>
      <w:t>Forenet i mangfoldighed</w:t>
    </w:r>
    <w:r w:rsidRPr="008F011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D9C" w:rsidRPr="008F0111" w:rsidRDefault="00592AAB">
      <w:r w:rsidRPr="008F0111">
        <w:separator/>
      </w:r>
    </w:p>
  </w:footnote>
  <w:footnote w:type="continuationSeparator" w:id="0">
    <w:p w:rsidR="000C0D9C" w:rsidRPr="008F0111" w:rsidRDefault="00592AAB">
      <w:r w:rsidRPr="008F0111">
        <w:continuationSeparator/>
      </w:r>
    </w:p>
  </w:footnote>
  <w:footnote w:id="1">
    <w:p w:rsidR="000C0D9C" w:rsidRPr="008F0111" w:rsidRDefault="00592AAB">
      <w:pPr>
        <w:pStyle w:val="FootnoteText"/>
      </w:pPr>
      <w:r w:rsidRPr="008F0111">
        <w:rPr>
          <w:rStyle w:val="FootnoteReference"/>
        </w:rPr>
        <w:footnoteRef/>
      </w:r>
      <w:r w:rsidRPr="008F0111">
        <w:t xml:space="preserve"> EUT ... / Endnu ikke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1BE" w:rsidRDefault="001371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1BE" w:rsidRDefault="001371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1BE" w:rsidRDefault="00137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17245"/>
    <w:multiLevelType w:val="hybridMultilevel"/>
    <w:tmpl w:val="E0E405B2"/>
    <w:lvl w:ilvl="0" w:tplc="A4248D16">
      <w:start w:val="1"/>
      <w:numFmt w:val="decimal"/>
      <w:lvlText w:val="%1."/>
      <w:lvlJc w:val="left"/>
      <w:pPr>
        <w:ind w:left="720" w:hanging="360"/>
      </w:pPr>
    </w:lvl>
    <w:lvl w:ilvl="1" w:tplc="ED3814FE">
      <w:start w:val="1"/>
      <w:numFmt w:val="lowerLetter"/>
      <w:lvlText w:val="%2."/>
      <w:lvlJc w:val="left"/>
      <w:pPr>
        <w:ind w:left="1440" w:hanging="360"/>
      </w:pPr>
    </w:lvl>
    <w:lvl w:ilvl="2" w:tplc="A1F6F494">
      <w:start w:val="1"/>
      <w:numFmt w:val="lowerRoman"/>
      <w:lvlText w:val="%3."/>
      <w:lvlJc w:val="right"/>
      <w:pPr>
        <w:ind w:left="2160" w:hanging="180"/>
      </w:pPr>
    </w:lvl>
    <w:lvl w:ilvl="3" w:tplc="5ACA77C8">
      <w:start w:val="1"/>
      <w:numFmt w:val="decimal"/>
      <w:lvlText w:val="%4."/>
      <w:lvlJc w:val="left"/>
      <w:pPr>
        <w:ind w:left="2880" w:hanging="360"/>
      </w:pPr>
    </w:lvl>
    <w:lvl w:ilvl="4" w:tplc="8E62E13A">
      <w:start w:val="1"/>
      <w:numFmt w:val="lowerLetter"/>
      <w:lvlText w:val="%5."/>
      <w:lvlJc w:val="left"/>
      <w:pPr>
        <w:ind w:left="3600" w:hanging="360"/>
      </w:pPr>
    </w:lvl>
    <w:lvl w:ilvl="5" w:tplc="0324E55E">
      <w:start w:val="1"/>
      <w:numFmt w:val="lowerRoman"/>
      <w:lvlText w:val="%6."/>
      <w:lvlJc w:val="right"/>
      <w:pPr>
        <w:ind w:left="4320" w:hanging="180"/>
      </w:pPr>
    </w:lvl>
    <w:lvl w:ilvl="6" w:tplc="E7B6DA06">
      <w:start w:val="1"/>
      <w:numFmt w:val="decimal"/>
      <w:lvlText w:val="%7."/>
      <w:lvlJc w:val="left"/>
      <w:pPr>
        <w:ind w:left="5040" w:hanging="360"/>
      </w:pPr>
    </w:lvl>
    <w:lvl w:ilvl="7" w:tplc="C61EE948">
      <w:start w:val="1"/>
      <w:numFmt w:val="lowerLetter"/>
      <w:lvlText w:val="%8."/>
      <w:lvlJc w:val="left"/>
      <w:pPr>
        <w:ind w:left="5760" w:hanging="360"/>
      </w:pPr>
    </w:lvl>
    <w:lvl w:ilvl="8" w:tplc="F132A8E2">
      <w:start w:val="1"/>
      <w:numFmt w:val="lowerRoman"/>
      <w:lvlText w:val="%9."/>
      <w:lvlJc w:val="right"/>
      <w:pPr>
        <w:ind w:left="6480" w:hanging="180"/>
      </w:pPr>
    </w:lvl>
  </w:abstractNum>
  <w:abstractNum w:abstractNumId="11" w15:restartNumberingAfterBreak="0">
    <w:nsid w:val="3BAD1247"/>
    <w:multiLevelType w:val="hybridMultilevel"/>
    <w:tmpl w:val="87A2B8EC"/>
    <w:lvl w:ilvl="0" w:tplc="A7528DE4">
      <w:start w:val="1"/>
      <w:numFmt w:val="bullet"/>
      <w:lvlText w:val=""/>
      <w:lvlJc w:val="left"/>
      <w:pPr>
        <w:ind w:left="720" w:hanging="360"/>
      </w:pPr>
      <w:rPr>
        <w:rFonts w:ascii="Symbol" w:hAnsi="Symbol" w:hint="default"/>
      </w:rPr>
    </w:lvl>
    <w:lvl w:ilvl="1" w:tplc="CE4A95D8" w:tentative="1">
      <w:start w:val="1"/>
      <w:numFmt w:val="bullet"/>
      <w:lvlText w:val="o"/>
      <w:lvlJc w:val="left"/>
      <w:pPr>
        <w:ind w:left="1440" w:hanging="360"/>
      </w:pPr>
      <w:rPr>
        <w:rFonts w:ascii="Courier New" w:hAnsi="Courier New" w:cs="Courier New" w:hint="default"/>
      </w:rPr>
    </w:lvl>
    <w:lvl w:ilvl="2" w:tplc="219EF1B0" w:tentative="1">
      <w:start w:val="1"/>
      <w:numFmt w:val="bullet"/>
      <w:lvlText w:val=""/>
      <w:lvlJc w:val="left"/>
      <w:pPr>
        <w:ind w:left="2160" w:hanging="360"/>
      </w:pPr>
      <w:rPr>
        <w:rFonts w:ascii="Wingdings" w:hAnsi="Wingdings" w:hint="default"/>
      </w:rPr>
    </w:lvl>
    <w:lvl w:ilvl="3" w:tplc="931C313E">
      <w:start w:val="1"/>
      <w:numFmt w:val="bullet"/>
      <w:lvlText w:val=""/>
      <w:lvlJc w:val="left"/>
      <w:pPr>
        <w:ind w:left="2880" w:hanging="360"/>
      </w:pPr>
      <w:rPr>
        <w:rFonts w:ascii="Symbol" w:hAnsi="Symbol" w:hint="default"/>
      </w:rPr>
    </w:lvl>
    <w:lvl w:ilvl="4" w:tplc="747ADC88" w:tentative="1">
      <w:start w:val="1"/>
      <w:numFmt w:val="bullet"/>
      <w:lvlText w:val="o"/>
      <w:lvlJc w:val="left"/>
      <w:pPr>
        <w:ind w:left="3600" w:hanging="360"/>
      </w:pPr>
      <w:rPr>
        <w:rFonts w:ascii="Courier New" w:hAnsi="Courier New" w:cs="Courier New" w:hint="default"/>
      </w:rPr>
    </w:lvl>
    <w:lvl w:ilvl="5" w:tplc="FADC8456" w:tentative="1">
      <w:start w:val="1"/>
      <w:numFmt w:val="bullet"/>
      <w:lvlText w:val=""/>
      <w:lvlJc w:val="left"/>
      <w:pPr>
        <w:ind w:left="4320" w:hanging="360"/>
      </w:pPr>
      <w:rPr>
        <w:rFonts w:ascii="Wingdings" w:hAnsi="Wingdings" w:hint="default"/>
      </w:rPr>
    </w:lvl>
    <w:lvl w:ilvl="6" w:tplc="58983F3E" w:tentative="1">
      <w:start w:val="1"/>
      <w:numFmt w:val="bullet"/>
      <w:lvlText w:val=""/>
      <w:lvlJc w:val="left"/>
      <w:pPr>
        <w:ind w:left="5040" w:hanging="360"/>
      </w:pPr>
      <w:rPr>
        <w:rFonts w:ascii="Symbol" w:hAnsi="Symbol" w:hint="default"/>
      </w:rPr>
    </w:lvl>
    <w:lvl w:ilvl="7" w:tplc="BCD822C8" w:tentative="1">
      <w:start w:val="1"/>
      <w:numFmt w:val="bullet"/>
      <w:lvlText w:val="o"/>
      <w:lvlJc w:val="left"/>
      <w:pPr>
        <w:ind w:left="5760" w:hanging="360"/>
      </w:pPr>
      <w:rPr>
        <w:rFonts w:ascii="Courier New" w:hAnsi="Courier New" w:cs="Courier New" w:hint="default"/>
      </w:rPr>
    </w:lvl>
    <w:lvl w:ilvl="8" w:tplc="D5FE15DA" w:tentative="1">
      <w:start w:val="1"/>
      <w:numFmt w:val="bullet"/>
      <w:lvlText w:val=""/>
      <w:lvlJc w:val="left"/>
      <w:pPr>
        <w:ind w:left="6480" w:hanging="360"/>
      </w:pPr>
      <w:rPr>
        <w:rFonts w:ascii="Wingdings" w:hAnsi="Wingdings" w:hint="default"/>
      </w:rPr>
    </w:lvl>
  </w:abstractNum>
  <w:abstractNum w:abstractNumId="12" w15:restartNumberingAfterBreak="0">
    <w:nsid w:val="60F968BD"/>
    <w:multiLevelType w:val="hybridMultilevel"/>
    <w:tmpl w:val="C1E6378E"/>
    <w:lvl w:ilvl="0" w:tplc="CE16D19C">
      <w:start w:val="1"/>
      <w:numFmt w:val="bullet"/>
      <w:lvlText w:val=""/>
      <w:lvlJc w:val="left"/>
      <w:pPr>
        <w:ind w:left="720" w:hanging="360"/>
      </w:pPr>
      <w:rPr>
        <w:rFonts w:ascii="Symbol" w:hAnsi="Symbol" w:hint="default"/>
      </w:rPr>
    </w:lvl>
    <w:lvl w:ilvl="1" w:tplc="D8E087C2" w:tentative="1">
      <w:start w:val="1"/>
      <w:numFmt w:val="bullet"/>
      <w:lvlText w:val="o"/>
      <w:lvlJc w:val="left"/>
      <w:pPr>
        <w:ind w:left="1440" w:hanging="360"/>
      </w:pPr>
      <w:rPr>
        <w:rFonts w:ascii="Courier New" w:hAnsi="Courier New" w:cs="Courier New" w:hint="default"/>
      </w:rPr>
    </w:lvl>
    <w:lvl w:ilvl="2" w:tplc="B128B938" w:tentative="1">
      <w:start w:val="1"/>
      <w:numFmt w:val="bullet"/>
      <w:lvlText w:val=""/>
      <w:lvlJc w:val="left"/>
      <w:pPr>
        <w:ind w:left="2160" w:hanging="360"/>
      </w:pPr>
      <w:rPr>
        <w:rFonts w:ascii="Wingdings" w:hAnsi="Wingdings" w:hint="default"/>
      </w:rPr>
    </w:lvl>
    <w:lvl w:ilvl="3" w:tplc="3A1EE444" w:tentative="1">
      <w:start w:val="1"/>
      <w:numFmt w:val="bullet"/>
      <w:lvlText w:val=""/>
      <w:lvlJc w:val="left"/>
      <w:pPr>
        <w:ind w:left="2880" w:hanging="360"/>
      </w:pPr>
      <w:rPr>
        <w:rFonts w:ascii="Symbol" w:hAnsi="Symbol" w:hint="default"/>
      </w:rPr>
    </w:lvl>
    <w:lvl w:ilvl="4" w:tplc="84CAA8A2" w:tentative="1">
      <w:start w:val="1"/>
      <w:numFmt w:val="bullet"/>
      <w:lvlText w:val="o"/>
      <w:lvlJc w:val="left"/>
      <w:pPr>
        <w:ind w:left="3600" w:hanging="360"/>
      </w:pPr>
      <w:rPr>
        <w:rFonts w:ascii="Courier New" w:hAnsi="Courier New" w:cs="Courier New" w:hint="default"/>
      </w:rPr>
    </w:lvl>
    <w:lvl w:ilvl="5" w:tplc="03AE6878" w:tentative="1">
      <w:start w:val="1"/>
      <w:numFmt w:val="bullet"/>
      <w:lvlText w:val=""/>
      <w:lvlJc w:val="left"/>
      <w:pPr>
        <w:ind w:left="4320" w:hanging="360"/>
      </w:pPr>
      <w:rPr>
        <w:rFonts w:ascii="Wingdings" w:hAnsi="Wingdings" w:hint="default"/>
      </w:rPr>
    </w:lvl>
    <w:lvl w:ilvl="6" w:tplc="2E327CE2" w:tentative="1">
      <w:start w:val="1"/>
      <w:numFmt w:val="bullet"/>
      <w:lvlText w:val=""/>
      <w:lvlJc w:val="left"/>
      <w:pPr>
        <w:ind w:left="5040" w:hanging="360"/>
      </w:pPr>
      <w:rPr>
        <w:rFonts w:ascii="Symbol" w:hAnsi="Symbol" w:hint="default"/>
      </w:rPr>
    </w:lvl>
    <w:lvl w:ilvl="7" w:tplc="6AA499A8" w:tentative="1">
      <w:start w:val="1"/>
      <w:numFmt w:val="bullet"/>
      <w:lvlText w:val="o"/>
      <w:lvlJc w:val="left"/>
      <w:pPr>
        <w:ind w:left="5760" w:hanging="360"/>
      </w:pPr>
      <w:rPr>
        <w:rFonts w:ascii="Courier New" w:hAnsi="Courier New" w:cs="Courier New" w:hint="default"/>
      </w:rPr>
    </w:lvl>
    <w:lvl w:ilvl="8" w:tplc="37728BE4" w:tentative="1">
      <w:start w:val="1"/>
      <w:numFmt w:val="bullet"/>
      <w:lvlText w:val=""/>
      <w:lvlJc w:val="left"/>
      <w:pPr>
        <w:ind w:left="6480" w:hanging="360"/>
      </w:pPr>
      <w:rPr>
        <w:rFonts w:ascii="Wingdings" w:hAnsi="Wingdings" w:hint="default"/>
      </w:rPr>
    </w:lvl>
  </w:abstractNum>
  <w:abstractNum w:abstractNumId="13" w15:restartNumberingAfterBreak="0">
    <w:nsid w:val="63AD3703"/>
    <w:multiLevelType w:val="hybridMultilevel"/>
    <w:tmpl w:val="812E4B56"/>
    <w:lvl w:ilvl="0" w:tplc="3934FB78">
      <w:start w:val="1"/>
      <w:numFmt w:val="decimal"/>
      <w:lvlText w:val="%1."/>
      <w:lvlJc w:val="left"/>
      <w:pPr>
        <w:ind w:left="930" w:hanging="570"/>
      </w:pPr>
      <w:rPr>
        <w:rFonts w:hint="default"/>
      </w:rPr>
    </w:lvl>
    <w:lvl w:ilvl="1" w:tplc="D9902516" w:tentative="1">
      <w:start w:val="1"/>
      <w:numFmt w:val="lowerLetter"/>
      <w:lvlText w:val="%2."/>
      <w:lvlJc w:val="left"/>
      <w:pPr>
        <w:ind w:left="1440" w:hanging="360"/>
      </w:pPr>
    </w:lvl>
    <w:lvl w:ilvl="2" w:tplc="3E78FBC8" w:tentative="1">
      <w:start w:val="1"/>
      <w:numFmt w:val="lowerRoman"/>
      <w:lvlText w:val="%3."/>
      <w:lvlJc w:val="right"/>
      <w:pPr>
        <w:ind w:left="2160" w:hanging="180"/>
      </w:pPr>
    </w:lvl>
    <w:lvl w:ilvl="3" w:tplc="F1B07842" w:tentative="1">
      <w:start w:val="1"/>
      <w:numFmt w:val="decimal"/>
      <w:lvlText w:val="%4."/>
      <w:lvlJc w:val="left"/>
      <w:pPr>
        <w:ind w:left="2880" w:hanging="360"/>
      </w:pPr>
    </w:lvl>
    <w:lvl w:ilvl="4" w:tplc="FCDACF0A" w:tentative="1">
      <w:start w:val="1"/>
      <w:numFmt w:val="lowerLetter"/>
      <w:lvlText w:val="%5."/>
      <w:lvlJc w:val="left"/>
      <w:pPr>
        <w:ind w:left="3600" w:hanging="360"/>
      </w:pPr>
    </w:lvl>
    <w:lvl w:ilvl="5" w:tplc="2EC483BC" w:tentative="1">
      <w:start w:val="1"/>
      <w:numFmt w:val="lowerRoman"/>
      <w:lvlText w:val="%6."/>
      <w:lvlJc w:val="right"/>
      <w:pPr>
        <w:ind w:left="4320" w:hanging="180"/>
      </w:pPr>
    </w:lvl>
    <w:lvl w:ilvl="6" w:tplc="47C01C16" w:tentative="1">
      <w:start w:val="1"/>
      <w:numFmt w:val="decimal"/>
      <w:lvlText w:val="%7."/>
      <w:lvlJc w:val="left"/>
      <w:pPr>
        <w:ind w:left="5040" w:hanging="360"/>
      </w:pPr>
    </w:lvl>
    <w:lvl w:ilvl="7" w:tplc="F614F3FE" w:tentative="1">
      <w:start w:val="1"/>
      <w:numFmt w:val="lowerLetter"/>
      <w:lvlText w:val="%8."/>
      <w:lvlJc w:val="left"/>
      <w:pPr>
        <w:ind w:left="5760" w:hanging="360"/>
      </w:pPr>
    </w:lvl>
    <w:lvl w:ilvl="8" w:tplc="E32A544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2"/>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1"/>
    <w:docVar w:name="EPSTATMNU" w:val=" 5"/>
    <w:docVar w:name="iNoAmend" w:val="2"/>
    <w:docVar w:name="INSTITUTIONSMNU" w:val=" 1"/>
    <w:docVar w:name="JURI1MNU" w:val=" 1"/>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741775 HideTWBExt;}{\*\cs18 \additive \v\f1\fs20\cf15 _x000d__x000a_\spriority0 \styrsid3741775 HideTWBInt;}{\s19\ql \li0\ri0\sa120\nowidctlpar\wrapdefault\aspalpha\aspnum\faauto\adjustright\rin0\lin0\itap0 \rtlch\fcs1 \af0\afs20\alang1025 \ltrch\fcs0 \fs24\lang2057\langfe2057\cgrid\langnp2057\langfenp2057 _x000d__x000a_\sbasedon0 \snext19 \spriority0 \styrsid3741775 Normal6a;}{\s20\ql \li0\ri0\nowidctlpar\wrapdefault\aspalpha\aspnum\faauto\adjustright\rin0\lin0\itap0 \rtlch\fcs1 \af0\afs20\alang1025 \ltrch\fcs0 \b\fs24\lang2057\langfe2057\cgrid\langnp2057\langfenp2057 _x000d__x000a_\sbasedon0 \snext20 \spriority0 \styrsid3741775 NormalBold;}{\s21\ql \li0\ri0\sa240\nowidctlpar\wrapdefault\aspalpha\aspnum\faauto\adjustright\rin0\lin0\itap0 \rtlch\fcs1 \af0\afs20\alang1025 \ltrch\fcs0 _x000d__x000a_\i\fs24\lang2057\langfe2057\cgrid\langnp2057\langfenp2057 \sbasedon0 \snext21 \spriority0 \styrsid3741775 AmJustText;}{\s22\qc \li0\ri0\sb240\sa240\nowidctlpar\wrapdefault\aspalpha\aspnum\faauto\adjustright\rin0\lin0\itap0 \rtlch\fcs1 _x000d__x000a_\af0\afs20\alang1025 \ltrch\fcs0 \i\fs24\lang2057\langfe2057\cgrid\langnp2057\langfenp2057 \sbasedon0 \snext22 \spriority0 \styrsid3741775 AmCrossRef;}{_x000d__x000a_\s23\qc \li0\ri0\sb240\sa240\keepn\nowidctlpar\wrapdefault\aspalpha\aspnum\faauto\adjustright\rin0\lin0\itap0 \rtlch\fcs1 \af0\afs20\alang1025 \ltrch\fcs0 \i\fs24\lang2057\langfe2057\cgrid\langnp2057\langfenp2057 _x000d__x000a_\sbasedon0 \snext21 \spriority0 \styrsid3741775 AmJustTitle;}{\s24\qr \li0\ri0\sb240\sa240\nowidctlpar\wrapdefault\aspalpha\aspnum\faauto\adjustright\rin0\lin0\itap0 \rtlch\fcs1 \af0\afs20\alang1025 \ltrch\fcs0 _x000d__x000a_\fs24\lang2057\langfe2057\cgrid\langnp2057\langfenp2057 \sbasedon0 \snext24 \spriority0 \styrsid3741775 AmOrLang;}{\s25\qc \li0\ri0\sa240\nowidctlpar\wrapdefault\aspalpha\aspnum\faauto\adjustright\rin0\lin0\itap0 \rtlch\fcs1 \af0\afs20\alang1025 _x000d__x000a_\ltrch\fcs0 \i\fs24\lang2057\langfe2057\cgrid\langnp2057\langfenp2057 \sbasedon0 \snext25 \spriority0 \styrsid37417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741775 AmNumberTabs;}{\s27\ql \li0\ri0\sb240\nowidctlpar\wrapdefault\aspalpha\aspnum\faauto\adjustright\rin0\lin0\itap0 \rtlch\fcs1 _x000d__x000a_\af0\afs20\alang1025 \ltrch\fcs0 \b\fs24\lang2057\langfe2057\cgrid\langnp2057\langfenp2057 \sbasedon0 \snext27 \spriority0 \styrsid3741775 NormalBold12b;}}{\*\rsidtbl \rsid24658\rsid223860\rsid735077\rsid1718133\rsid2892074\rsid3565327\rsid3741775_x000d__x000a_\rsid4666813\rsid6641733\rsid7823322\rsid8725016\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HIGNESSE Regine}{\operator CHIGNESSE Regine}{\creatim\yr2022\mo7\dy15\hr10\min9}{\revtim\yr2022\mo7\dy15\hr10\min9}{\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3741775\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8725016 \chftnsep _x000d__x000a_\par }}{\*\ftnsepc \ltrpar \pard\plain \ltrpar\ql \li0\ri0\widctlpar\wrapdefault\aspalpha\aspnum\faauto\adjustright\rin0\lin0\itap0 \rtlch\fcs1 \af0\afs20\alang1025 \ltrch\fcs0 \fs24\lang2057\langfe2057\cgrid\langnp2057\langfenp2057 {\rtlch\fcs1 \af0 _x000d__x000a_\ltrch\fcs0 \insrsid8725016 \chftnsepc _x000d__x000a_\par }}{\*\aftnsep \ltrpar \pard\plain \ltrpar\ql \li0\ri0\widctlpar\wrapdefault\aspalpha\aspnum\faauto\adjustright\rin0\lin0\itap0 \rtlch\fcs1 \af0\afs20\alang1025 \ltrch\fcs0 \fs24\lang2057\langfe2057\cgrid\langnp2057\langfenp2057 {\rtlch\fcs1 \af0 _x000d__x000a_\ltrch\fcs0 \insrsid8725016 \chftnsep _x000d__x000a_\par }}{\*\aftnsepc \ltrpar \pard\plain \ltrpar\ql \li0\ri0\widctlpar\wrapdefault\aspalpha\aspnum\faauto\adjustright\rin0\lin0\itap0 \rtlch\fcs1 \af0\afs20\alang1025 \ltrch\fcs0 \fs24\lang2057\langfe2057\cgrid\langnp2057\langfenp2057 {\rtlch\fcs1 \af0 _x000d__x000a_\ltrch\fcs0 \insrsid87250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1775 \rtlch\fcs1 _x000d__x000a_\af0\afs20\alang1025 \ltrch\fcs0 \b\fs24\lang2057\langfe2057\cgrid\langnp2057\langfenp2057 {\rtlch\fcs1 \af0 \ltrch\fcs0 \cs17\b0\v\fs20\cf9\loch\af1\hich\af1\dbch\af31501\insrsid3741775\charrsid3805749 {\*\bkmkstart restart}_x000d__x000a_\hich\af1\dbch\af31501\loch\f1 &lt;Amend&gt;}{\rtlch\fcs1 \af0 \ltrch\fcs0 \insrsid3741775\charrsid3805749 Amendment\tab \tab }{\rtlch\fcs1 \af0 \ltrch\fcs0 \cs17\b0\v\fs20\cf9\loch\af1\hich\af1\dbch\af31501\insrsid3741775\charrsid3805749 _x000d__x000a_\hich\af1\dbch\af31501\loch\f1 &lt;NumAm&gt;}{\rtlch\fcs1 \af0 \ltrch\fcs0 \insrsid3741775\charrsid3805749 #}{\rtlch\fcs1 \af1 \ltrch\fcs0 \cs18\v\f1\fs20\cf15\insrsid3741775\charrsid3805749 ENMIENDA@NRAM@}{\rtlch\fcs1 \af0 \ltrch\fcs0 _x000d__x000a_\insrsid3741775\charrsid3805749 #}{\rtlch\fcs1 \af0 \ltrch\fcs0 \cs17\b0\v\fs20\cf9\loch\af1\hich\af1\dbch\af31501\insrsid3741775\charrsid3805749 \hich\af1\dbch\af31501\loch\f1 &lt;/NumAm&gt;}{\rtlch\fcs1 \af0 \ltrch\fcs0 \insrsid3741775\charrsid3805749 _x000d__x000a_\par }\pard\plain \ltrpar\s27\ql \li0\ri0\sb240\keepn\nowidctlpar\wrapdefault\aspalpha\aspnum\faauto\adjustright\rin0\lin0\itap0\pararsid3741775 \rtlch\fcs1 \af0\afs20\alang1025 \ltrch\fcs0 \b\fs24\lang2057\langfe2057\cgrid\langnp2057\langfenp2057 {_x000d__x000a_\rtlch\fcs1 \af0 \ltrch\fcs0 \cs17\b0\v\fs20\cf9\loch\af1\hich\af1\dbch\af31501\insrsid3741775\charrsid3805749 \hich\af1\dbch\af31501\loch\f1 &lt;DocAmend&gt;}{\rtlch\fcs1 \af0 \ltrch\fcs0 \insrsid3741775\charrsid3805749 Proposal for a #}{\rtlch\fcs1 \af1 _x000d__x000a_\ltrch\fcs0 \cs18\v\f1\fs20\cf15\insrsid3741775\charrsid3805749 MNU[DOC1][DOC2][DOC3]@DOCMSG@DOCMNU}{\rtlch\fcs1 \af0 \ltrch\fcs0 \insrsid3741775\charrsid3805749 ##}{\rtlch\fcs1 \af1 \ltrch\fcs0 \cs18\v\f1\fs20\cf15\insrsid3741775\charrsid3805749 _x000d__x000a_MNU[AMACTYES][NOTAPP]@CHOICE@AMACTMNU}{\rtlch\fcs1 \af0 \ltrch\fcs0 \insrsid3741775\charrsid3805749 #}{\rtlch\fcs1 \af0 \ltrch\fcs0 \cs17\b0\v\fs20\cf9\loch\af1\hich\af1\dbch\af31501\insrsid3741775\charrsid3805749 \hich\af1\dbch\af31501\loch\f1 _x000d__x000a_&lt;/DocAmend&gt;}{\rtlch\fcs1 \af0 \ltrch\fcs0 \insrsid3741775\charrsid3805749 _x000d__x000a_\par }\pard\plain \ltrpar\s20\ql \li0\ri0\keepn\nowidctlpar\wrapdefault\aspalpha\aspnum\faauto\adjustright\rin0\lin0\itap0\pararsid3741775 \rtlch\fcs1 \af0\afs20\alang1025 \ltrch\fcs0 \b\fs24\lang2057\langfe2057\cgrid\langnp2057\langfenp2057 {\rtlch\fcs1 \af0 _x000d__x000a_\ltrch\fcs0 \cs17\b0\v\fs20\cf9\loch\af1\hich\af1\dbch\af31501\insrsid3741775\charrsid3805749 \hich\af1\dbch\af31501\loch\f1 &lt;Article&gt;}{\rtlch\fcs1 \af0 \ltrch\fcs0 \insrsid3741775\charrsid3805749 #}{\rtlch\fcs1 \af1 \ltrch\fcs0 _x000d__x000a_\cs18\v\f1\fs20\cf15\insrsid3741775\charrsid3805749 MNU[AMACTPARTYES][AMACTPARTNO]@CHOICE@AMACTMNU}{\rtlch\fcs1 \af0 \ltrch\fcs0 \insrsid3741775\charrsid3805749 #}{\rtlch\fcs1 \af0 \ltrch\fcs0 _x000d__x000a_\cs17\b0\v\fs20\cf9\loch\af1\hich\af1\dbch\af31501\insrsid3741775\charrsid3805749 \hich\af1\dbch\af31501\loch\f1 &lt;/Article&gt;}{\rtlch\fcs1 \af0 \ltrch\fcs0 \insrsid3741775\charrsid3805749 _x000d__x000a_\par }\pard\plain \ltrpar\ql \li0\ri0\keepn\widctlpar\wrapdefault\aspalpha\aspnum\faauto\adjustright\rin0\lin0\itap0\pararsid3741775 \rtlch\fcs1 \af0\afs20\alang1025 \ltrch\fcs0 \fs24\lang2057\langfe2057\cgrid\langnp2057\langfenp2057 {\rtlch\fcs1 \af0 _x000d__x000a_\ltrch\fcs0 \cs17\v\fs20\cf9\loch\af1\hich\af1\dbch\af31501\insrsid3741775\charrsid3805749 \hich\af1\dbch\af31501\loch\f1 &lt;DocAmend2&gt;&lt;OptDel&gt;}{\rtlch\fcs1 \af0 \ltrch\fcs0 \insrsid3741775\charrsid3805749 #}{\rtlch\fcs1 \af1 \ltrch\fcs0 _x000d__x000a_\cs18\v\f1\fs20\cf15\insrsid3741775\charrsid3805749 MNU[OPTNRACTYES][NOTAPP]@CHOICE@AMACTMNU}{\rtlch\fcs1 \af0 \ltrch\fcs0 \insrsid3741775\charrsid3805749 #}{\rtlch\fcs1 \af0 \ltrch\fcs0 _x000d__x000a_\cs17\v\fs20\cf9\loch\af1\hich\af1\dbch\af31501\insrsid3741775\charrsid3805749 \hich\af1\dbch\af31501\loch\f1 &lt;/OptDel&gt;&lt;/DocAmend2&gt;}{\rtlch\fcs1 \af0 \ltrch\fcs0 \insrsid3741775\charrsid3805749 _x000d__x000a_\par }\pard \ltrpar\ql \li0\ri0\widctlpar\wrapdefault\aspalpha\aspnum\faauto\adjustright\rin0\lin0\itap0\pararsid3741775 {\rtlch\fcs1 \af0 \ltrch\fcs0 \cs17\v\fs20\cf9\loch\af1\hich\af1\dbch\af31501\insrsid3741775\charrsid3805749 _x000d__x000a_\hich\af1\dbch\af31501\loch\f1 &lt;Article2&gt;&lt;OptDel&gt;}{\rtlch\fcs1 \af0 \ltrch\fcs0 \insrsid3741775\charrsid3805749 #}{\rtlch\fcs1 \af1 \ltrch\fcs0 \cs18\v\f1\fs20\cf15\insrsid3741775\charrsid3805749 MNU[OPTACTPARTYES][NOTAPP]@CHOICE@AMACTMNU}{\rtlch\fcs1 _x000d__x000a_\af0 \ltrch\fcs0 \insrsid3741775\charrsid3805749 #}{\rtlch\fcs1 \af0 \ltrch\fcs0 \cs17\v\fs20\cf9\loch\af1\hich\af1\dbch\af31501\insrsid3741775\charrsid3805749 \hich\af1\dbch\af31501\loch\f1 &lt;/OptDel&gt;&lt;/Article2&gt;}{\rtlch\fcs1 \af0 \ltrch\fcs0 _x000d__x000a_\insrsid3741775\charrsid380574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3741775\charrsid3805749 \cell }\pard\plain \ltrpar\ql \li0\ri0\widctlpar\intbl\wrapdefault\aspalpha\aspnum\faauto\adjustright\rin0\lin0 \rtlch\fcs1 _x000d__x000a_\af0\afs20\alang1025 \ltrch\fcs0 \fs24\lang2057\langfe2057\cgrid\langnp2057\langfenp2057 {\rtlch\fcs1 \af0 \ltrch\fcs0 \insrsid3741775\charrsid3805749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3741775\charrsid3805749 #}{\rtlch\fcs1 \af1 \ltrch\fcs0 \cs18\v\f1\fs20\cf15\insrsid3741775\charrsid3805749 MNU[OPTLEFTAMACT][LEFTPROP]@CHOICE@AMACTMNU}{\rtlch\fcs1 \af0 \ltrch\fcs0 \insrsid3741775\charrsid3805749 #\cell Amendment\cell _x000d__x000a_}\pard\plain \ltrpar\ql \li0\ri0\widctlpar\intbl\wrapdefault\aspalpha\aspnum\faauto\adjustright\rin0\lin0 \rtlch\fcs1 \af0\afs20\alang1025 \ltrch\fcs0 \fs24\lang2057\langfe2057\cgrid\langnp2057\langfenp2057 {\rtlch\fcs1 \af0 \ltrch\fcs0 _x000d__x000a_\insrsid3741775\charrsid3805749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3741775\charrsid3805749 ##\cell ##}{\rtlch\fcs1 \af0\afs24 \ltrch\fcs0 \insrsid3741775\charrsid3805749 \cell }\pard\plain \ltrpar\ql \li0\ri0\widctlpar\intbl\wrapdefault\aspalpha\aspnum\faauto\adjustright\rin0\lin0 _x000d__x000a_\rtlch\fcs1 \af0\afs20\alang1025 \ltrch\fcs0 \fs24\lang2057\langfe2057\cgrid\langnp2057\langfenp2057 {\rtlch\fcs1 \af0 \ltrch\fcs0 \insrsid3741775\charrsid3805749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3741775 \rtlch\fcs1 \af0\afs20\alang1025 \ltrch\fcs0 \fs24\lang2057\langfe2057\cgrid\langnp2057\langfenp2057 {\rtlch\fcs1 \af0 \ltrch\fcs0 _x000d__x000a_\insrsid3741775\charrsid3805749 Or. }{\rtlch\fcs1 \af0 \ltrch\fcs0 \cs17\v\fs20\cf9\loch\af1\hich\af1\dbch\af31501\insrsid3741775\charrsid3805749 \hich\af1\dbch\af31501\loch\f1 &lt;Original&gt;}{\rtlch\fcs1 \af0 \ltrch\fcs0 \insrsid3741775\charrsid3805749 #}{_x000d__x000a_\rtlch\fcs1 \af1 \ltrch\fcs0 \cs18\v\f1\fs20\cf15\insrsid3741775\charrsid3805749 MNU[ORLANGONE][ORLANGMORE]@CHOICE@ORLANGMNU}{\rtlch\fcs1 \af0 \ltrch\fcs0 \insrsid3741775\charrsid3805749 #}{\rtlch\fcs1 \af0 \ltrch\fcs0 _x000d__x000a_\cs17\v\fs20\cf9\loch\af1\hich\af1\dbch\af31501\insrsid3741775\charrsid3805749 \hich\af1\dbch\af31501\loch\f1 &lt;/Original&gt;}{\rtlch\fcs1 \af0 \ltrch\fcs0 \insrsid3741775\charrsid3805749 _x000d__x000a_\par }\pard\plain \ltrpar\s22\qc \li0\ri0\sb240\sa240\nowidctlpar\wrapdefault\aspalpha\aspnum\faauto\adjustright\rin0\lin0\itap0\pararsid3741775 \rtlch\fcs1 \af0\afs20\alang1025 \ltrch\fcs0 \i\fs24\lang2057\langfe2057\cgrid\langnp2057\langfenp2057 {_x000d__x000a_\rtlch\fcs1 \af0 \ltrch\fcs0 \cs17\i0\v\fs20\cf9\loch\af1\hich\af1\dbch\af31501\insrsid3741775\charrsid3805749 \hich\af1\dbch\af31501\loch\f1 &lt;OptDel&gt;}{\rtlch\fcs1 \af0 \ltrch\fcs0 \insrsid3741775\charrsid3805749 #}{\rtlch\fcs1 \af1 \ltrch\fcs0 _x000d__x000a_\cs18\v\f1\fs20\cf15\insrsid3741775\charrsid3805749 MNU[CROSSREFNO][CROSSREFYES]@CHOICE@}{\rtlch\fcs1 \af0 \ltrch\fcs0 \insrsid3741775\charrsid3805749 #}{\rtlch\fcs1 \af0 \ltrch\fcs0 _x000d__x000a_\cs17\i0\v\fs20\cf9\loch\af1\hich\af1\dbch\af31501\insrsid3741775\charrsid3805749 \hich\af1\dbch\af31501\loch\f1 &lt;/OptDel&gt;}{\rtlch\fcs1 \af0 \ltrch\fcs0 \insrsid3741775\charrsid3805749 _x000d__x000a_\par }\pard\plain \ltrpar\s23\qc \li0\ri0\sb240\sa240\keepn\nowidctlpar\wrapdefault\aspalpha\aspnum\faauto\adjustright\rin0\lin0\itap0\pararsid3741775 \rtlch\fcs1 \af0\afs20\alang1025 \ltrch\fcs0 \i\fs24\lang2057\langfe2057\cgrid\langnp2057\langfenp2057 {_x000d__x000a_\rtlch\fcs1 \af0 \ltrch\fcs0 \cs17\i0\v\fs20\cf9\loch\af1\hich\af1\dbch\af31501\insrsid3741775\charrsid3805749 \hich\af1\dbch\af31501\loch\f1 &lt;TitreJust&gt;}{\rtlch\fcs1 \af0 \ltrch\fcs0 \insrsid3741775\charrsid3805749 Justification}{\rtlch\fcs1 \af0 _x000d__x000a_\ltrch\fcs0 \cs17\i0\v\fs20\cf9\loch\af1\hich\af1\dbch\af31501\insrsid3741775\charrsid3805749 \hich\af1\dbch\af31501\loch\f1 &lt;/TitreJust&gt;}{\rtlch\fcs1 \af0 \ltrch\fcs0 \insrsid3741775\charrsid3805749 _x000d__x000a_\par }\pard\plain \ltrpar\s21\ql \li0\ri0\sa240\nowidctlpar\wrapdefault\aspalpha\aspnum\faauto\adjustright\rin0\lin0\itap0\pararsid3741775 \rtlch\fcs1 \af0\afs20\alang1025 \ltrch\fcs0 \i\fs24\lang2057\langfe2057\cgrid\langnp2057\langfenp2057 {\rtlch\fcs1 \af0 _x000d__x000a_\ltrch\fcs0 \cs17\i0\v\fs20\cf9\loch\af1\hich\af1\dbch\af31501\insrsid3741775\charrsid3805749 \hich\af1\dbch\af31501\loch\f1 &lt;OptDelPrev&gt;}{\rtlch\fcs1 \af0 \ltrch\fcs0 \insrsid3741775\charrsid3805749 #}{\rtlch\fcs1 \af1 \ltrch\fcs0 _x000d__x000a_\cs18\v\f1\fs20\cf15\insrsid3741775\charrsid3805749 MNU[TEXTJUSTYES][TEXTJUSTNO]@CHOICE@}{\rtlch\fcs1 \af0 \ltrch\fcs0 \insrsid3741775\charrsid3805749 #}{\rtlch\fcs1 \af0 \ltrch\fcs0 _x000d__x000a_\cs17\i0\v\fs20\cf9\loch\af1\hich\af1\dbch\af31501\insrsid3741775\charrsid3805749 \hich\af1\dbch\af31501\loch\f1 &lt;/OptDelPrev&gt;}{\rtlch\fcs1 \af0 \ltrch\fcs0 \insrsid3741775\charrsid3805749 _x000d__x000a_\par }\pard\plain \ltrpar\ql \li0\ri0\widctlpar\wrapdefault\aspalpha\aspnum\faauto\adjustright\rin0\lin0\itap0\pararsid3741775 \rtlch\fcs1 \af0\afs20\alang1025 \ltrch\fcs0 \fs24\lang2057\langfe2057\cgrid\langnp2057\langfenp2057 {\rtlch\fcs1 \af0 \ltrch\fcs0 _x000d__x000a_\cs17\v\fs20\cf9\loch\af1\hich\af1\dbch\af31501\insrsid3741775\charrsid380574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0_x000d__x000a_d132229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Johan Van Overtveldt"/>
    <w:docVar w:name="TXTLANGUE" w:val="DA"/>
    <w:docVar w:name="TXTLANGUEMIN" w:val="da"/>
    <w:docVar w:name="TXTNRC" w:val="0118/2022"/>
    <w:docVar w:name="TXTNRCOD" w:val="2022/0074"/>
    <w:docVar w:name="TXTNRCOM" w:val="(2022)0120"/>
    <w:docVar w:name="TXTNRFIRSTAM" w:val="1"/>
    <w:docVar w:name="TXTNRLASTAM" w:val="2"/>
    <w:docVar w:name="TXTNRPE" w:val="736.678"/>
    <w:docVar w:name="TXTPEorAP" w:val="PE"/>
    <w:docVar w:name="TXTROUTE" w:val="PR\1263855DA.docx"/>
    <w:docVar w:name="TXTTITLE" w:val="amending Regulation (EU) No 909/2014 as regards settlement discipline, cross-border provision of services, supervisory cooperation, provision of banking-type ancillary services and requirements for third-country central securities depositories"/>
    <w:docVar w:name="TXTVERSION" w:val="01-00"/>
  </w:docVars>
  <w:rsids>
    <w:rsidRoot w:val="005D40AB"/>
    <w:rsid w:val="00011AAB"/>
    <w:rsid w:val="00012351"/>
    <w:rsid w:val="000139E5"/>
    <w:rsid w:val="00024A66"/>
    <w:rsid w:val="00084DD2"/>
    <w:rsid w:val="00084E89"/>
    <w:rsid w:val="000B7489"/>
    <w:rsid w:val="000C0D9C"/>
    <w:rsid w:val="000F1096"/>
    <w:rsid w:val="00120948"/>
    <w:rsid w:val="00120B09"/>
    <w:rsid w:val="00123DD5"/>
    <w:rsid w:val="001259B7"/>
    <w:rsid w:val="001277AE"/>
    <w:rsid w:val="00133183"/>
    <w:rsid w:val="001371BE"/>
    <w:rsid w:val="00142215"/>
    <w:rsid w:val="001767E2"/>
    <w:rsid w:val="00187008"/>
    <w:rsid w:val="001B3829"/>
    <w:rsid w:val="001C02EA"/>
    <w:rsid w:val="001C5592"/>
    <w:rsid w:val="001C5B44"/>
    <w:rsid w:val="001C6FFC"/>
    <w:rsid w:val="001F7C7C"/>
    <w:rsid w:val="00212B84"/>
    <w:rsid w:val="002346B0"/>
    <w:rsid w:val="00255CE7"/>
    <w:rsid w:val="002667C3"/>
    <w:rsid w:val="002669B6"/>
    <w:rsid w:val="00290BED"/>
    <w:rsid w:val="002D13EE"/>
    <w:rsid w:val="002E07DA"/>
    <w:rsid w:val="002E33EE"/>
    <w:rsid w:val="002F40BB"/>
    <w:rsid w:val="002F4B02"/>
    <w:rsid w:val="00320C6C"/>
    <w:rsid w:val="00323EF8"/>
    <w:rsid w:val="003316DD"/>
    <w:rsid w:val="00366A46"/>
    <w:rsid w:val="00370AC3"/>
    <w:rsid w:val="003824EE"/>
    <w:rsid w:val="003B4689"/>
    <w:rsid w:val="003B73EE"/>
    <w:rsid w:val="003C2068"/>
    <w:rsid w:val="003C37CF"/>
    <w:rsid w:val="004100B1"/>
    <w:rsid w:val="00426E47"/>
    <w:rsid w:val="00455743"/>
    <w:rsid w:val="00461601"/>
    <w:rsid w:val="00471062"/>
    <w:rsid w:val="004776E3"/>
    <w:rsid w:val="004C0915"/>
    <w:rsid w:val="004D424E"/>
    <w:rsid w:val="004E42C8"/>
    <w:rsid w:val="004E733D"/>
    <w:rsid w:val="004F10B7"/>
    <w:rsid w:val="004F1A87"/>
    <w:rsid w:val="004F3FA5"/>
    <w:rsid w:val="0051271F"/>
    <w:rsid w:val="00521F46"/>
    <w:rsid w:val="00522606"/>
    <w:rsid w:val="00540D3E"/>
    <w:rsid w:val="00542526"/>
    <w:rsid w:val="00547E4C"/>
    <w:rsid w:val="00551111"/>
    <w:rsid w:val="00551123"/>
    <w:rsid w:val="00570A6A"/>
    <w:rsid w:val="00586E50"/>
    <w:rsid w:val="00592AAB"/>
    <w:rsid w:val="0059583D"/>
    <w:rsid w:val="005A15A8"/>
    <w:rsid w:val="005A2B0C"/>
    <w:rsid w:val="005A42D9"/>
    <w:rsid w:val="005B690D"/>
    <w:rsid w:val="005C1B68"/>
    <w:rsid w:val="005C2BEF"/>
    <w:rsid w:val="005D1A99"/>
    <w:rsid w:val="005D3009"/>
    <w:rsid w:val="005D40AB"/>
    <w:rsid w:val="005D7609"/>
    <w:rsid w:val="005D7EE8"/>
    <w:rsid w:val="005F09C6"/>
    <w:rsid w:val="00615927"/>
    <w:rsid w:val="00642325"/>
    <w:rsid w:val="00697429"/>
    <w:rsid w:val="006A2F5D"/>
    <w:rsid w:val="006F7907"/>
    <w:rsid w:val="00742D0B"/>
    <w:rsid w:val="00743189"/>
    <w:rsid w:val="00743D33"/>
    <w:rsid w:val="007932B3"/>
    <w:rsid w:val="00793EA9"/>
    <w:rsid w:val="007D6F68"/>
    <w:rsid w:val="007F5E49"/>
    <w:rsid w:val="00823E6B"/>
    <w:rsid w:val="00826780"/>
    <w:rsid w:val="00827CD8"/>
    <w:rsid w:val="00837CCD"/>
    <w:rsid w:val="008512C8"/>
    <w:rsid w:val="00856703"/>
    <w:rsid w:val="008633CC"/>
    <w:rsid w:val="00865190"/>
    <w:rsid w:val="00867481"/>
    <w:rsid w:val="008719B9"/>
    <w:rsid w:val="00894ECE"/>
    <w:rsid w:val="00896BB4"/>
    <w:rsid w:val="008A7FB8"/>
    <w:rsid w:val="008D01B7"/>
    <w:rsid w:val="008D5310"/>
    <w:rsid w:val="008D753F"/>
    <w:rsid w:val="008D7A9C"/>
    <w:rsid w:val="008F0111"/>
    <w:rsid w:val="009022B8"/>
    <w:rsid w:val="00914537"/>
    <w:rsid w:val="00917CC4"/>
    <w:rsid w:val="00922E71"/>
    <w:rsid w:val="0094057B"/>
    <w:rsid w:val="00972470"/>
    <w:rsid w:val="009763DA"/>
    <w:rsid w:val="009975B3"/>
    <w:rsid w:val="009A216D"/>
    <w:rsid w:val="009B4B93"/>
    <w:rsid w:val="009D2B69"/>
    <w:rsid w:val="009F24BE"/>
    <w:rsid w:val="009F6C2F"/>
    <w:rsid w:val="009F767A"/>
    <w:rsid w:val="00A17996"/>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656B5"/>
    <w:rsid w:val="00B85407"/>
    <w:rsid w:val="00B95702"/>
    <w:rsid w:val="00BC6489"/>
    <w:rsid w:val="00BD480C"/>
    <w:rsid w:val="00BE0ADC"/>
    <w:rsid w:val="00C063A1"/>
    <w:rsid w:val="00C20954"/>
    <w:rsid w:val="00C23324"/>
    <w:rsid w:val="00C31D3A"/>
    <w:rsid w:val="00C42A41"/>
    <w:rsid w:val="00C47E74"/>
    <w:rsid w:val="00C57A72"/>
    <w:rsid w:val="00C73602"/>
    <w:rsid w:val="00CD4444"/>
    <w:rsid w:val="00CF60C8"/>
    <w:rsid w:val="00D059AF"/>
    <w:rsid w:val="00D30DE2"/>
    <w:rsid w:val="00D32924"/>
    <w:rsid w:val="00D503A3"/>
    <w:rsid w:val="00DA6A0F"/>
    <w:rsid w:val="00DA6ED0"/>
    <w:rsid w:val="00DC5011"/>
    <w:rsid w:val="00DC76F9"/>
    <w:rsid w:val="00E010B8"/>
    <w:rsid w:val="00E171B6"/>
    <w:rsid w:val="00E72695"/>
    <w:rsid w:val="00E968C0"/>
    <w:rsid w:val="00EB1753"/>
    <w:rsid w:val="00EB6CFF"/>
    <w:rsid w:val="00EE1F89"/>
    <w:rsid w:val="00EE3996"/>
    <w:rsid w:val="00EE58BA"/>
    <w:rsid w:val="00F07062"/>
    <w:rsid w:val="00F22666"/>
    <w:rsid w:val="00F23CFC"/>
    <w:rsid w:val="00F33527"/>
    <w:rsid w:val="00F433E2"/>
    <w:rsid w:val="00F6047C"/>
    <w:rsid w:val="00F65B14"/>
    <w:rsid w:val="00F904AE"/>
    <w:rsid w:val="00F934F8"/>
    <w:rsid w:val="00FB52FE"/>
    <w:rsid w:val="00FC0A34"/>
    <w:rsid w:val="00FD1DEF"/>
    <w:rsid w:val="00FD1E8F"/>
    <w:rsid w:val="00FE0B26"/>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6CA3E1-C0C8-4956-AC5D-788E412B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2E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55CE7"/>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A15A8"/>
    <w:pPr>
      <w:tabs>
        <w:tab w:val="right" w:pos="454"/>
        <w:tab w:val="left" w:pos="737"/>
      </w:tabs>
      <w:ind w:left="737" w:hanging="737"/>
    </w:pPr>
    <w:rPr>
      <w:snapToGrid w:val="0"/>
      <w:sz w:val="18"/>
      <w:lang w:eastAsia="en-US"/>
    </w:rPr>
  </w:style>
  <w:style w:type="paragraph" w:customStyle="1" w:styleId="Lgendetitre">
    <w:name w:val="Légende titre"/>
    <w:basedOn w:val="Normal"/>
    <w:rsid w:val="005A15A8"/>
    <w:pPr>
      <w:spacing w:before="240" w:after="240"/>
    </w:pPr>
    <w:rPr>
      <w:b/>
      <w:i/>
      <w:snapToGrid w:val="0"/>
      <w:lang w:eastAsia="en-US"/>
    </w:rPr>
  </w:style>
  <w:style w:type="paragraph" w:customStyle="1" w:styleId="Lgendestandard">
    <w:name w:val="Légende standard"/>
    <w:basedOn w:val="Normal"/>
    <w:rsid w:val="005A15A8"/>
    <w:rPr>
      <w:sz w:val="18"/>
    </w:rPr>
  </w:style>
  <w:style w:type="paragraph" w:styleId="FootnoteText">
    <w:name w:val="footnote text"/>
    <w:basedOn w:val="Normal"/>
    <w:link w:val="FootnoteTextChar"/>
    <w:rsid w:val="008512C8"/>
    <w:rPr>
      <w:sz w:val="20"/>
    </w:rPr>
  </w:style>
  <w:style w:type="character" w:customStyle="1" w:styleId="FootnoteTextChar">
    <w:name w:val="Footnote Text Char"/>
    <w:basedOn w:val="DefaultParagraphFont"/>
    <w:link w:val="FootnoteText"/>
    <w:rsid w:val="008512C8"/>
  </w:style>
  <w:style w:type="character" w:styleId="FootnoteReference">
    <w:name w:val="footnote reference"/>
    <w:basedOn w:val="DefaultParagraphFont"/>
    <w:rsid w:val="008512C8"/>
    <w:rPr>
      <w:vertAlign w:val="superscript"/>
    </w:rPr>
  </w:style>
  <w:style w:type="character" w:customStyle="1" w:styleId="FooterChar">
    <w:name w:val="Footer Char"/>
    <w:basedOn w:val="DefaultParagraphFont"/>
    <w:link w:val="Footer"/>
    <w:semiHidden/>
    <w:rsid w:val="00255CE7"/>
    <w:rPr>
      <w:sz w:val="22"/>
    </w:rPr>
  </w:style>
  <w:style w:type="paragraph" w:styleId="Footer">
    <w:name w:val="footer"/>
    <w:link w:val="FooterChar"/>
    <w:semiHidden/>
    <w:unhideWhenUsed/>
    <w:rsid w:val="00255CE7"/>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55CE7"/>
    <w:rPr>
      <w:noProof/>
      <w:sz w:val="24"/>
    </w:rPr>
  </w:style>
  <w:style w:type="paragraph" w:customStyle="1" w:styleId="Normal12">
    <w:name w:val="Normal12"/>
    <w:basedOn w:val="Normal"/>
    <w:link w:val="Normal12Char"/>
    <w:rsid w:val="00255CE7"/>
    <w:pPr>
      <w:spacing w:after="240"/>
    </w:pPr>
    <w:rPr>
      <w:noProof/>
    </w:rPr>
  </w:style>
  <w:style w:type="character" w:customStyle="1" w:styleId="Normal6Char">
    <w:name w:val="Normal6 Char"/>
    <w:basedOn w:val="DefaultParagraphFont"/>
    <w:link w:val="Normal6"/>
    <w:locked/>
    <w:rsid w:val="00255CE7"/>
    <w:rPr>
      <w:sz w:val="24"/>
      <w:lang w:val="da-DK"/>
    </w:rPr>
  </w:style>
  <w:style w:type="paragraph" w:customStyle="1" w:styleId="Normal6">
    <w:name w:val="Normal6"/>
    <w:basedOn w:val="Normal"/>
    <w:link w:val="Normal6Char"/>
    <w:rsid w:val="00255CE7"/>
    <w:pPr>
      <w:spacing w:after="120"/>
    </w:pPr>
  </w:style>
  <w:style w:type="paragraph" w:customStyle="1" w:styleId="Normal12Italic">
    <w:name w:val="Normal12Italic"/>
    <w:basedOn w:val="Normal12"/>
    <w:rsid w:val="00255CE7"/>
    <w:rPr>
      <w:i/>
    </w:rPr>
  </w:style>
  <w:style w:type="paragraph" w:customStyle="1" w:styleId="Footer2">
    <w:name w:val="Footer2"/>
    <w:basedOn w:val="Normal12"/>
    <w:rsid w:val="00255CE7"/>
    <w:pPr>
      <w:tabs>
        <w:tab w:val="center" w:pos="4535"/>
        <w:tab w:val="right" w:pos="9923"/>
      </w:tabs>
      <w:spacing w:line="480" w:lineRule="auto"/>
      <w:ind w:left="-851"/>
    </w:pPr>
    <w:rPr>
      <w:rFonts w:ascii="Arial" w:cs="Arial"/>
      <w:b/>
      <w:sz w:val="48"/>
    </w:rPr>
  </w:style>
  <w:style w:type="paragraph" w:customStyle="1" w:styleId="EntPE">
    <w:name w:val="EntPE"/>
    <w:basedOn w:val="Normal12"/>
    <w:rsid w:val="00255CE7"/>
    <w:pPr>
      <w:jc w:val="center"/>
    </w:pPr>
    <w:rPr>
      <w:noProof w:val="0"/>
      <w:sz w:val="56"/>
    </w:rPr>
  </w:style>
  <w:style w:type="paragraph" w:customStyle="1" w:styleId="AMNumberTabs0">
    <w:name w:val="AMNumberTabs"/>
    <w:basedOn w:val="Normal"/>
    <w:rsid w:val="00255C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55CE7"/>
    <w:pPr>
      <w:spacing w:after="240"/>
      <w:jc w:val="center"/>
    </w:pPr>
    <w:rPr>
      <w:i/>
    </w:rPr>
  </w:style>
  <w:style w:type="paragraph" w:customStyle="1" w:styleId="Olang">
    <w:name w:val="Olang"/>
    <w:basedOn w:val="Normal"/>
    <w:rsid w:val="00255CE7"/>
    <w:pPr>
      <w:spacing w:before="240" w:after="240"/>
      <w:jc w:val="right"/>
    </w:pPr>
    <w:rPr>
      <w:noProof/>
      <w:szCs w:val="24"/>
    </w:rPr>
  </w:style>
  <w:style w:type="paragraph" w:customStyle="1" w:styleId="JustificationTitle">
    <w:name w:val="JustificationTitle"/>
    <w:basedOn w:val="Normal"/>
    <w:next w:val="Normal12"/>
    <w:rsid w:val="00255CE7"/>
    <w:pPr>
      <w:keepNext/>
      <w:spacing w:before="240" w:after="240"/>
      <w:jc w:val="center"/>
    </w:pPr>
    <w:rPr>
      <w:i/>
      <w:noProof/>
    </w:rPr>
  </w:style>
  <w:style w:type="paragraph" w:customStyle="1" w:styleId="CrossRef">
    <w:name w:val="CrossRef"/>
    <w:basedOn w:val="Normal"/>
    <w:rsid w:val="00255CE7"/>
    <w:pPr>
      <w:spacing w:before="240"/>
      <w:jc w:val="center"/>
    </w:pPr>
    <w:rPr>
      <w:i/>
    </w:rPr>
  </w:style>
  <w:style w:type="paragraph" w:styleId="NormalWeb">
    <w:name w:val="Normal (Web)"/>
    <w:basedOn w:val="Normal"/>
    <w:uiPriority w:val="99"/>
    <w:unhideWhenUsed/>
    <w:rsid w:val="00E010B8"/>
    <w:pPr>
      <w:widowControl/>
      <w:spacing w:before="100" w:beforeAutospacing="1" w:after="100" w:afterAutospacing="1"/>
    </w:pPr>
    <w:rPr>
      <w:szCs w:val="24"/>
      <w:lang w:eastAsia="nl-NL"/>
    </w:rPr>
  </w:style>
  <w:style w:type="paragraph" w:styleId="BalloonText">
    <w:name w:val="Balloon Text"/>
    <w:basedOn w:val="Normal"/>
    <w:link w:val="BalloonTextChar"/>
    <w:semiHidden/>
    <w:unhideWhenUsed/>
    <w:rsid w:val="005D3009"/>
    <w:rPr>
      <w:rFonts w:ascii="Segoe UI" w:hAnsi="Segoe UI" w:cs="Segoe UI"/>
      <w:sz w:val="18"/>
      <w:szCs w:val="18"/>
    </w:rPr>
  </w:style>
  <w:style w:type="character" w:customStyle="1" w:styleId="BalloonTextChar">
    <w:name w:val="Balloon Text Char"/>
    <w:basedOn w:val="DefaultParagraphFont"/>
    <w:link w:val="BalloonText"/>
    <w:semiHidden/>
    <w:rsid w:val="005D3009"/>
    <w:rPr>
      <w:rFonts w:ascii="Segoe UI" w:hAnsi="Segoe UI" w:cs="Segoe UI"/>
      <w:sz w:val="18"/>
      <w:szCs w:val="18"/>
    </w:rPr>
  </w:style>
  <w:style w:type="character" w:styleId="CommentReference">
    <w:name w:val="annotation reference"/>
    <w:basedOn w:val="DefaultParagraphFont"/>
    <w:rsid w:val="00F22666"/>
    <w:rPr>
      <w:sz w:val="16"/>
      <w:szCs w:val="16"/>
    </w:rPr>
  </w:style>
  <w:style w:type="paragraph" w:styleId="CommentText">
    <w:name w:val="annotation text"/>
    <w:basedOn w:val="Normal"/>
    <w:link w:val="CommentTextChar"/>
    <w:rsid w:val="00F22666"/>
    <w:rPr>
      <w:sz w:val="20"/>
    </w:rPr>
  </w:style>
  <w:style w:type="character" w:customStyle="1" w:styleId="CommentTextChar">
    <w:name w:val="Comment Text Char"/>
    <w:basedOn w:val="DefaultParagraphFont"/>
    <w:link w:val="CommentText"/>
    <w:rsid w:val="00F22666"/>
  </w:style>
  <w:style w:type="paragraph" w:styleId="CommentSubject">
    <w:name w:val="annotation subject"/>
    <w:basedOn w:val="CommentText"/>
    <w:next w:val="CommentText"/>
    <w:link w:val="CommentSubjectChar"/>
    <w:semiHidden/>
    <w:unhideWhenUsed/>
    <w:rsid w:val="00F22666"/>
    <w:rPr>
      <w:b/>
      <w:bCs/>
    </w:rPr>
  </w:style>
  <w:style w:type="character" w:customStyle="1" w:styleId="CommentSubjectChar">
    <w:name w:val="Comment Subject Char"/>
    <w:basedOn w:val="CommentTextChar"/>
    <w:link w:val="CommentSubject"/>
    <w:semiHidden/>
    <w:rsid w:val="00F22666"/>
    <w:rPr>
      <w:b/>
      <w:bCs/>
    </w:rPr>
  </w:style>
  <w:style w:type="paragraph" w:customStyle="1" w:styleId="Normal1">
    <w:name w:val="Normal1"/>
    <w:basedOn w:val="Normal"/>
    <w:rsid w:val="00867481"/>
    <w:pPr>
      <w:widowControl/>
      <w:spacing w:before="100" w:beforeAutospacing="1" w:after="100" w:afterAutospacing="1"/>
    </w:pPr>
    <w:rPr>
      <w:szCs w:val="24"/>
    </w:rPr>
  </w:style>
  <w:style w:type="paragraph" w:styleId="Revision">
    <w:name w:val="Revision"/>
    <w:hidden/>
    <w:uiPriority w:val="99"/>
    <w:semiHidden/>
    <w:rsid w:val="00867481"/>
    <w:rPr>
      <w:sz w:val="24"/>
    </w:rPr>
  </w:style>
  <w:style w:type="paragraph" w:customStyle="1" w:styleId="CM1">
    <w:name w:val="CM1"/>
    <w:basedOn w:val="Normal"/>
    <w:next w:val="Normal"/>
    <w:uiPriority w:val="99"/>
    <w:rsid w:val="004F10B7"/>
    <w:pPr>
      <w:widowControl/>
      <w:autoSpaceDE w:val="0"/>
      <w:autoSpaceDN w:val="0"/>
      <w:adjustRightInd w:val="0"/>
    </w:pPr>
    <w:rPr>
      <w:szCs w:val="24"/>
    </w:rPr>
  </w:style>
  <w:style w:type="paragraph" w:customStyle="1" w:styleId="CM3">
    <w:name w:val="CM3"/>
    <w:basedOn w:val="Normal"/>
    <w:next w:val="Normal"/>
    <w:uiPriority w:val="99"/>
    <w:rsid w:val="004F10B7"/>
    <w:pPr>
      <w:widowControl/>
      <w:autoSpaceDE w:val="0"/>
      <w:autoSpaceDN w:val="0"/>
      <w:adjustRightInd w:val="0"/>
    </w:pPr>
    <w:rPr>
      <w:szCs w:val="24"/>
    </w:rPr>
  </w:style>
  <w:style w:type="paragraph" w:customStyle="1" w:styleId="CM4">
    <w:name w:val="CM4"/>
    <w:basedOn w:val="Normal"/>
    <w:next w:val="Normal"/>
    <w:uiPriority w:val="99"/>
    <w:rsid w:val="004F10B7"/>
    <w:pPr>
      <w:widowControl/>
      <w:autoSpaceDE w:val="0"/>
      <w:autoSpaceDN w:val="0"/>
      <w:adjustRightInd w:val="0"/>
    </w:pPr>
    <w:rPr>
      <w:szCs w:val="24"/>
    </w:rPr>
  </w:style>
  <w:style w:type="paragraph" w:styleId="ListParagraph">
    <w:name w:val="List Paragraph"/>
    <w:basedOn w:val="Normal"/>
    <w:uiPriority w:val="34"/>
    <w:qFormat/>
    <w:rsid w:val="008D753F"/>
    <w:pPr>
      <w:ind w:left="720"/>
    </w:pPr>
  </w:style>
  <w:style w:type="paragraph" w:customStyle="1" w:styleId="Default">
    <w:name w:val="Default"/>
    <w:rsid w:val="008D01B7"/>
    <w:pPr>
      <w:autoSpaceDE w:val="0"/>
      <w:autoSpaceDN w:val="0"/>
      <w:adjustRightInd w:val="0"/>
    </w:pPr>
    <w:rPr>
      <w:color w:val="000000"/>
      <w:sz w:val="24"/>
      <w:szCs w:val="24"/>
    </w:rPr>
  </w:style>
  <w:style w:type="paragraph" w:customStyle="1" w:styleId="title-bold">
    <w:name w:val="title-bold"/>
    <w:basedOn w:val="Normal"/>
    <w:rsid w:val="00540D3E"/>
    <w:pPr>
      <w:widowControl/>
      <w:spacing w:before="100" w:beforeAutospacing="1" w:after="100" w:afterAutospacing="1"/>
    </w:pPr>
    <w:rPr>
      <w:szCs w:val="24"/>
    </w:rPr>
  </w:style>
  <w:style w:type="character" w:styleId="Emphasis">
    <w:name w:val="Emphasis"/>
    <w:basedOn w:val="DefaultParagraphFont"/>
    <w:uiPriority w:val="20"/>
    <w:qFormat/>
    <w:rsid w:val="00540D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5E95B-587A-4502-B93C-A74F62E9A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22300</Words>
  <Characters>138710</Characters>
  <Application>Microsoft Office Word</Application>
  <DocSecurity>0</DocSecurity>
  <Lines>4334</Lines>
  <Paragraphs>1548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CHIGNESSE Regine</dc:creator>
  <cp:lastModifiedBy>HEINSOEE Katja</cp:lastModifiedBy>
  <cp:revision>2</cp:revision>
  <cp:lastPrinted>2004-11-04T09:41:00Z</cp:lastPrinted>
  <dcterms:created xsi:type="dcterms:W3CDTF">2022-10-27T13:03:00Z</dcterms:created>
  <dcterms:modified xsi:type="dcterms:W3CDTF">2022-10-27T13:03:00Z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1263855</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PR\1263855DA.docx</vt:lpwstr>
  </property>
  <property fmtid="{D5CDD505-2E9C-101B-9397-08002B2CF9AE}" pid="10" name="LastEdited with">
    <vt:lpwstr>9.11.0 Build [20211103]</vt:lpwstr>
  </property>
  <property fmtid="{D5CDD505-2E9C-101B-9397-08002B2CF9AE}" pid="11" name="PE number">
    <vt:lpwstr>736.678</vt:lpwstr>
  </property>
  <property fmtid="{D5CDD505-2E9C-101B-9397-08002B2CF9AE}" pid="12" name="SDLStudio">
    <vt:lpwstr/>
  </property>
  <property fmtid="{D5CDD505-2E9C-101B-9397-08002B2CF9AE}" pid="13" name="SendToEpades">
    <vt:lpwstr>OK(AMNUM) - 2022/10/11 12:54</vt:lpwstr>
  </property>
  <property fmtid="{D5CDD505-2E9C-101B-9397-08002B2CF9AE}" pid="14" name="Bookout">
    <vt:lpwstr>OK - 2022/10/27 15:01</vt:lpwstr>
  </property>
</Properties>
</file>