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1685F" w:rsidRPr="00D91B34" w:rsidTr="00362A3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D91B34" w:rsidRDefault="0047455D" w:rsidP="00362A31">
            <w:pPr>
              <w:pStyle w:val="EPName"/>
            </w:pPr>
            <w:r w:rsidRPr="00D91B34">
              <w:t>Parlament Europejski</w:t>
            </w:r>
          </w:p>
          <w:p w:rsidR="00B13D6F" w:rsidRPr="00D91B34" w:rsidRDefault="0047455D" w:rsidP="00666A32">
            <w:pPr>
              <w:pStyle w:val="EPTerm"/>
            </w:pPr>
            <w:r w:rsidRPr="00D91B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D91B34" w:rsidRDefault="0047455D" w:rsidP="00362A31">
            <w:pPr>
              <w:pStyle w:val="EPLogo"/>
            </w:pPr>
            <w:r w:rsidRPr="00D91B34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D91B34" w:rsidRDefault="00461601" w:rsidP="00461601">
      <w:pPr>
        <w:pStyle w:val="LineTop"/>
      </w:pPr>
    </w:p>
    <w:p w:rsidR="00461601" w:rsidRPr="00D91B34" w:rsidRDefault="0047455D" w:rsidP="00461601">
      <w:pPr>
        <w:pStyle w:val="EPBody"/>
      </w:pPr>
      <w:r w:rsidRPr="00D91B34">
        <w:rPr>
          <w:rStyle w:val="HideTWBExt"/>
        </w:rPr>
        <w:t>&lt;</w:t>
      </w:r>
      <w:r w:rsidRPr="00D91B34">
        <w:rPr>
          <w:rStyle w:val="HideTWBExt"/>
          <w:i w:val="0"/>
        </w:rPr>
        <w:t>Commission</w:t>
      </w:r>
      <w:r w:rsidRPr="00D91B34">
        <w:rPr>
          <w:rStyle w:val="HideTWBExt"/>
        </w:rPr>
        <w:t>&gt;</w:t>
      </w:r>
      <w:r w:rsidRPr="00D91B34">
        <w:rPr>
          <w:rStyle w:val="HideTWBInt"/>
          <w:color w:val="auto"/>
        </w:rPr>
        <w:t>{ECON}</w:t>
      </w:r>
      <w:r w:rsidRPr="00D91B34">
        <w:t>Komisja Gospodarcza i Monetarna</w:t>
      </w:r>
      <w:r w:rsidRPr="00D91B34">
        <w:rPr>
          <w:rStyle w:val="HideTWBExt"/>
        </w:rPr>
        <w:t>&lt;/</w:t>
      </w:r>
      <w:r w:rsidRPr="00D91B34">
        <w:rPr>
          <w:rStyle w:val="HideTWBExt"/>
          <w:i w:val="0"/>
        </w:rPr>
        <w:t>Commission</w:t>
      </w:r>
      <w:r w:rsidRPr="00D91B34">
        <w:rPr>
          <w:rStyle w:val="HideTWBExt"/>
        </w:rPr>
        <w:t>&gt;</w:t>
      </w:r>
    </w:p>
    <w:p w:rsidR="00461601" w:rsidRPr="00D91B34" w:rsidRDefault="00461601" w:rsidP="00461601">
      <w:pPr>
        <w:pStyle w:val="LineBottom"/>
      </w:pPr>
    </w:p>
    <w:p w:rsidR="00793EA9" w:rsidRPr="00D91B34" w:rsidRDefault="0047455D">
      <w:pPr>
        <w:pStyle w:val="CoverReference"/>
      </w:pPr>
      <w:r w:rsidRPr="00D91B34">
        <w:rPr>
          <w:rStyle w:val="HideTWBExt"/>
          <w:b w:val="0"/>
        </w:rPr>
        <w:t>&lt;RefProc&gt;</w:t>
      </w:r>
      <w:r w:rsidRPr="00D91B34">
        <w:t>2022/0405</w:t>
      </w:r>
      <w:r w:rsidRPr="00D91B34">
        <w:rPr>
          <w:rStyle w:val="HideTWBExt"/>
          <w:b w:val="0"/>
        </w:rPr>
        <w:t>&lt;/RefProc&gt;&lt;RefTypeProc&gt;</w:t>
      </w:r>
      <w:r w:rsidRPr="00D91B34">
        <w:t>(COD)</w:t>
      </w:r>
      <w:r w:rsidRPr="00D91B34">
        <w:rPr>
          <w:rStyle w:val="HideTWBExt"/>
          <w:b w:val="0"/>
        </w:rPr>
        <w:t>&lt;/RefTypeProc&gt;</w:t>
      </w:r>
    </w:p>
    <w:p w:rsidR="00793EA9" w:rsidRPr="00D91B34" w:rsidRDefault="0047455D">
      <w:pPr>
        <w:pStyle w:val="CoverDate"/>
      </w:pPr>
      <w:r w:rsidRPr="00D91B34">
        <w:rPr>
          <w:rStyle w:val="HideTWBExt"/>
        </w:rPr>
        <w:t>&lt;Date&gt;</w:t>
      </w:r>
      <w:r w:rsidRPr="00D91B34">
        <w:rPr>
          <w:rStyle w:val="HideTWBInt"/>
          <w:color w:val="auto"/>
        </w:rPr>
        <w:t>{14/06/2023}</w:t>
      </w:r>
      <w:r w:rsidRPr="00D91B34">
        <w:t>14.6.2023</w:t>
      </w:r>
      <w:r w:rsidRPr="00D91B34">
        <w:rPr>
          <w:rStyle w:val="HideTWBExt"/>
        </w:rPr>
        <w:t>&lt;/Date&gt;</w:t>
      </w:r>
    </w:p>
    <w:p w:rsidR="00793EA9" w:rsidRPr="00D91B34" w:rsidRDefault="0047455D">
      <w:pPr>
        <w:pStyle w:val="CoverDocType"/>
      </w:pPr>
      <w:r w:rsidRPr="00D91B34">
        <w:rPr>
          <w:rStyle w:val="HideTWBExt"/>
          <w:b w:val="0"/>
        </w:rPr>
        <w:t>&lt;RefProcLect&gt;</w:t>
      </w:r>
      <w:r w:rsidRPr="00D91B34">
        <w:t>***I</w:t>
      </w:r>
      <w:r w:rsidRPr="00D91B34">
        <w:rPr>
          <w:rStyle w:val="HideTWBExt"/>
          <w:b w:val="0"/>
        </w:rPr>
        <w:t>&lt;/RefProcLect&gt;</w:t>
      </w:r>
    </w:p>
    <w:p w:rsidR="00793EA9" w:rsidRPr="00D91B34" w:rsidRDefault="0047455D">
      <w:pPr>
        <w:pStyle w:val="CoverDocType24a"/>
      </w:pPr>
      <w:r w:rsidRPr="00D91B34">
        <w:rPr>
          <w:rStyle w:val="HideTWBExt"/>
          <w:b w:val="0"/>
        </w:rPr>
        <w:t>&lt;TitreType&gt;</w:t>
      </w:r>
      <w:r w:rsidRPr="00D91B34">
        <w:t xml:space="preserve">PROJEKT </w:t>
      </w:r>
      <w:r w:rsidRPr="00D91B34">
        <w:t>SPRAWOZDANIA</w:t>
      </w:r>
      <w:r w:rsidRPr="00D91B34">
        <w:rPr>
          <w:rStyle w:val="HideTWBExt"/>
          <w:b w:val="0"/>
        </w:rPr>
        <w:t>&lt;/TitreType&gt;</w:t>
      </w:r>
    </w:p>
    <w:p w:rsidR="00793EA9" w:rsidRPr="00D91B34" w:rsidRDefault="0047455D" w:rsidP="00666A32">
      <w:pPr>
        <w:pStyle w:val="CoverNormal"/>
      </w:pPr>
      <w:r w:rsidRPr="00D91B34">
        <w:rPr>
          <w:rStyle w:val="HideTWBExt"/>
        </w:rPr>
        <w:t>&lt;Titre&gt;</w:t>
      </w:r>
      <w:r w:rsidRPr="00D91B34">
        <w:t>w sprawie wniosku dotyczącego dyrektywy Parlamentu Europejskiego i Rady zmieniającej dyrektywę 2014/65/UE w celu zwiększenia atrakcyjności publicznych rynków kapitałowych w Unii dla przedsiębiorstw i ułatwienia małym i średn</w:t>
      </w:r>
      <w:r w:rsidRPr="00D91B34">
        <w:t>im przedsiębiorstwom dostępu do kapitału oraz uchylającej dyrektywę 2001/34/WE</w:t>
      </w:r>
      <w:r w:rsidRPr="00D91B34">
        <w:rPr>
          <w:rStyle w:val="HideTWBExt"/>
        </w:rPr>
        <w:t>&lt;/Titre&gt;</w:t>
      </w:r>
    </w:p>
    <w:p w:rsidR="00793EA9" w:rsidRPr="00D91B34" w:rsidRDefault="0047455D">
      <w:pPr>
        <w:pStyle w:val="CoverNormal24a"/>
      </w:pPr>
      <w:r w:rsidRPr="00D91B34">
        <w:rPr>
          <w:rStyle w:val="HideTWBExt"/>
        </w:rPr>
        <w:t>&lt;DocRef&gt;</w:t>
      </w:r>
      <w:r w:rsidRPr="00D91B34">
        <w:t>(COM(2022)0760 – C9</w:t>
      </w:r>
      <w:r w:rsidRPr="00D91B34">
        <w:noBreakHyphen/>
        <w:t>0415/2022 – 2022/0405(COD))</w:t>
      </w:r>
      <w:r w:rsidRPr="00D91B34">
        <w:rPr>
          <w:rStyle w:val="HideTWBExt"/>
        </w:rPr>
        <w:t>&lt;/DocRef&gt;</w:t>
      </w:r>
    </w:p>
    <w:p w:rsidR="00793EA9" w:rsidRPr="00D91B34" w:rsidRDefault="0047455D">
      <w:pPr>
        <w:pStyle w:val="CoverNormal24a"/>
      </w:pPr>
      <w:r w:rsidRPr="00D91B34">
        <w:rPr>
          <w:rStyle w:val="HideTWBExt"/>
        </w:rPr>
        <w:t>&lt;Commission&gt;</w:t>
      </w:r>
      <w:r w:rsidRPr="00D91B34">
        <w:rPr>
          <w:rStyle w:val="HideTWBInt"/>
          <w:color w:val="auto"/>
        </w:rPr>
        <w:t>{ECON}</w:t>
      </w:r>
      <w:r w:rsidRPr="00D91B34">
        <w:t>Komisja Gospodarcza i Monetarna</w:t>
      </w:r>
      <w:r w:rsidRPr="00D91B34">
        <w:rPr>
          <w:rStyle w:val="HideTWBExt"/>
        </w:rPr>
        <w:t>&lt;/Commission&gt;</w:t>
      </w:r>
    </w:p>
    <w:p w:rsidR="00793EA9" w:rsidRPr="00D91B34" w:rsidRDefault="0047455D">
      <w:pPr>
        <w:pStyle w:val="CoverNormal24a"/>
      </w:pPr>
      <w:r w:rsidRPr="00D91B34">
        <w:t xml:space="preserve">Sprawozdawca: </w:t>
      </w:r>
      <w:r w:rsidRPr="00D91B34">
        <w:rPr>
          <w:rStyle w:val="HideTWBExt"/>
        </w:rPr>
        <w:t>&lt;Depute&gt;</w:t>
      </w:r>
      <w:r w:rsidRPr="00D91B34">
        <w:t>Alfred Sant</w:t>
      </w:r>
      <w:r w:rsidRPr="00D91B34">
        <w:rPr>
          <w:rStyle w:val="HideTWBExt"/>
        </w:rPr>
        <w:t>&lt;/Depute&gt;</w:t>
      </w:r>
    </w:p>
    <w:p w:rsidR="001C5B44" w:rsidRPr="00D91B34" w:rsidRDefault="001C5B44" w:rsidP="001C5B44">
      <w:pPr>
        <w:pStyle w:val="CoverNormal"/>
      </w:pPr>
    </w:p>
    <w:p w:rsidR="00666A32" w:rsidRPr="00D91B34" w:rsidRDefault="0047455D" w:rsidP="00362A31">
      <w:r w:rsidRPr="00D91B34">
        <w:br w:type="page"/>
      </w:r>
      <w:fldSimple w:instr=" TITLE  \* MERGEFORMAT ">
        <w:r>
          <w:t>PR_COD_1amCom</w:t>
        </w:r>
      </w:fldSimple>
    </w:p>
    <w:p w:rsidR="00666A32" w:rsidRPr="00D91B34" w:rsidRDefault="00666A32" w:rsidP="00362A31"/>
    <w:p w:rsidR="00666A32" w:rsidRPr="00D91B34" w:rsidRDefault="00666A32" w:rsidP="00362A31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1685F" w:rsidRPr="00D91B34">
        <w:tc>
          <w:tcPr>
            <w:tcW w:w="5811" w:type="dxa"/>
          </w:tcPr>
          <w:p w:rsidR="00666A32" w:rsidRPr="00D91B34" w:rsidRDefault="0047455D" w:rsidP="00362A31">
            <w:pPr>
              <w:pStyle w:val="Lgendetitre"/>
            </w:pPr>
            <w:r w:rsidRPr="00D91B34">
              <w:t>Objaśnienie używanych znaków</w:t>
            </w:r>
          </w:p>
        </w:tc>
      </w:tr>
      <w:tr w:rsidR="00E1685F" w:rsidRPr="00D91B34" w:rsidTr="00362A31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66A32" w:rsidRPr="00D91B34" w:rsidRDefault="0047455D" w:rsidP="00362A31">
            <w:pPr>
              <w:pStyle w:val="Lgendesigne"/>
            </w:pPr>
            <w:r w:rsidRPr="00D91B34">
              <w:tab/>
              <w:t>*</w:t>
            </w:r>
            <w:r w:rsidRPr="00D91B34">
              <w:tab/>
              <w:t>Procedura konsultacji</w:t>
            </w:r>
          </w:p>
          <w:p w:rsidR="00666A32" w:rsidRPr="00D91B34" w:rsidRDefault="0047455D" w:rsidP="00362A31">
            <w:pPr>
              <w:pStyle w:val="Lgendesigne"/>
            </w:pPr>
            <w:r w:rsidRPr="00D91B34">
              <w:tab/>
              <w:t>***</w:t>
            </w:r>
            <w:r w:rsidRPr="00D91B34">
              <w:tab/>
              <w:t>Procedura zgody</w:t>
            </w:r>
          </w:p>
          <w:p w:rsidR="00666A32" w:rsidRPr="00D91B34" w:rsidRDefault="0047455D" w:rsidP="00362A31">
            <w:pPr>
              <w:pStyle w:val="Lgendesigne"/>
            </w:pPr>
            <w:r w:rsidRPr="00D91B34">
              <w:tab/>
              <w:t>***I</w:t>
            </w:r>
            <w:r w:rsidRPr="00D91B34">
              <w:tab/>
              <w:t>Zwykła procedura ustawodawcza (pierwsze czytanie)</w:t>
            </w:r>
          </w:p>
          <w:p w:rsidR="00666A32" w:rsidRPr="00D91B34" w:rsidRDefault="0047455D" w:rsidP="00362A31">
            <w:pPr>
              <w:pStyle w:val="Lgendesigne"/>
            </w:pPr>
            <w:r w:rsidRPr="00D91B34">
              <w:tab/>
              <w:t>***II</w:t>
            </w:r>
            <w:r w:rsidRPr="00D91B34">
              <w:tab/>
              <w:t>Zwykła procedura ustawodawcza (drugie czytanie)</w:t>
            </w:r>
          </w:p>
          <w:p w:rsidR="00666A32" w:rsidRPr="00D91B34" w:rsidRDefault="0047455D" w:rsidP="00362A31">
            <w:pPr>
              <w:pStyle w:val="Lgendesigne"/>
            </w:pPr>
            <w:r w:rsidRPr="00D91B34">
              <w:tab/>
              <w:t>***III</w:t>
            </w:r>
            <w:r w:rsidRPr="00D91B34">
              <w:tab/>
              <w:t xml:space="preserve">Zwykła </w:t>
            </w:r>
            <w:r w:rsidRPr="00D91B34">
              <w:t>procedura ustawodawcza (trzecie czytanie)</w:t>
            </w:r>
          </w:p>
          <w:p w:rsidR="00666A32" w:rsidRPr="00D91B34" w:rsidRDefault="00666A32" w:rsidP="00362A31">
            <w:pPr>
              <w:pStyle w:val="Lgendestandard"/>
            </w:pPr>
          </w:p>
          <w:p w:rsidR="00666A32" w:rsidRPr="00D91B34" w:rsidRDefault="0047455D" w:rsidP="00362A31">
            <w:pPr>
              <w:pStyle w:val="Lgendestandard"/>
            </w:pPr>
            <w:r w:rsidRPr="00D91B34">
              <w:t>(Wskazana procedura opiera się na podstawie prawnej zaproponowanej w projekcie aktu.)</w:t>
            </w:r>
          </w:p>
          <w:p w:rsidR="00666A32" w:rsidRPr="00D91B34" w:rsidRDefault="00666A32" w:rsidP="00362A31">
            <w:pPr>
              <w:pStyle w:val="Lgendestandard"/>
            </w:pPr>
          </w:p>
        </w:tc>
      </w:tr>
    </w:tbl>
    <w:p w:rsidR="00666A32" w:rsidRPr="00D91B34" w:rsidRDefault="00666A32" w:rsidP="00362A31"/>
    <w:p w:rsidR="00666A32" w:rsidRPr="00D91B34" w:rsidRDefault="00666A32" w:rsidP="00362A31"/>
    <w:p w:rsidR="00666A32" w:rsidRPr="00D91B34" w:rsidRDefault="00666A32" w:rsidP="00362A31"/>
    <w:p w:rsidR="00666A32" w:rsidRPr="00D91B34" w:rsidRDefault="00666A32" w:rsidP="00362A31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E1685F" w:rsidRPr="00D91B34">
        <w:tc>
          <w:tcPr>
            <w:tcW w:w="5811" w:type="dxa"/>
          </w:tcPr>
          <w:p w:rsidR="00666A32" w:rsidRPr="00D91B34" w:rsidRDefault="0047455D" w:rsidP="00362A31">
            <w:pPr>
              <w:pStyle w:val="Lgendetitre"/>
            </w:pPr>
            <w:r w:rsidRPr="00D91B34">
              <w:t>Poprawki do projektu aktu</w:t>
            </w:r>
          </w:p>
        </w:tc>
      </w:tr>
      <w:tr w:rsidR="00E1685F" w:rsidRPr="00D91B34" w:rsidTr="00362A31">
        <w:trPr>
          <w:trHeight w:val="4496"/>
        </w:trPr>
        <w:tc>
          <w:tcPr>
            <w:tcW w:w="5811" w:type="dxa"/>
          </w:tcPr>
          <w:p w:rsidR="00666A32" w:rsidRPr="00D91B34" w:rsidRDefault="0047455D" w:rsidP="00362A31">
            <w:pPr>
              <w:pStyle w:val="Lgendestandard"/>
              <w:rPr>
                <w:szCs w:val="24"/>
              </w:rPr>
            </w:pPr>
            <w:r w:rsidRPr="00D91B34">
              <w:rPr>
                <w:b/>
              </w:rPr>
              <w:t>Poprawki Parlamentu w postaci dwóch kolumn</w:t>
            </w:r>
          </w:p>
          <w:p w:rsidR="00666A32" w:rsidRPr="00D91B34" w:rsidRDefault="00666A32" w:rsidP="00362A31">
            <w:pPr>
              <w:pStyle w:val="Lgendestandard"/>
              <w:rPr>
                <w:szCs w:val="24"/>
              </w:rPr>
            </w:pPr>
          </w:p>
          <w:p w:rsidR="00666A32" w:rsidRPr="00D91B34" w:rsidRDefault="0047455D" w:rsidP="00362A31">
            <w:pPr>
              <w:pStyle w:val="Lgendestandard"/>
              <w:rPr>
                <w:szCs w:val="24"/>
              </w:rPr>
            </w:pPr>
            <w:r w:rsidRPr="00D91B34">
              <w:t xml:space="preserve">Skreślenia zaznacza się </w:t>
            </w:r>
            <w:r w:rsidRPr="00D91B34">
              <w:rPr>
                <w:b/>
                <w:i/>
              </w:rPr>
              <w:t xml:space="preserve">wytłuszczonym drukiem i </w:t>
            </w:r>
            <w:r w:rsidRPr="00D91B34">
              <w:rPr>
                <w:b/>
                <w:i/>
              </w:rPr>
              <w:t>kursywą</w:t>
            </w:r>
            <w:r w:rsidRPr="00D91B34">
              <w:t xml:space="preserve"> w lewej kolumnie. Zmianę brzmienia zaznacza się </w:t>
            </w:r>
            <w:r w:rsidRPr="00D91B34">
              <w:rPr>
                <w:b/>
                <w:i/>
              </w:rPr>
              <w:t>wytłuszczonym drukiem i kursywą</w:t>
            </w:r>
            <w:r w:rsidRPr="00D91B34">
              <w:t xml:space="preserve"> w obu kolumnach. Nowy tekst zaznacza się </w:t>
            </w:r>
            <w:r w:rsidRPr="00D91B34">
              <w:rPr>
                <w:b/>
                <w:i/>
              </w:rPr>
              <w:t>wytłuszczonym drukiem i kursywą</w:t>
            </w:r>
            <w:r w:rsidRPr="00D91B34">
              <w:t xml:space="preserve"> w prawej kolumnie.</w:t>
            </w:r>
          </w:p>
          <w:p w:rsidR="00666A32" w:rsidRPr="00D91B34" w:rsidRDefault="00666A32" w:rsidP="00362A31">
            <w:pPr>
              <w:pStyle w:val="Lgendestandard"/>
              <w:rPr>
                <w:szCs w:val="24"/>
              </w:rPr>
            </w:pPr>
          </w:p>
          <w:p w:rsidR="00666A32" w:rsidRPr="00D91B34" w:rsidRDefault="0047455D" w:rsidP="00362A31">
            <w:pPr>
              <w:pStyle w:val="Lgendestandard"/>
              <w:rPr>
                <w:szCs w:val="24"/>
              </w:rPr>
            </w:pPr>
            <w:r w:rsidRPr="00D91B34">
              <w:t xml:space="preserve">Pierwszy i drugi wiersz nagłówka każdej poprawki wskazuje element </w:t>
            </w:r>
            <w:r w:rsidRPr="00D91B34">
              <w:t>rozpatrywanego projektu aktu, którego dotyczy poprawka. Jeżeli poprawka odnosi się do obowiązującego aktu, do którego zmiany zmierza projekt aktu, nagłówek zawiera dodatkowo trzeci wiersz, w którym wskazuje się odpowiednio obowiązujący akt i przepis, które</w:t>
            </w:r>
            <w:r w:rsidRPr="00D91B34">
              <w:t>go dotyczy poprawka.</w:t>
            </w:r>
          </w:p>
          <w:p w:rsidR="00666A32" w:rsidRPr="00D91B34" w:rsidRDefault="00666A32" w:rsidP="00362A31">
            <w:pPr>
              <w:pStyle w:val="Lgendestandard"/>
              <w:rPr>
                <w:szCs w:val="24"/>
              </w:rPr>
            </w:pPr>
          </w:p>
          <w:p w:rsidR="00666A32" w:rsidRPr="00D91B34" w:rsidRDefault="0047455D" w:rsidP="00362A31">
            <w:pPr>
              <w:pStyle w:val="Lgendestandard"/>
              <w:rPr>
                <w:b/>
                <w:szCs w:val="24"/>
              </w:rPr>
            </w:pPr>
            <w:r w:rsidRPr="00D91B34">
              <w:rPr>
                <w:b/>
              </w:rPr>
              <w:t>Poprawki Parlamentu w postaci tekstu skonsolidowanego</w:t>
            </w:r>
          </w:p>
          <w:p w:rsidR="00666A32" w:rsidRPr="00D91B34" w:rsidRDefault="00666A32" w:rsidP="00362A31">
            <w:pPr>
              <w:pStyle w:val="Lgendestandard"/>
              <w:rPr>
                <w:szCs w:val="24"/>
              </w:rPr>
            </w:pPr>
          </w:p>
          <w:p w:rsidR="00666A32" w:rsidRPr="00D91B34" w:rsidRDefault="0047455D" w:rsidP="00362A31">
            <w:pPr>
              <w:pStyle w:val="Lgendestandard"/>
              <w:rPr>
                <w:szCs w:val="24"/>
              </w:rPr>
            </w:pPr>
            <w:r w:rsidRPr="00D91B34">
              <w:t xml:space="preserve">Nowe fragmenty tekstu zaznacza się </w:t>
            </w:r>
            <w:r w:rsidRPr="00D91B34">
              <w:rPr>
                <w:b/>
                <w:i/>
              </w:rPr>
              <w:t>wytłuszczonym drukiem i kursywą</w:t>
            </w:r>
            <w:r w:rsidRPr="00D91B34">
              <w:t>. Fragmenty tekstu, które zostały skreślone, zaznacza się za pomocą symbolu ▌ lub przekreśla. Zmianę brzmienia za</w:t>
            </w:r>
            <w:r w:rsidRPr="00D91B34">
              <w:t xml:space="preserve">znacza się przez wyróżnienie nowego tekstu </w:t>
            </w:r>
            <w:r w:rsidRPr="00D91B34">
              <w:rPr>
                <w:b/>
                <w:i/>
              </w:rPr>
              <w:t>wytłuszczonym drukiem i kursywą</w:t>
            </w:r>
            <w:r w:rsidRPr="00D91B34">
              <w:t xml:space="preserve"> i usunięcie lub przekreślenie zastąpionego tekstu. </w:t>
            </w:r>
          </w:p>
          <w:p w:rsidR="00666A32" w:rsidRPr="00D91B34" w:rsidRDefault="0047455D" w:rsidP="00362A31">
            <w:pPr>
              <w:pStyle w:val="Lgendestandard"/>
            </w:pPr>
            <w:r w:rsidRPr="00D91B34">
              <w:t>Tytułem wyjątku nie zaznacza się zmian o charakterze ściśle technicznym wprowadzonych przez służby w celu opracowania końcowej we</w:t>
            </w:r>
            <w:r w:rsidRPr="00D91B34">
              <w:t>rsji tekstu.</w:t>
            </w:r>
          </w:p>
          <w:p w:rsidR="00666A32" w:rsidRPr="00D91B34" w:rsidRDefault="00666A32" w:rsidP="00362A31">
            <w:pPr>
              <w:pStyle w:val="Lgendestandard"/>
            </w:pPr>
          </w:p>
        </w:tc>
      </w:tr>
    </w:tbl>
    <w:p w:rsidR="00666A32" w:rsidRPr="00D91B34" w:rsidRDefault="00666A32" w:rsidP="00362A31"/>
    <w:p w:rsidR="00793EA9" w:rsidRPr="00D91B34" w:rsidRDefault="00793EA9" w:rsidP="00012351">
      <w:pPr>
        <w:widowControl/>
        <w:tabs>
          <w:tab w:val="center" w:pos="4677"/>
        </w:tabs>
      </w:pPr>
    </w:p>
    <w:p w:rsidR="00793EA9" w:rsidRPr="00D91B34" w:rsidRDefault="0047455D" w:rsidP="00DF223A">
      <w:pPr>
        <w:pStyle w:val="TOCHeading"/>
        <w:tabs>
          <w:tab w:val="center" w:pos="4535"/>
          <w:tab w:val="right" w:pos="9070"/>
        </w:tabs>
        <w:jc w:val="left"/>
      </w:pPr>
      <w:r w:rsidRPr="00D91B34">
        <w:br w:type="page"/>
      </w:r>
      <w:r w:rsidRPr="00D91B34">
        <w:lastRenderedPageBreak/>
        <w:tab/>
        <w:t>SPIS TREŚCI</w:t>
      </w:r>
      <w:r w:rsidRPr="00D91B34">
        <w:tab/>
      </w:r>
    </w:p>
    <w:p w:rsidR="00793EA9" w:rsidRPr="00D91B34" w:rsidRDefault="0047455D">
      <w:pPr>
        <w:pStyle w:val="TOCPage"/>
      </w:pPr>
      <w:r w:rsidRPr="00D91B34">
        <w:t>Strona</w:t>
      </w:r>
    </w:p>
    <w:p w:rsidR="0047455D" w:rsidRDefault="0047455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 w:rsidRPr="00D91B34">
        <w:rPr>
          <w:b/>
        </w:rPr>
        <w:fldChar w:fldCharType="begin"/>
      </w:r>
      <w:r w:rsidRPr="00D91B34">
        <w:rPr>
          <w:b/>
        </w:rPr>
        <w:instrText xml:space="preserve"> TOC \t "PageHeading</w:instrText>
      </w:r>
      <w:r w:rsidR="006E0818">
        <w:rPr>
          <w:b/>
        </w:rPr>
        <w:instrText>;</w:instrText>
      </w:r>
      <w:r w:rsidRPr="00D91B34">
        <w:rPr>
          <w:b/>
        </w:rPr>
        <w:instrText xml:space="preserve">1" </w:instrText>
      </w:r>
      <w:r w:rsidRPr="00D91B34">
        <w:rPr>
          <w:b/>
        </w:rPr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_Toc138940247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455D" w:rsidRDefault="0047455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_Toc138940248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346B0" w:rsidRPr="00D91B34" w:rsidRDefault="0047455D" w:rsidP="00C23324">
      <w:r w:rsidRPr="00D91B34">
        <w:rPr>
          <w:b/>
        </w:rPr>
        <w:fldChar w:fldCharType="end"/>
      </w:r>
    </w:p>
    <w:p w:rsidR="00793EA9" w:rsidRPr="00D91B34" w:rsidRDefault="0047455D">
      <w:pPr>
        <w:pStyle w:val="PageHeading"/>
      </w:pPr>
      <w:r w:rsidRPr="00D91B34">
        <w:br w:type="page"/>
      </w:r>
      <w:r w:rsidRPr="00D91B34">
        <w:lastRenderedPageBreak/>
        <w:br w:type="page"/>
      </w:r>
      <w:bookmarkStart w:id="0" w:name="_Toc138940247"/>
      <w:r w:rsidRPr="00D91B34">
        <w:lastRenderedPageBreak/>
        <w:t>PROJEKT REZOLUCJI USTAWODAWCZEJ PARLAMENTU EUROPEJSKIEGO</w:t>
      </w:r>
      <w:bookmarkEnd w:id="0"/>
    </w:p>
    <w:p w:rsidR="00793EA9" w:rsidRPr="00D91B34" w:rsidRDefault="0047455D">
      <w:pPr>
        <w:pStyle w:val="NormalBold"/>
      </w:pPr>
      <w:r w:rsidRPr="00D91B34">
        <w:t xml:space="preserve">w sprawie wniosku dotyczącego dyrektywy Parlamentu Europejskiego i Rady zmieniającej dyrektywę 2014/65/UE w celu </w:t>
      </w:r>
      <w:r w:rsidRPr="00D91B34">
        <w:t>zwiększenia atrakcyjności publicznych rynków kapitałowych w Unii dla przedsiębiorstw i ułatwienia małym i średnim przedsiębiorstwom dostępu do kapitału oraz uchylającej dyrektywę 2001/34/WE</w:t>
      </w:r>
    </w:p>
    <w:p w:rsidR="00793EA9" w:rsidRPr="00D91B34" w:rsidRDefault="0047455D">
      <w:pPr>
        <w:pStyle w:val="NormalBold12a"/>
      </w:pPr>
      <w:r w:rsidRPr="00D91B34">
        <w:t>(COM(2022)0760 – C9</w:t>
      </w:r>
      <w:r w:rsidRPr="00D91B34">
        <w:noBreakHyphen/>
        <w:t>0415/2022 – 2022/0405(COD))</w:t>
      </w:r>
    </w:p>
    <w:p w:rsidR="00793EA9" w:rsidRPr="00D91B34" w:rsidRDefault="0047455D" w:rsidP="00A910C9">
      <w:pPr>
        <w:pStyle w:val="NormalBold"/>
      </w:pPr>
      <w:r w:rsidRPr="00D91B34">
        <w:t xml:space="preserve">(Zwykła procedura </w:t>
      </w:r>
      <w:r w:rsidRPr="00D91B34">
        <w:t>ustawodawcza: pierwsze czytanie)</w:t>
      </w:r>
    </w:p>
    <w:p w:rsidR="00793EA9" w:rsidRPr="00D91B34" w:rsidRDefault="0047455D" w:rsidP="00A910C9">
      <w:pPr>
        <w:pStyle w:val="EPComma"/>
      </w:pPr>
      <w:r w:rsidRPr="00D91B34">
        <w:rPr>
          <w:i/>
        </w:rPr>
        <w:t>Parlament Europejski</w:t>
      </w:r>
      <w:r w:rsidRPr="00D91B34">
        <w:t>,</w:t>
      </w:r>
    </w:p>
    <w:p w:rsidR="00793EA9" w:rsidRPr="00D91B34" w:rsidRDefault="0047455D">
      <w:pPr>
        <w:pStyle w:val="NormalHanging12a"/>
      </w:pPr>
      <w:r w:rsidRPr="00D91B34">
        <w:t>–</w:t>
      </w:r>
      <w:r w:rsidRPr="00D91B34">
        <w:tab/>
        <w:t>uwzględniając wniosek Komisji przedstawiony Parlamentowi Europejskiemu i Radzie (COM(2022)0760),</w:t>
      </w:r>
    </w:p>
    <w:p w:rsidR="00793EA9" w:rsidRPr="00D91B34" w:rsidRDefault="0047455D">
      <w:pPr>
        <w:pStyle w:val="NormalHanging12a"/>
      </w:pPr>
      <w:r w:rsidRPr="00D91B34">
        <w:t>–</w:t>
      </w:r>
      <w:r w:rsidRPr="00D91B34">
        <w:tab/>
        <w:t>uwzględniając art. 294 ust. 2 oraz art. 114 Traktatu o funkcjonowaniu Unii Europejskiej, zgodnie z k</w:t>
      </w:r>
      <w:r w:rsidRPr="00D91B34">
        <w:t>tórymi wniosek został przedstawiony Parlamentowi przez Komisję (C9-0415/2022),</w:t>
      </w:r>
    </w:p>
    <w:p w:rsidR="00A26F46" w:rsidRPr="00D91B34" w:rsidRDefault="0047455D" w:rsidP="00A26F46">
      <w:pPr>
        <w:pStyle w:val="NormalHanging12a"/>
      </w:pPr>
      <w:r w:rsidRPr="00D91B34">
        <w:t>–</w:t>
      </w:r>
      <w:r w:rsidRPr="00D91B34">
        <w:tab/>
        <w:t>uwzględniając art. 294 ust. 3 Traktatu o funkcjonowaniu Unii Europejskiej,</w:t>
      </w:r>
    </w:p>
    <w:p w:rsidR="00D4703E" w:rsidRPr="00D91B34" w:rsidRDefault="0047455D" w:rsidP="00FB52FE">
      <w:pPr>
        <w:pStyle w:val="NormalHanging12a"/>
      </w:pPr>
      <w:r w:rsidRPr="00D91B34">
        <w:t>–</w:t>
      </w:r>
      <w:r w:rsidRPr="00D91B34">
        <w:tab/>
        <w:t>uwzględniając art. 59 Regulaminu,</w:t>
      </w:r>
    </w:p>
    <w:p w:rsidR="009A2010" w:rsidRPr="00D91B34" w:rsidRDefault="0047455D" w:rsidP="00EF2F2D">
      <w:pPr>
        <w:pStyle w:val="NormalHanging12a"/>
        <w:rPr>
          <w:szCs w:val="24"/>
        </w:rPr>
      </w:pPr>
      <w:r w:rsidRPr="00D91B34">
        <w:t>–</w:t>
      </w:r>
      <w:r w:rsidRPr="00D91B34">
        <w:tab/>
        <w:t>uwzględniając opinię przedstawioną przez Komisję Przemysłu, Ba</w:t>
      </w:r>
      <w:r w:rsidRPr="00D91B34">
        <w:t>dań Naukowych i Energii,</w:t>
      </w:r>
    </w:p>
    <w:p w:rsidR="00EF2F2D" w:rsidRPr="00D91B34" w:rsidRDefault="0047455D" w:rsidP="00EF2F2D">
      <w:pPr>
        <w:pStyle w:val="NormalHanging12a"/>
      </w:pPr>
      <w:r w:rsidRPr="00D91B34">
        <w:t>–</w:t>
      </w:r>
      <w:r w:rsidRPr="00D91B34">
        <w:tab/>
        <w:t>uwzględniając opinię Europejskiego Komitetu Ekonomiczno-Społecznego z 23 marca 2023 r.</w:t>
      </w:r>
      <w:r w:rsidRPr="00D91B34">
        <w:rPr>
          <w:rStyle w:val="FootnoteReference"/>
          <w:szCs w:val="24"/>
        </w:rPr>
        <w:footnoteReference w:id="1"/>
      </w:r>
      <w:r w:rsidRPr="00D91B34">
        <w:t>,</w:t>
      </w:r>
    </w:p>
    <w:p w:rsidR="00D4703E" w:rsidRPr="00D91B34" w:rsidRDefault="0047455D" w:rsidP="00D4703E">
      <w:pPr>
        <w:pStyle w:val="NormalHanging12a"/>
      </w:pPr>
      <w:r w:rsidRPr="00D91B34">
        <w:t>–</w:t>
      </w:r>
      <w:r w:rsidRPr="00D91B34">
        <w:tab/>
        <w:t>uwzględniając sprawozdanie Komisji Gospodarczej i Monetarnej (A9-0000/2023),</w:t>
      </w:r>
    </w:p>
    <w:p w:rsidR="009F6C2F" w:rsidRPr="00D91B34" w:rsidRDefault="0047455D" w:rsidP="009F6C2F">
      <w:pPr>
        <w:pStyle w:val="NormalHanging12a"/>
      </w:pPr>
      <w:r w:rsidRPr="00D91B34">
        <w:t>1.</w:t>
      </w:r>
      <w:r w:rsidRPr="00D91B34">
        <w:tab/>
        <w:t>przyjmuje poniższe stanowisko w pierwszym czytaniu;</w:t>
      </w:r>
    </w:p>
    <w:p w:rsidR="00D4703E" w:rsidRPr="00D91B34" w:rsidRDefault="0047455D" w:rsidP="00D4703E">
      <w:pPr>
        <w:pStyle w:val="NormalHanging12a"/>
      </w:pPr>
      <w:r w:rsidRPr="00D91B34">
        <w:t>2.</w:t>
      </w:r>
      <w:r w:rsidRPr="00D91B34">
        <w:tab/>
        <w:t>zwr</w:t>
      </w:r>
      <w:r w:rsidRPr="00D91B34">
        <w:t>aca się do Komisji o ponowne przekazanie mu sprawy, jeśli zastąpi ona pierwotny wniosek, wprowadzi w nim istotne zmiany lub planuje ich wprowadzenie;</w:t>
      </w:r>
    </w:p>
    <w:p w:rsidR="00B85407" w:rsidRPr="00D91B34" w:rsidRDefault="0047455D" w:rsidP="00D4703E">
      <w:pPr>
        <w:pStyle w:val="NormalHanging12a"/>
      </w:pPr>
      <w:r w:rsidRPr="00D91B34">
        <w:t>3.</w:t>
      </w:r>
      <w:r w:rsidRPr="00D91B34">
        <w:tab/>
        <w:t>zobowiązuje swoją przewodniczącą do przekazania stanowiska Parlamentu Radzie i Komisji oraz parlamentom</w:t>
      </w:r>
      <w:r w:rsidRPr="00D91B34">
        <w:t xml:space="preserve"> narodowym.</w:t>
      </w:r>
    </w:p>
    <w:p w:rsidR="00D30DE2" w:rsidRPr="00D91B34" w:rsidRDefault="00D30DE2" w:rsidP="00D30DE2"/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&lt;RepeatBlock-Amend&gt;&lt;Amend&gt;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1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Motyw 5</w:t>
      </w:r>
      <w:r w:rsidRPr="00D91B3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(5)</w:t>
            </w:r>
            <w:r w:rsidRPr="00D91B34">
              <w:tab/>
              <w:t xml:space="preserve">Ponadto, aby jeszcze bardziej wspierać objęcie badaniami </w:t>
            </w:r>
            <w:r w:rsidRPr="00D91B34">
              <w:t>inwestycyjnymi spółek o małej i średniej kapitalizacji, materiały analityczne opłacone w całości lub w części przez emitentów należy oznaczać jako „badania sponsorowane przez emitenta”. Aby zapewnić odpowiedni poziom obiektywizmu i niezależności takich mat</w:t>
            </w:r>
            <w:r w:rsidRPr="00D91B34">
              <w:t xml:space="preserve">eriałów analitycznych, materiały te należy przygotować zgodnie z kodeksem postępowania opracowanym lub zatwierdzonym przez </w:t>
            </w:r>
            <w:r w:rsidRPr="00D91B34">
              <w:rPr>
                <w:b/>
                <w:i/>
              </w:rPr>
              <w:t>operatora rynku zarejestrowanego w państwie członkowskim lub przez właściwy organ</w:t>
            </w:r>
            <w:r w:rsidRPr="00D91B34">
              <w:t>. W celu zapewnienia większej widoczności badań spon</w:t>
            </w:r>
            <w:r w:rsidRPr="00D91B34">
              <w:t>sorowanych przez emitenta emitenci powinni mieć możliwość przekazywania sponsorowanych przez siebie badań odpowiedniemu organowi gromadzącemu dane zdefiniowanemu</w:t>
            </w:r>
            <w:r w:rsidRPr="00D91B34">
              <w:rPr>
                <w:b/>
                <w:i/>
              </w:rPr>
              <w:t>32</w:t>
            </w:r>
            <w:r w:rsidRPr="00D91B34">
              <w:t xml:space="preserve"> w </w:t>
            </w:r>
            <w:r w:rsidRPr="00D91B34">
              <w:rPr>
                <w:b/>
                <w:i/>
              </w:rPr>
              <w:t>[art</w:t>
            </w:r>
            <w:r w:rsidRPr="00D91B34">
              <w:t xml:space="preserve">. 2 pkt 2 </w:t>
            </w:r>
            <w:r w:rsidRPr="00D91B34">
              <w:rPr>
                <w:b/>
                <w:i/>
              </w:rPr>
              <w:t>wniosku dotyczącego rozporządzenia33 w sprawie pojedynczego punktu dostępu]</w:t>
            </w:r>
            <w:r w:rsidRPr="00D91B34">
              <w:t>.</w:t>
            </w:r>
          </w:p>
        </w:tc>
        <w:tc>
          <w:tcPr>
            <w:tcW w:w="4876" w:type="dxa"/>
            <w:hideMark/>
          </w:tcPr>
          <w:p w:rsidR="004373FD" w:rsidRPr="00D91B34" w:rsidRDefault="0047455D" w:rsidP="00A10ACA">
            <w:pPr>
              <w:pStyle w:val="Normal6"/>
              <w:rPr>
                <w:szCs w:val="24"/>
              </w:rPr>
            </w:pPr>
            <w:r w:rsidRPr="00D91B34">
              <w:t>(5)</w:t>
            </w:r>
            <w:r w:rsidRPr="00D91B34">
              <w:tab/>
              <w:t>Ponadto, aby jeszcze bardziej wspierać objęcie badaniami inwestycyjnymi spółek o małej i średniej kapitalizacji, materiały analityczne opłacone w całości lub w części przez emitentów należy oznaczać jako „badania sponsorowane przez emitenta”. Aby zape</w:t>
            </w:r>
            <w:r w:rsidRPr="00D91B34">
              <w:t xml:space="preserve">wnić odpowiedni poziom obiektywizmu i niezależności takich materiałów analitycznych, materiały te należy przygotować zgodnie z kodeksem postępowania opracowanym lub zatwierdzonym przez </w:t>
            </w:r>
            <w:r w:rsidRPr="00D91B34">
              <w:rPr>
                <w:b/>
                <w:i/>
              </w:rPr>
              <w:t>ESMA</w:t>
            </w:r>
            <w:r w:rsidRPr="00D91B34">
              <w:t>. W celu zapewnienia większej widoczności badań sponsorowanych prze</w:t>
            </w:r>
            <w:r w:rsidRPr="00D91B34">
              <w:t xml:space="preserve">z emitenta emitenci powinni mieć możliwość przekazywania sponsorowanych przez siebie badań odpowiedniemu organowi gromadzącemu dane zdefiniowanemu w </w:t>
            </w:r>
            <w:r w:rsidRPr="00D91B34">
              <w:rPr>
                <w:b/>
                <w:i/>
              </w:rPr>
              <w:t>art</w:t>
            </w:r>
            <w:r w:rsidRPr="00D91B34">
              <w:t xml:space="preserve">. 2 pkt 2 </w:t>
            </w:r>
            <w:r w:rsidRPr="00D91B34">
              <w:rPr>
                <w:b/>
                <w:i/>
              </w:rPr>
              <w:t>rozporządzenia Parlamentu Europejskiego i Rady (UE) .../...</w:t>
            </w:r>
            <w:r w:rsidRPr="00D91B34">
              <w:rPr>
                <w:b/>
                <w:i/>
                <w:vertAlign w:val="superscript"/>
              </w:rPr>
              <w:t>33</w:t>
            </w:r>
            <w:r w:rsidRPr="00D91B34">
              <w:t>.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__________________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t>___________</w:t>
            </w:r>
            <w:r w:rsidRPr="00D91B34">
              <w:t>_______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47455D" w:rsidRDefault="0047455D">
            <w:pPr>
              <w:pStyle w:val="Normal6"/>
              <w:rPr>
                <w:b/>
                <w:i/>
              </w:rPr>
            </w:pPr>
            <w:r w:rsidRPr="0047455D">
              <w:rPr>
                <w:b/>
                <w:i/>
                <w:vertAlign w:val="superscript"/>
              </w:rPr>
              <w:t>32</w:t>
            </w:r>
            <w:r w:rsidRPr="0047455D">
              <w:rPr>
                <w:b/>
                <w:i/>
              </w:rPr>
              <w:t xml:space="preserve"> Zob. art. 2 pkt 2 wniosku dotyczącego rozporządzenia [2021.78.COD].</w:t>
            </w:r>
            <w:bookmarkStart w:id="1" w:name="_GoBack"/>
            <w:bookmarkEnd w:id="1"/>
          </w:p>
        </w:tc>
        <w:tc>
          <w:tcPr>
            <w:tcW w:w="4876" w:type="dxa"/>
            <w:hideMark/>
          </w:tcPr>
          <w:p w:rsidR="004373FD" w:rsidRPr="00D91B34" w:rsidRDefault="004373FD">
            <w:pPr>
              <w:pStyle w:val="Normal6"/>
              <w:rPr>
                <w:szCs w:val="24"/>
              </w:rPr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rPr>
                <w:vertAlign w:val="superscript"/>
              </w:rPr>
              <w:t>33</w:t>
            </w:r>
            <w:r w:rsidRPr="00D91B34">
              <w:t xml:space="preserve"> </w:t>
            </w:r>
            <w:r w:rsidRPr="00D91B34">
              <w:rPr>
                <w:b/>
                <w:i/>
              </w:rPr>
              <w:t>Wniosek dotyczący rozporządzenia [2021</w:t>
            </w:r>
            <w:r w:rsidRPr="00D91B34">
              <w:t>/</w:t>
            </w:r>
            <w:r w:rsidRPr="00D91B34">
              <w:rPr>
                <w:b/>
                <w:i/>
              </w:rPr>
              <w:t>03</w:t>
            </w:r>
            <w:r w:rsidRPr="00D91B34">
              <w:t>.</w:t>
            </w:r>
            <w:r w:rsidRPr="00D91B34">
              <w:rPr>
                <w:b/>
                <w:i/>
              </w:rPr>
              <w:t>78</w:t>
            </w:r>
            <w:r w:rsidRPr="00D91B34">
              <w:t>.</w:t>
            </w:r>
            <w:r w:rsidRPr="00D91B34">
              <w:rPr>
                <w:b/>
                <w:i/>
              </w:rPr>
              <w:t>COD]</w:t>
            </w:r>
            <w:r w:rsidRPr="00D91B34">
              <w:t>.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vertAlign w:val="superscript"/>
              </w:rPr>
              <w:t>33</w:t>
            </w:r>
            <w:r w:rsidRPr="00D91B34">
              <w:t xml:space="preserve"> </w:t>
            </w:r>
            <w:r w:rsidRPr="00D91B34">
              <w:rPr>
                <w:b/>
                <w:i/>
              </w:rPr>
              <w:t>Rozporządzenie Parlamentu Europejskiego i Rady (UE) ...</w:t>
            </w:r>
            <w:r w:rsidRPr="00D91B34">
              <w:t>/.</w:t>
            </w:r>
            <w:r w:rsidRPr="00D91B34">
              <w:rPr>
                <w:b/>
                <w:i/>
              </w:rPr>
              <w:t>.</w:t>
            </w:r>
            <w:r w:rsidRPr="00D91B34">
              <w:t>.</w:t>
            </w:r>
            <w:r w:rsidRPr="00D91B34">
              <w:rPr>
                <w:b/>
                <w:i/>
              </w:rPr>
              <w:t xml:space="preserve"> ustanawiające europejski pojedynczy punkt dostępu zapewniający scentralizowany dostęp do publicznie dostępnych informacji istotnych z punktu widzenia usług finansowych, rynków kapitałowych i zrównoważonego rozwoju (2021/0378(COD))</w:t>
            </w:r>
            <w:r w:rsidRPr="00D91B34">
              <w:t>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2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Motyw 6 a (nowy)</w:t>
      </w:r>
      <w:r w:rsidRPr="00D91B3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356214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(6a)</w:t>
            </w:r>
            <w:r w:rsidRPr="00D91B34">
              <w:rPr>
                <w:b/>
                <w:i/>
              </w:rPr>
              <w:tab/>
              <w:t xml:space="preserve">Państwa członkowskie powinny wymagać, aby instrument finansowy </w:t>
            </w:r>
            <w:r w:rsidRPr="00D91B34">
              <w:rPr>
                <w:b/>
                <w:i/>
              </w:rPr>
              <w:t>emitenta, który jest dopuszczony do obrotu na rynku rozwoju MŚP, mógł być również przedmiotem obrotu w innym systemie obrotu tylko wówczas, jeżeli emitent został poinformowany i wyraził zgodę. Udziały w MŚP są często z natury niepłynne, ponieważ mają mniej</w:t>
            </w:r>
            <w:r w:rsidRPr="00D91B34">
              <w:rPr>
                <w:b/>
                <w:i/>
              </w:rPr>
              <w:t>szą kapitalizację rynkową i mniejszy wolumen obrotu. Emitenci powinni zatem mieć możliwość wyrażenia sprzeciwu wobec obrotu w innym systemie obrotu, ponieważ mogłoby to być korzystne pod względem zmniejszenia ryzyka fragmentacji płynności.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</w:t>
      </w:r>
      <w:r w:rsidRPr="00D91B34">
        <w:rPr>
          <w:rStyle w:val="HideTWBInt"/>
          <w:sz w:val="24"/>
          <w:szCs w:val="24"/>
        </w:rPr>
        <w:t>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pStyle w:val="JustificationTitle"/>
        <w:rPr>
          <w:noProof w:val="0"/>
        </w:rPr>
      </w:pPr>
      <w:r w:rsidRPr="00D91B34">
        <w:rPr>
          <w:rStyle w:val="HideTWBExt"/>
          <w:i w:val="0"/>
        </w:rPr>
        <w:t>&lt;TitreJust&gt;</w:t>
      </w:r>
      <w:r w:rsidRPr="00D91B34">
        <w:t>Uzasadnienie</w:t>
      </w:r>
      <w:r w:rsidRPr="00D91B34">
        <w:rPr>
          <w:rStyle w:val="HideTWBExt"/>
          <w:i w:val="0"/>
        </w:rPr>
        <w:t>&lt;/TitreJust&gt;</w:t>
      </w:r>
    </w:p>
    <w:p w:rsidR="004373FD" w:rsidRPr="00D91B34" w:rsidRDefault="0047455D" w:rsidP="004373FD">
      <w:pPr>
        <w:pStyle w:val="Normal12Italic"/>
        <w:rPr>
          <w:noProof w:val="0"/>
        </w:rPr>
      </w:pPr>
      <w:r w:rsidRPr="00D91B34">
        <w:t xml:space="preserve">Korzystne byłoby rozszerzenie wymogu dotyczącego braku sprzeciwu emitenta, o którym mowa w art. 33 ust. 7 część pierwsza dyrektywy MiFID II, dotyczącym dopuszczenia do obrotu instrumentu już </w:t>
      </w:r>
      <w:r w:rsidRPr="00D91B34">
        <w:t>dopuszczonego na rynkach rozwoju MŚP w dowolnym systemie obrotu. Takie rozszerzenie byłoby korzystne dla zmniejszenia ryzyka fragmentacji płynności.</w:t>
      </w:r>
    </w:p>
    <w:p w:rsidR="004373FD" w:rsidRPr="00D91B34" w:rsidRDefault="0047455D" w:rsidP="004373FD"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3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</w:t>
      </w:r>
      <w:r w:rsidRPr="00D91B34">
        <w:t>ł 1 – akapit 1 – punkt 2 – litera a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24 – ustęp 3 b – akapit 1</w:t>
      </w:r>
      <w:r w:rsidRPr="00D91B3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W przypadku gdy badania są opłacane, w całości lub w części, przez emitenta i podawane do wiadomości publicznej lub rozpowszechniane wśród firm inwestycyjnych lub klientów firm inwestycyjnych świadczących usługi w zakresie zarządzania portfelem lub inne us</w:t>
            </w:r>
            <w:r w:rsidRPr="00D91B34">
              <w:t xml:space="preserve">ługi inwestycyjne lub dodatkowe, badania takie oznacza się jako »badania sponsorowane przez emitenta«, pod warunkiem że zostały przeprowadzone </w:t>
            </w:r>
            <w:r w:rsidRPr="00D91B34">
              <w:lastRenderedPageBreak/>
              <w:t xml:space="preserve">zgodnie z kodeksem postępowania </w:t>
            </w:r>
            <w:r w:rsidRPr="00D91B34">
              <w:rPr>
                <w:b/>
                <w:i/>
              </w:rPr>
              <w:t>opracowanym lub zatwierdzonym</w:t>
            </w:r>
            <w:r w:rsidRPr="00D91B34">
              <w:t xml:space="preserve"> przez </w:t>
            </w:r>
            <w:r w:rsidRPr="00D91B34">
              <w:rPr>
                <w:b/>
                <w:i/>
              </w:rPr>
              <w:t>operatora rynku zarejestrowanego w państwie c</w:t>
            </w:r>
            <w:r w:rsidRPr="00D91B34">
              <w:rPr>
                <w:b/>
                <w:i/>
              </w:rPr>
              <w:t>złonkowskim lub przez właściwy organ</w:t>
            </w:r>
            <w:r w:rsidRPr="00D91B34">
              <w:t>.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lastRenderedPageBreak/>
              <w:t>W przypadku gdy badania są opłacane, w całości lub w części, przez emitenta i podawane do wiadomości publicznej lub rozpowszechniane wśród firm inwestycyjnych lub klientów firm inwestycyjnych świadczących usługi w zakr</w:t>
            </w:r>
            <w:r w:rsidRPr="00D91B34">
              <w:t xml:space="preserve">esie zarządzania portfelem lub inne usługi inwestycyjne lub dodatkowe, badania takie oznacza się jako »badania sponsorowane przez emitenta«, pod warunkiem że zostały przeprowadzone </w:t>
            </w:r>
            <w:r w:rsidRPr="00D91B34">
              <w:lastRenderedPageBreak/>
              <w:t>zgodnie z </w:t>
            </w:r>
            <w:r w:rsidRPr="00D91B34">
              <w:rPr>
                <w:b/>
                <w:i/>
              </w:rPr>
              <w:t xml:space="preserve">unijnym </w:t>
            </w:r>
            <w:r w:rsidRPr="00D91B34">
              <w:t xml:space="preserve">kodeksem postępowania </w:t>
            </w:r>
            <w:r w:rsidRPr="00D91B34">
              <w:rPr>
                <w:b/>
                <w:i/>
              </w:rPr>
              <w:t>dotyczącym badań sponsorowanych</w:t>
            </w:r>
            <w:r w:rsidRPr="00D91B34">
              <w:t xml:space="preserve"> prz</w:t>
            </w:r>
            <w:r w:rsidRPr="00D91B34">
              <w:t xml:space="preserve">ez </w:t>
            </w:r>
            <w:r w:rsidRPr="00D91B34">
              <w:rPr>
                <w:b/>
                <w:i/>
              </w:rPr>
              <w:t>emitenta, który ma opracować ESMA</w:t>
            </w:r>
            <w:r w:rsidRPr="00D91B34">
              <w:t>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lastRenderedPageBreak/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C6075">
      <w:pPr>
        <w:pStyle w:val="AMNumberTabs0"/>
        <w:keepNext/>
        <w:tabs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  <w:tab w:val="left" w:pos="8040"/>
        </w:tabs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4</w:t>
      </w:r>
      <w:r w:rsidRPr="00D91B34">
        <w:rPr>
          <w:rStyle w:val="HideTWBExt"/>
          <w:b w:val="0"/>
        </w:rPr>
        <w:t>&lt;/NumAm&gt;</w:t>
      </w:r>
      <w:r w:rsidRPr="00D91B34">
        <w:rPr>
          <w:rStyle w:val="HideTWBExt"/>
          <w:b w:val="0"/>
          <w:vanish w:val="0"/>
          <w:color w:val="auto"/>
        </w:rPr>
        <w:tab/>
      </w:r>
      <w:r w:rsidRPr="00D91B34">
        <w:rPr>
          <w:rStyle w:val="HideTWBExt"/>
          <w:b w:val="0"/>
          <w:vanish w:val="0"/>
          <w:color w:val="auto"/>
        </w:rPr>
        <w:tab/>
      </w:r>
      <w:r w:rsidRPr="00D91B34">
        <w:rPr>
          <w:rStyle w:val="HideTWBExt"/>
          <w:b w:val="0"/>
          <w:vanish w:val="0"/>
          <w:color w:val="auto"/>
        </w:rPr>
        <w:tab/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Artykuł 1 – akapit 1 – punkt 2 – litera a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 xml:space="preserve">Dyrektywa </w:t>
      </w:r>
      <w:r w:rsidRPr="00D91B34">
        <w:t>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24 – ustęp 3 b – akapit 2</w:t>
      </w:r>
      <w:r w:rsidRPr="00D91B3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DF223A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W kodeksie postępowania określa się minimalne standardy niezależności i obiektywizmu, których muszą przestrzegać podmioty świadczące t</w:t>
            </w:r>
            <w:r w:rsidRPr="00D91B34">
              <w:t>akie usługi badawcze</w:t>
            </w:r>
            <w:r w:rsidRPr="00D91B34">
              <w:rPr>
                <w:b/>
                <w:i/>
              </w:rPr>
              <w:t>. Operator rynku lub właściwy organ publikuje kodeks postępowania na swojej stronie internetowej</w:t>
            </w:r>
            <w:r w:rsidRPr="00D91B34">
              <w:t xml:space="preserve"> i </w:t>
            </w:r>
            <w:r w:rsidRPr="00D91B34">
              <w:rPr>
                <w:b/>
                <w:i/>
              </w:rPr>
              <w:t>co dwa lata dokonuje jego przeglądu i ponownego zatwierdzenia</w:t>
            </w:r>
            <w:r w:rsidRPr="00D91B34">
              <w:t>.</w:t>
            </w:r>
          </w:p>
        </w:tc>
        <w:tc>
          <w:tcPr>
            <w:tcW w:w="4876" w:type="dxa"/>
            <w:hideMark/>
          </w:tcPr>
          <w:p w:rsidR="004373FD" w:rsidRPr="00D91B34" w:rsidRDefault="0047455D" w:rsidP="00E2158C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ESMA opracowuje projekty regulacyjnych standardów technicznych w celu usta</w:t>
            </w:r>
            <w:r w:rsidRPr="00D91B34">
              <w:rPr>
                <w:b/>
                <w:i/>
              </w:rPr>
              <w:t>nowienia zharmonizowanego unijnego kodeksu postępowania dotyczącego badań finansowanych przez emitenta.</w:t>
            </w:r>
            <w:r w:rsidRPr="00D91B34">
              <w:t xml:space="preserve"> W kodeksie postępowania określa się minimalne standardy niezależności i obiektywizmu, których muszą przestrzegać podmioty świadczące takie usługi badawc</w:t>
            </w:r>
            <w:r w:rsidRPr="00D91B34">
              <w:t>ze</w:t>
            </w:r>
            <w:r w:rsidRPr="00D91B34">
              <w:rPr>
                <w:b/>
                <w:i/>
              </w:rPr>
              <w:t>, oraz wyszczególnia procedury skutecznej identyfikacji konfliktów interesów</w:t>
            </w:r>
            <w:r w:rsidRPr="00D91B34">
              <w:t xml:space="preserve"> i </w:t>
            </w:r>
            <w:r w:rsidRPr="00D91B34">
              <w:rPr>
                <w:b/>
                <w:i/>
              </w:rPr>
              <w:t>zapobiegania im</w:t>
            </w:r>
            <w:r w:rsidRPr="00D91B34">
              <w:t>.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044C04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ESMA przedstawia Komisji ten projekt regulacyjnych standardów technicznych do dnia ... [12 miesięcy od daty wejścia w życie niniejszej dyrektywy].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Komisja</w:t>
            </w:r>
            <w:r w:rsidRPr="00D91B34">
              <w:rPr>
                <w:b/>
                <w:i/>
              </w:rPr>
              <w:t xml:space="preserve"> jest uprawniona do przyjęcia regulacyjnych standardów technicznych, o których mowa w akapicie drugim niniejszego ustępu, zgodnie z art. 10–14 rozporządzenia (UE) nr 1095/2010.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FA07DC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 xml:space="preserve">Unijny kodeks postępowania podaje się do wiadomości publicznej na stronie </w:t>
            </w:r>
            <w:r w:rsidRPr="00D91B34">
              <w:rPr>
                <w:b/>
                <w:i/>
              </w:rPr>
              <w:t>internetowej ESMA.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3E21B1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Właściwym organom państw członkowskich przyznaje się uprawnienia nadzorcze w celu zapewnienia przestrzegania przez firmy inwestycyjne wymogów unijnego kodeksu postępowania opracowanego przez ESMA. Właściwe organy państw członkowskich p</w:t>
            </w:r>
            <w:r w:rsidRPr="00D91B34">
              <w:rPr>
                <w:b/>
                <w:i/>
              </w:rPr>
              <w:t xml:space="preserve">osiadają </w:t>
            </w:r>
            <w:r w:rsidRPr="00D91B34">
              <w:rPr>
                <w:b/>
                <w:i/>
              </w:rPr>
              <w:lastRenderedPageBreak/>
              <w:t>niezbędne uprawnienia do: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6A5F67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 xml:space="preserve">a) </w:t>
            </w:r>
            <w:r w:rsidRPr="00D91B34">
              <w:tab/>
            </w:r>
            <w:r w:rsidRPr="00D91B34">
              <w:rPr>
                <w:b/>
                <w:i/>
              </w:rPr>
              <w:t>sprawdzania, czy firmy inwestycyjne dysponują środkami organizacyjnymi w celu zapewnienia, aby otrzymane przez nie badania finansowane przez emitenta były prowadzone zgodnie z unijnym kodeksem postępowania;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734AA7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 xml:space="preserve">b) </w:t>
            </w:r>
            <w:r w:rsidRPr="00D91B34">
              <w:tab/>
            </w:r>
            <w:r w:rsidRPr="00D91B34">
              <w:rPr>
                <w:b/>
                <w:i/>
              </w:rPr>
              <w:t>zawieszania dystrybucji przez firmy inwestycyjne wszelkich badań finansowanych przez emitenta, które nie są prowadzone zgodnie z kodeksem postępowania UE;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734AA7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 xml:space="preserve">c) </w:t>
            </w:r>
            <w:r w:rsidRPr="00D91B34">
              <w:tab/>
            </w:r>
            <w:r w:rsidRPr="00D91B34">
              <w:rPr>
                <w:b/>
                <w:i/>
              </w:rPr>
              <w:t>wydawania ostrzeżeń w celu poinformowania opinii publicznej, że badania finansowane przez emite</w:t>
            </w:r>
            <w:r w:rsidRPr="00D91B34">
              <w:rPr>
                <w:b/>
                <w:i/>
              </w:rPr>
              <w:t>nta nie są prowadzone zgodnie z kodeksem postępowania UE.</w:t>
            </w:r>
          </w:p>
        </w:tc>
      </w:tr>
      <w:tr w:rsidR="00E1685F" w:rsidRPr="00D91B34" w:rsidTr="00DF223A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FA07DC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Do dnia ... [24 miesiące od daty wejścia w życie niniejszej dyrektywy] r. ESMA jest zobowiązany do przeprowadzenia obowiązkowej wzajemnej oceny działań nadzorczych prowadzonych przez właściwe orga</w:t>
            </w:r>
            <w:r w:rsidRPr="00D91B34">
              <w:rPr>
                <w:b/>
                <w:i/>
              </w:rPr>
              <w:t>ny w związku ze stosowaniem niniejszego artykułu. Taka wzajemna ocena koncentruje się na działaniach nadzorczych właściwych organów zapewniających przestrzeganie przez firmy inwestycyjne wymogów unijnego kodeksu postępowania. ESMA ocenia regularnie, co naj</w:t>
            </w:r>
            <w:r w:rsidRPr="00D91B34">
              <w:rPr>
                <w:b/>
                <w:i/>
              </w:rPr>
              <w:t>mniej raz na trzy lata, czy kodeks postępowania UE wymaga przeglądu: w takim przypadku ESMA przedkłada Komisji zmieniony projekt regulacyjnych standardów technicznych.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5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</w:t>
      </w:r>
      <w:r w:rsidRPr="00D91B34">
        <w:t>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Artykuł 1 – akapit 1 – punkt 2 – litera a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24 – ustęp 3 d</w:t>
      </w:r>
      <w:r w:rsidRPr="00D91B3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3d.</w:t>
            </w:r>
            <w:r w:rsidRPr="00D91B34">
              <w:tab/>
              <w:t xml:space="preserve">Na pierwszej stronie </w:t>
            </w:r>
            <w:r w:rsidRPr="00D91B34">
              <w:t xml:space="preserve">badania </w:t>
            </w:r>
            <w:r w:rsidRPr="00D91B34">
              <w:lastRenderedPageBreak/>
              <w:t>oznaczonego jako badanie sponsorowane przez emitenta wskazuje się w jasny i widoczny sposób, że opracowano je zgodnie z kodeksem postępowania.</w:t>
            </w:r>
            <w:r w:rsidRPr="00D91B34">
              <w:rPr>
                <w:b/>
                <w:i/>
              </w:rPr>
              <w:t xml:space="preserve"> Podaje się również nazwę operatora rynku lub właściwego organu, który opracował lub zatwierdził taki kode</w:t>
            </w:r>
            <w:r w:rsidRPr="00D91B34">
              <w:rPr>
                <w:b/>
                <w:i/>
              </w:rPr>
              <w:t>ks postępowania.</w:t>
            </w:r>
            <w:r w:rsidRPr="00D91B34">
              <w:t xml:space="preserve"> Wszelkie materiały analityczne opłacane w całości lub w części przez emitenta, lecz których nie opracowano zgodnie z kodeksem postępowania, o którym mowa w ust. 3b, oznacza się jako publikacje handlowe.”;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lastRenderedPageBreak/>
              <w:t>3d.</w:t>
            </w:r>
            <w:r w:rsidRPr="00D91B34">
              <w:tab/>
              <w:t xml:space="preserve">Na pierwszej stronie badania </w:t>
            </w:r>
            <w:r w:rsidRPr="00D91B34">
              <w:lastRenderedPageBreak/>
              <w:t>o</w:t>
            </w:r>
            <w:r w:rsidRPr="00D91B34">
              <w:t>znaczonego jako badanie sponsorowane przez emitenta wskazuje się w jasny i widoczny sposób, że opracowano je zgodnie z kodeksem postępowania. Wszelkie materiały analityczne opłacane w całości lub w części przez emitenta, lecz których nie opracowano zgodnie</w:t>
            </w:r>
            <w:r w:rsidRPr="00D91B34">
              <w:t xml:space="preserve"> z kodeksem postępowania, o którym mowa w ust. 3b, oznacza się jako publikacje handlowe.”;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lastRenderedPageBreak/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6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 xml:space="preserve">Artykuł 1 – akapit 1 – punkt 2 </w:t>
      </w:r>
      <w:r w:rsidRPr="00D91B34">
        <w:t>a (nowy) – litera a (nowa)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27 – ustęp 1 – akapit 1</w:t>
      </w:r>
      <w:r w:rsidRPr="00D91B3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obowiązujący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2a)</w:t>
            </w:r>
            <w:r w:rsidRPr="00D91B34">
              <w:rPr>
                <w:b/>
                <w:i/>
              </w:rPr>
              <w:tab/>
              <w:t>w art. 27 wprowadza się następujące zmiany: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 xml:space="preserve">a) </w:t>
            </w:r>
            <w:r w:rsidRPr="00D91B34">
              <w:rPr>
                <w:b/>
                <w:i/>
              </w:rPr>
              <w:tab/>
              <w:t xml:space="preserve">ust. 1 akapit pierwszy otrzymuje </w:t>
            </w:r>
            <w:r w:rsidRPr="00D91B34">
              <w:rPr>
                <w:b/>
                <w:i/>
              </w:rPr>
              <w:t>brzmienie: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rStyle w:val="no-parag"/>
                <w:shd w:val="clear" w:color="auto" w:fill="FFFFFF"/>
              </w:rPr>
              <w:t xml:space="preserve">1. </w:t>
            </w:r>
            <w:r w:rsidRPr="00D91B34">
              <w:rPr>
                <w:b/>
                <w:i/>
              </w:rPr>
              <w:tab/>
            </w:r>
            <w:r w:rsidRPr="00D91B34">
              <w:t>Państwa członkowskie wymagają, aby przedsiębiorstwa inwestycyjne podjęły wszelkie wystarczające działania w celu uzyskania, podczas wykonywania zleceń, możliwie najlepszych dla klienta wyników, uwzględniając cenę, koszty, szybkość, prawdopo</w:t>
            </w:r>
            <w:r w:rsidRPr="00D91B34">
              <w:t>dobieństwo wykonania oraz rozliczenie, wielkość, charakter lub wszelkiego rodzaju inne aspekty dotyczące wykonywania zlecenia. Jednakże w przypadku gdy klient przekazuje specjalne dyspozycje, firma inwestycyjna wykonuje zlecenie według tych dyspozycji.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„1.</w:t>
            </w:r>
            <w:r w:rsidRPr="00D91B34">
              <w:t xml:space="preserve"> </w:t>
            </w:r>
            <w:r w:rsidRPr="00D91B34">
              <w:rPr>
                <w:b/>
                <w:i/>
              </w:rPr>
              <w:tab/>
            </w:r>
            <w:r w:rsidRPr="00D91B34">
              <w:t>Państwa członkowskie wymagają, aby przedsiębiorstwa inwestycyjne podjęły wszelkie wystarczające działania w celu uzyskania, podczas wykonywania zleceń, możliwie najlepszych dla klienta wyników, uwzględniając cenę, koszty, szybkość, prawdopodobieństwo wyk</w:t>
            </w:r>
            <w:r w:rsidRPr="00D91B34">
              <w:t>onania oraz rozliczenie, wielkość, charakter</w:t>
            </w:r>
            <w:r w:rsidRPr="00D91B34">
              <w:rPr>
                <w:b/>
                <w:i/>
              </w:rPr>
              <w:t>, prowadzenie badań</w:t>
            </w:r>
            <w:r w:rsidRPr="00D91B34">
              <w:t xml:space="preserve"> lub wszelkiego rodzaju inne aspekty dotyczące wykonywania zlecenia. Jednakże w przypadku gdy klient przekazuje specjalne dyspozycje, firma inwestycyjna wykonuje zlecenie według tych dyspozycji</w:t>
            </w:r>
            <w:r w:rsidRPr="00D91B34">
              <w:t>.</w:t>
            </w:r>
            <w:r w:rsidRPr="00D91B34">
              <w:rPr>
                <w:b/>
                <w:i/>
              </w:rPr>
              <w:t>”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lastRenderedPageBreak/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7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Artykuł 1 – akapit 1 – punkt 2 a (nowy) – litera b (nowa)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</w:t>
      </w:r>
      <w:r w:rsidRPr="00D91B34">
        <w:rPr>
          <w:rStyle w:val="HideTWBExt"/>
        </w:rPr>
        <w:t>e2&gt;</w:t>
      </w:r>
      <w:r w:rsidRPr="00D91B34">
        <w:t>Artykuł 27 – ustęp 7</w:t>
      </w:r>
      <w:r w:rsidRPr="00D91B3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obowiązujący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3C6222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b)</w:t>
            </w:r>
            <w:r w:rsidRPr="00D91B34">
              <w:rPr>
                <w:b/>
                <w:i/>
              </w:rPr>
              <w:tab/>
              <w:t>ust. 7 otrzymuje brzmienie: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rPr>
                <w:rStyle w:val="no-parag"/>
                <w:shd w:val="clear" w:color="auto" w:fill="FFFFFF"/>
              </w:rPr>
              <w:t xml:space="preserve">7. </w:t>
            </w:r>
            <w:r w:rsidRPr="00D91B34">
              <w:tab/>
              <w:t xml:space="preserve">Państwa członkowskie wymagają, aby </w:t>
            </w:r>
            <w:r w:rsidRPr="00D91B34">
              <w:rPr>
                <w:b/>
                <w:i/>
              </w:rPr>
              <w:t xml:space="preserve">firmy inwestycyjne, które wykonują zlecenia klientów, monitorowały skuteczność uzgodnień dotyczących wykonywania </w:t>
            </w:r>
            <w:r w:rsidRPr="00D91B34">
              <w:rPr>
                <w:b/>
                <w:i/>
              </w:rPr>
              <w:t>zleceń i polityki wykonywania zleceń, w celu ustalenia i w stosownych przypadkach naprawienia wszelkiego rodzaju niedociągnięć. W szczególności, firmy te regularnie dokonują oceny, czy systemy wykonywania zleceń ujęte w polityce wykonywania zleceń uzyskują</w:t>
            </w:r>
            <w:r w:rsidRPr="00D91B34">
              <w:rPr>
                <w:b/>
                <w:i/>
              </w:rPr>
              <w:t xml:space="preserve"> możliwie najlepszy dla klienta wynik oraz czy konieczne jest wprowadzenie zmian do uzgodnień dotyczących wykonywania zleceń, przy uwzględnieniu między innymi informacji opublikowanych na mocy ust. 3 i 6. Państwa członkowskie wymagają, aby firmy inwestycyj</w:t>
            </w:r>
            <w:r w:rsidRPr="00D91B34">
              <w:rPr>
                <w:b/>
                <w:i/>
              </w:rPr>
              <w:t>ne powiadamiały klientów, z którymi łączy ich stały stosunek, o wszelkich istotnych zmianach w uzgodnieniach dotyczących wykonywania zleceń lub polityce wykonywania zleceń.</w:t>
            </w:r>
          </w:p>
        </w:tc>
        <w:tc>
          <w:tcPr>
            <w:tcW w:w="4876" w:type="dxa"/>
            <w:hideMark/>
          </w:tcPr>
          <w:p w:rsidR="004373FD" w:rsidRPr="00D91B34" w:rsidRDefault="0047455D" w:rsidP="003E21B1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„7.</w:t>
            </w:r>
            <w:r w:rsidRPr="00D91B34">
              <w:t xml:space="preserve"> </w:t>
            </w:r>
            <w:r w:rsidRPr="00D91B34">
              <w:rPr>
                <w:b/>
                <w:i/>
              </w:rPr>
              <w:tab/>
            </w:r>
            <w:r w:rsidRPr="00D91B34">
              <w:t xml:space="preserve">Państwa członkowskie wymagają, aby </w:t>
            </w:r>
            <w:r w:rsidRPr="00D91B34">
              <w:rPr>
                <w:b/>
                <w:i/>
              </w:rPr>
              <w:t>instrument finansowy emitenta</w:t>
            </w:r>
            <w:r w:rsidRPr="00D91B34">
              <w:t xml:space="preserve">, </w:t>
            </w:r>
            <w:r w:rsidRPr="00D91B34">
              <w:rPr>
                <w:b/>
                <w:i/>
              </w:rPr>
              <w:t>który</w:t>
            </w:r>
            <w:r w:rsidRPr="00D91B34">
              <w:t xml:space="preserve"> jest </w:t>
            </w:r>
            <w:r w:rsidRPr="00D91B34">
              <w:rPr>
                <w:b/>
                <w:i/>
              </w:rPr>
              <w:t>d</w:t>
            </w:r>
            <w:r w:rsidRPr="00D91B34">
              <w:rPr>
                <w:b/>
                <w:i/>
              </w:rPr>
              <w:t>opuszczony</w:t>
            </w:r>
            <w:r w:rsidRPr="00D91B34">
              <w:t xml:space="preserve"> do </w:t>
            </w:r>
            <w:r w:rsidRPr="00D91B34">
              <w:rPr>
                <w:b/>
                <w:i/>
              </w:rPr>
              <w:t>obrotu</w:t>
            </w:r>
            <w:r w:rsidRPr="00D91B34">
              <w:t xml:space="preserve"> na </w:t>
            </w:r>
            <w:r w:rsidRPr="00D91B34">
              <w:rPr>
                <w:b/>
                <w:i/>
              </w:rPr>
              <w:t>rynku rozwoju MŚP</w:t>
            </w:r>
            <w:r w:rsidRPr="00D91B34">
              <w:t xml:space="preserve">, </w:t>
            </w:r>
            <w:r w:rsidRPr="00D91B34">
              <w:rPr>
                <w:b/>
                <w:i/>
              </w:rPr>
              <w:t>mógł być również przedmiotem obrotu w innym systemie obrotu tylko wówczas</w:t>
            </w:r>
            <w:r w:rsidRPr="00D91B34">
              <w:t xml:space="preserve">, </w:t>
            </w:r>
            <w:r w:rsidRPr="00D91B34">
              <w:rPr>
                <w:b/>
                <w:i/>
              </w:rPr>
              <w:t>jeżeli emitent został poinformowany i wyraził zgodę</w:t>
            </w:r>
            <w:r w:rsidRPr="00D91B34">
              <w:t>.</w:t>
            </w:r>
            <w:r w:rsidRPr="00D91B34">
              <w:rPr>
                <w:b/>
                <w:i/>
              </w:rPr>
              <w:t>”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8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Artykuł 1 – akapit 1 – punkt 4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51 a – ustęp 4</w:t>
      </w:r>
      <w:r w:rsidRPr="00D91B3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4.</w:t>
            </w:r>
            <w:r w:rsidRPr="00D91B34">
              <w:tab/>
            </w:r>
            <w:r w:rsidRPr="00D91B34">
              <w:t xml:space="preserve">Państwa członkowskie wymagają, aby rynki regulowane zapewniały, by </w:t>
            </w:r>
            <w:r w:rsidRPr="00D91B34">
              <w:rPr>
                <w:b/>
                <w:i/>
              </w:rPr>
              <w:t xml:space="preserve">w każdym momencie </w:t>
            </w:r>
            <w:r w:rsidRPr="00D91B34">
              <w:t xml:space="preserve">co najmniej 10 % </w:t>
            </w:r>
            <w:r w:rsidRPr="00D91B34">
              <w:lastRenderedPageBreak/>
              <w:t>kapitału subskrybowanego reprezentowanego przez rodzaj akcji, których dotyczy wniosek o dopuszczenie do obrotu, pozostawało w posiadaniu inwestorów.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  <w:rPr>
                <w:szCs w:val="24"/>
              </w:rPr>
            </w:pPr>
            <w:r w:rsidRPr="00D91B34">
              <w:lastRenderedPageBreak/>
              <w:t>4.</w:t>
            </w:r>
            <w:r w:rsidRPr="00D91B34">
              <w:tab/>
              <w:t>Pa</w:t>
            </w:r>
            <w:r w:rsidRPr="00D91B34">
              <w:t xml:space="preserve">ństwa członkowskie wymagają, aby rynki regulowane zapewniały, by co najmniej 10 % kapitału subskrybowanego </w:t>
            </w:r>
            <w:r w:rsidRPr="00D91B34">
              <w:lastRenderedPageBreak/>
              <w:t>reprezentowanego przez rodzaj akcji, których dotyczy wniosek o dopuszczenie do obrotu, pozostawało w posiadaniu inwestorów</w:t>
            </w:r>
            <w:r w:rsidRPr="00D91B34">
              <w:rPr>
                <w:b/>
                <w:i/>
              </w:rPr>
              <w:t xml:space="preserve"> w momencie dopuszczenia</w:t>
            </w:r>
            <w:r w:rsidRPr="00D91B34">
              <w:t>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lastRenderedPageBreak/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9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Artykuł 1 – akapit 1 – punkt 4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51 a – ustęp 5</w:t>
      </w:r>
      <w:r w:rsidRPr="00D91B34">
        <w:rPr>
          <w:rStyle w:val="HideTWBExt"/>
        </w:rPr>
        <w:t>&lt;/Arti</w:t>
      </w:r>
      <w:r w:rsidRPr="00D91B34">
        <w:rPr>
          <w:rStyle w:val="HideTWBExt"/>
        </w:rPr>
        <w:t>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Normal6"/>
            </w:pPr>
            <w:r w:rsidRPr="00D91B34">
              <w:t>5.</w:t>
            </w:r>
            <w:r w:rsidRPr="00D91B34">
              <w:tab/>
            </w:r>
            <w:r w:rsidRPr="00D91B34">
              <w:rPr>
                <w:b/>
                <w:i/>
              </w:rPr>
              <w:t>Jeżeli odsetek akcji znajdujących się w posiadaniu inwestorów jest niższy niż 10 % kapitału subskrybowanego,</w:t>
            </w:r>
            <w:r w:rsidRPr="00D91B34">
              <w:t xml:space="preserve"> państwa członkowskie </w:t>
            </w:r>
            <w:r w:rsidRPr="00D91B34">
              <w:rPr>
                <w:b/>
                <w:i/>
              </w:rPr>
              <w:t xml:space="preserve">zapewniają, aby rynki regulowane wymagały, by inwestorom przydzielono </w:t>
            </w:r>
            <w:r w:rsidRPr="00D91B34">
              <w:rPr>
                <w:b/>
                <w:i/>
              </w:rPr>
              <w:t>liczbę</w:t>
            </w:r>
            <w:r w:rsidRPr="00D91B34">
              <w:t xml:space="preserve"> akcji</w:t>
            </w:r>
            <w:r w:rsidRPr="00D91B34">
              <w:rPr>
                <w:b/>
                <w:i/>
              </w:rPr>
              <w:t>, która jest wystarczająca</w:t>
            </w:r>
            <w:r w:rsidRPr="00D91B34">
              <w:t xml:space="preserve">, </w:t>
            </w:r>
            <w:r w:rsidRPr="00D91B34">
              <w:rPr>
                <w:b/>
                <w:i/>
              </w:rPr>
              <w:t>aby spełnić wymóg określony w ust. 4.</w:t>
            </w:r>
          </w:p>
        </w:tc>
        <w:tc>
          <w:tcPr>
            <w:tcW w:w="4876" w:type="dxa"/>
            <w:hideMark/>
          </w:tcPr>
          <w:p w:rsidR="004373FD" w:rsidRPr="00D91B34" w:rsidRDefault="0047455D" w:rsidP="00FA07DC">
            <w:pPr>
              <w:pStyle w:val="Normal6"/>
              <w:rPr>
                <w:b/>
                <w:i/>
              </w:rPr>
            </w:pPr>
            <w:r w:rsidRPr="00D91B34">
              <w:t>5.</w:t>
            </w:r>
            <w:r w:rsidRPr="00D91B34">
              <w:tab/>
              <w:t xml:space="preserve">Państwa członkowskie </w:t>
            </w:r>
            <w:r w:rsidRPr="00D91B34">
              <w:rPr>
                <w:b/>
                <w:i/>
              </w:rPr>
              <w:t>uznają liczbę rozdzielonych</w:t>
            </w:r>
            <w:r w:rsidRPr="00D91B34">
              <w:t xml:space="preserve"> akcji</w:t>
            </w:r>
            <w:r w:rsidRPr="00D91B34">
              <w:rPr>
                <w:b/>
                <w:i/>
              </w:rPr>
              <w:t xml:space="preserve"> za wystarczającą</w:t>
            </w:r>
            <w:r w:rsidRPr="00D91B34">
              <w:t xml:space="preserve">, </w:t>
            </w:r>
            <w:r w:rsidRPr="00D91B34">
              <w:rPr>
                <w:b/>
                <w:i/>
              </w:rPr>
              <w:t>jeżeli: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B7110E" w:rsidRPr="00D91B34" w:rsidRDefault="00B7110E">
            <w:pPr>
              <w:pStyle w:val="Normal6"/>
            </w:pPr>
          </w:p>
        </w:tc>
        <w:tc>
          <w:tcPr>
            <w:tcW w:w="4876" w:type="dxa"/>
          </w:tcPr>
          <w:p w:rsidR="00B7110E" w:rsidRPr="00D91B34" w:rsidRDefault="0047455D" w:rsidP="00FA07DC">
            <w:pPr>
              <w:pStyle w:val="Normal6"/>
              <w:rPr>
                <w:b/>
                <w:i/>
              </w:rPr>
            </w:pPr>
            <w:r w:rsidRPr="00D91B34">
              <w:rPr>
                <w:b/>
                <w:i/>
              </w:rPr>
              <w:t xml:space="preserve">a) </w:t>
            </w:r>
            <w:r w:rsidRPr="00D91B34">
              <w:tab/>
            </w:r>
            <w:r w:rsidRPr="00D91B34">
              <w:rPr>
                <w:b/>
                <w:i/>
              </w:rPr>
              <w:t>akcje, w odniesieniu do których złożono wniosek o dopuszczenie, są w posiadaniu publiczn</w:t>
            </w:r>
            <w:r w:rsidRPr="00D91B34">
              <w:rPr>
                <w:b/>
                <w:i/>
              </w:rPr>
              <w:t xml:space="preserve">ym w wysokości co najmniej 10 % subskrybowanego kapitału reprezentowanego przez dany rodzaj akcji; lub 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B7110E" w:rsidRPr="00D91B34" w:rsidRDefault="00B7110E">
            <w:pPr>
              <w:pStyle w:val="Normal6"/>
            </w:pPr>
          </w:p>
        </w:tc>
        <w:tc>
          <w:tcPr>
            <w:tcW w:w="4876" w:type="dxa"/>
          </w:tcPr>
          <w:p w:rsidR="00B7110E" w:rsidRPr="00D91B34" w:rsidRDefault="0047455D" w:rsidP="00FA07DC">
            <w:pPr>
              <w:pStyle w:val="Normal6"/>
            </w:pPr>
            <w:r w:rsidRPr="00D91B34">
              <w:rPr>
                <w:b/>
                <w:i/>
              </w:rPr>
              <w:t xml:space="preserve">b) </w:t>
            </w:r>
            <w:r w:rsidRPr="00D91B34">
              <w:tab/>
            </w:r>
            <w:r w:rsidRPr="00D91B34">
              <w:rPr>
                <w:b/>
                <w:i/>
              </w:rPr>
              <w:t>ze względu na dużą liczbę akcji tej samej klasy oraz zakres ich publicznego rozpowszechniania rynek może funkcjonować prawidłowo przy niższym udzi</w:t>
            </w:r>
            <w:r w:rsidRPr="00D91B34">
              <w:rPr>
                <w:b/>
                <w:i/>
              </w:rPr>
              <w:t>ale procentowym.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4373FD" w:rsidRPr="00D91B34" w:rsidRDefault="0047455D" w:rsidP="004373FD">
      <w:pPr>
        <w:rPr>
          <w:szCs w:val="24"/>
        </w:rPr>
      </w:pPr>
      <w:r w:rsidRPr="00D91B34">
        <w:rPr>
          <w:rStyle w:val="HideTWBExt"/>
        </w:rPr>
        <w:t>&lt;/Amend&gt;</w:t>
      </w:r>
    </w:p>
    <w:p w:rsidR="004373FD" w:rsidRPr="00D91B34" w:rsidRDefault="0047455D" w:rsidP="004373FD">
      <w:pPr>
        <w:pStyle w:val="AMNumberTabs0"/>
        <w:keepNext/>
      </w:pPr>
      <w:r w:rsidRPr="00D91B34">
        <w:rPr>
          <w:rStyle w:val="HideTWBExt"/>
          <w:b w:val="0"/>
        </w:rPr>
        <w:t>&lt;Amend&gt;</w:t>
      </w:r>
      <w:r w:rsidRPr="00D91B34">
        <w:t>Poprawka</w:t>
      </w:r>
      <w:r w:rsidRPr="00D91B34">
        <w:tab/>
      </w:r>
      <w:r w:rsidRPr="00D91B34">
        <w:tab/>
      </w:r>
      <w:r w:rsidRPr="00D91B34">
        <w:rPr>
          <w:rStyle w:val="HideTWBExt"/>
          <w:b w:val="0"/>
        </w:rPr>
        <w:t>&lt;NumAm&gt;</w:t>
      </w:r>
      <w:r w:rsidRPr="00D91B34">
        <w:t>10</w:t>
      </w:r>
      <w:r w:rsidRPr="00D91B34">
        <w:rPr>
          <w:rStyle w:val="HideTWBExt"/>
          <w:b w:val="0"/>
        </w:rPr>
        <w:t>&lt;/NumAm&gt;</w:t>
      </w:r>
    </w:p>
    <w:p w:rsidR="004373FD" w:rsidRPr="00D91B34" w:rsidRDefault="0047455D" w:rsidP="004373FD">
      <w:pPr>
        <w:pStyle w:val="NormalBold12b"/>
        <w:keepNext/>
      </w:pPr>
      <w:r w:rsidRPr="00D91B34">
        <w:rPr>
          <w:rStyle w:val="HideTWBExt"/>
          <w:b w:val="0"/>
        </w:rPr>
        <w:t>&lt;DocAmend&gt;</w:t>
      </w:r>
      <w:r w:rsidRPr="00D91B34">
        <w:t>Wniosek dotyczący dyrektywy</w:t>
      </w:r>
      <w:r w:rsidRPr="00D91B34">
        <w:rPr>
          <w:rStyle w:val="HideTWBExt"/>
          <w:b w:val="0"/>
        </w:rPr>
        <w:t>&lt;/DocAmend&gt;</w:t>
      </w:r>
    </w:p>
    <w:p w:rsidR="004373FD" w:rsidRPr="00D91B34" w:rsidRDefault="0047455D" w:rsidP="004373FD">
      <w:pPr>
        <w:pStyle w:val="NormalBold"/>
      </w:pPr>
      <w:r w:rsidRPr="00D91B34">
        <w:rPr>
          <w:rStyle w:val="HideTWBExt"/>
          <w:b w:val="0"/>
        </w:rPr>
        <w:t>&lt;Article&gt;</w:t>
      </w:r>
      <w:r w:rsidRPr="00D91B34">
        <w:t>Artykuł 1 – akapit 1 – punkt 4 a (nowy)</w:t>
      </w:r>
      <w:r w:rsidRPr="00D91B34">
        <w:rPr>
          <w:rStyle w:val="HideTWBExt"/>
          <w:b w:val="0"/>
        </w:rPr>
        <w:t>&lt;/Article&gt;</w:t>
      </w:r>
    </w:p>
    <w:p w:rsidR="004373FD" w:rsidRPr="00D91B34" w:rsidRDefault="0047455D" w:rsidP="004373FD">
      <w:pPr>
        <w:keepNext/>
      </w:pPr>
      <w:r w:rsidRPr="00D91B34">
        <w:rPr>
          <w:rStyle w:val="HideTWBExt"/>
        </w:rPr>
        <w:t>&lt;DocAmend2&gt;</w:t>
      </w:r>
      <w:r w:rsidRPr="00D91B34">
        <w:t>Dyrektywa 2014/65/UE</w:t>
      </w:r>
      <w:r w:rsidRPr="00D91B34">
        <w:rPr>
          <w:rStyle w:val="HideTWBExt"/>
        </w:rPr>
        <w:t>&lt;/DocAmend2&gt;</w:t>
      </w:r>
    </w:p>
    <w:p w:rsidR="004373FD" w:rsidRPr="00D91B34" w:rsidRDefault="0047455D" w:rsidP="004373FD">
      <w:r w:rsidRPr="00D91B34">
        <w:rPr>
          <w:rStyle w:val="HideTWBExt"/>
        </w:rPr>
        <w:t>&lt;Article2&gt;</w:t>
      </w:r>
      <w:r w:rsidRPr="00D91B34">
        <w:t>Artykuł 69 – ustęp 2 – litera u a (nowa)</w:t>
      </w:r>
      <w:r w:rsidRPr="00D91B3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1685F" w:rsidRPr="00D91B34" w:rsidTr="004373FD">
        <w:trPr>
          <w:jc w:val="center"/>
        </w:trPr>
        <w:tc>
          <w:tcPr>
            <w:tcW w:w="9752" w:type="dxa"/>
            <w:gridSpan w:val="2"/>
          </w:tcPr>
          <w:p w:rsidR="004373FD" w:rsidRPr="00D91B34" w:rsidRDefault="004373FD">
            <w:pPr>
              <w:keepNext/>
            </w:pP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Tekst proponowany przez Komisję</w:t>
            </w:r>
          </w:p>
        </w:tc>
        <w:tc>
          <w:tcPr>
            <w:tcW w:w="4876" w:type="dxa"/>
            <w:hideMark/>
          </w:tcPr>
          <w:p w:rsidR="004373FD" w:rsidRPr="00D91B34" w:rsidRDefault="0047455D">
            <w:pPr>
              <w:pStyle w:val="ColumnHeading"/>
              <w:keepNext/>
            </w:pPr>
            <w:r w:rsidRPr="00D91B34">
              <w:t>Poprawka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9B7C24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>4a)</w:t>
            </w:r>
            <w:r w:rsidRPr="00D91B34">
              <w:rPr>
                <w:b/>
                <w:i/>
              </w:rPr>
              <w:tab/>
              <w:t>w art. 69 ust. 2 akapit pierwszy dodaje się literę w brzmieniu:</w:t>
            </w:r>
          </w:p>
        </w:tc>
      </w:tr>
      <w:tr w:rsidR="00E1685F" w:rsidRPr="00D91B34" w:rsidTr="004373FD">
        <w:trPr>
          <w:jc w:val="center"/>
        </w:trPr>
        <w:tc>
          <w:tcPr>
            <w:tcW w:w="4876" w:type="dxa"/>
          </w:tcPr>
          <w:p w:rsidR="004373FD" w:rsidRPr="00D91B34" w:rsidRDefault="004373FD">
            <w:pPr>
              <w:pStyle w:val="Normal6"/>
            </w:pPr>
          </w:p>
        </w:tc>
        <w:tc>
          <w:tcPr>
            <w:tcW w:w="4876" w:type="dxa"/>
            <w:hideMark/>
          </w:tcPr>
          <w:p w:rsidR="004373FD" w:rsidRPr="00D91B34" w:rsidRDefault="0047455D" w:rsidP="00BD38D6">
            <w:pPr>
              <w:pStyle w:val="Normal6"/>
              <w:rPr>
                <w:szCs w:val="24"/>
              </w:rPr>
            </w:pPr>
            <w:r w:rsidRPr="00D91B34">
              <w:rPr>
                <w:b/>
                <w:i/>
              </w:rPr>
              <w:t xml:space="preserve">ua) </w:t>
            </w:r>
            <w:r w:rsidRPr="00D91B34">
              <w:rPr>
                <w:b/>
                <w:i/>
              </w:rPr>
              <w:tab/>
              <w:t xml:space="preserve">nadzorowania, czy firmy inwestycyjne, które prowadzą lub dystrybuują badania </w:t>
            </w:r>
            <w:r w:rsidRPr="00D91B34">
              <w:rPr>
                <w:b/>
                <w:i/>
              </w:rPr>
              <w:t>sponsorowane przez emitenta, postępują zgodnie z unijnym kodeksem postępowania opracowanym przez ESMA, o którym mowa w art. 24.</w:t>
            </w:r>
          </w:p>
        </w:tc>
      </w:tr>
    </w:tbl>
    <w:p w:rsidR="004373FD" w:rsidRPr="00D91B34" w:rsidRDefault="0047455D" w:rsidP="004373FD">
      <w:pPr>
        <w:pStyle w:val="Olang"/>
        <w:rPr>
          <w:sz w:val="24"/>
          <w:szCs w:val="24"/>
        </w:rPr>
      </w:pPr>
      <w:r w:rsidRPr="00D91B34">
        <w:rPr>
          <w:sz w:val="24"/>
          <w:szCs w:val="24"/>
        </w:rPr>
        <w:t xml:space="preserve">Or. </w:t>
      </w:r>
      <w:r w:rsidRPr="00D91B34">
        <w:rPr>
          <w:rStyle w:val="HideTWBExt"/>
        </w:rPr>
        <w:t>&lt;Original&gt;</w:t>
      </w:r>
      <w:r w:rsidRPr="00D91B34">
        <w:rPr>
          <w:rStyle w:val="HideTWBInt"/>
          <w:sz w:val="24"/>
          <w:szCs w:val="24"/>
        </w:rPr>
        <w:t>{EN}</w:t>
      </w:r>
      <w:r w:rsidRPr="00D91B34">
        <w:rPr>
          <w:sz w:val="24"/>
          <w:szCs w:val="24"/>
        </w:rPr>
        <w:t>en</w:t>
      </w:r>
      <w:r w:rsidRPr="00D91B34">
        <w:rPr>
          <w:rStyle w:val="HideTWBExt"/>
        </w:rPr>
        <w:t>&lt;/Original&gt;</w:t>
      </w:r>
    </w:p>
    <w:p w:rsidR="00EB40C1" w:rsidRPr="00D91B34" w:rsidRDefault="0047455D" w:rsidP="002669B6">
      <w:r w:rsidRPr="00D91B34">
        <w:rPr>
          <w:rStyle w:val="HideTWBExt"/>
        </w:rPr>
        <w:t>&lt;/Amend&gt;&lt;/RepeatBlock-Amend&gt;</w:t>
      </w:r>
    </w:p>
    <w:p w:rsidR="00EB40C1" w:rsidRPr="00D91B34" w:rsidRDefault="0047455D">
      <w:pPr>
        <w:widowControl/>
      </w:pPr>
      <w:r w:rsidRPr="00D91B34">
        <w:br w:type="page"/>
      </w:r>
    </w:p>
    <w:p w:rsidR="00EB40C1" w:rsidRPr="00D91B34" w:rsidRDefault="0047455D" w:rsidP="00EB40C1">
      <w:pPr>
        <w:pStyle w:val="PageHeading"/>
      </w:pPr>
      <w:bookmarkStart w:id="2" w:name="_Toc137568932"/>
      <w:bookmarkStart w:id="3" w:name="_Toc138940248"/>
      <w:r w:rsidRPr="00D91B34">
        <w:lastRenderedPageBreak/>
        <w:t>UZASADNIENIE</w:t>
      </w:r>
      <w:bookmarkEnd w:id="2"/>
      <w:bookmarkEnd w:id="3"/>
    </w:p>
    <w:p w:rsidR="00EB40C1" w:rsidRPr="00D91B34" w:rsidRDefault="0047455D" w:rsidP="00060ADE">
      <w:pPr>
        <w:spacing w:after="120" w:line="276" w:lineRule="auto"/>
        <w:jc w:val="both"/>
      </w:pPr>
      <w:r w:rsidRPr="00D91B34">
        <w:t>Sprawozdawca z zadowoleniem przyjmuje zaproponowany</w:t>
      </w:r>
      <w:r w:rsidRPr="00D91B34">
        <w:t xml:space="preserve"> przez Komisję pakiet w sprawie dopuszczania do obrotu giełdowego, który zakłada gruntowną zmianę obecnych unijnych ram prawnych w tym zakresie. </w:t>
      </w:r>
    </w:p>
    <w:p w:rsidR="00EB40C1" w:rsidRPr="00D91B34" w:rsidRDefault="0047455D" w:rsidP="00060ADE">
      <w:pPr>
        <w:spacing w:after="120" w:line="276" w:lineRule="auto"/>
        <w:jc w:val="both"/>
      </w:pPr>
      <w:r w:rsidRPr="00D91B34">
        <w:t xml:space="preserve">W ramach tego wniosku mamy przed sobą pakiet przeglądów istniejących aktów prawnych. 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jc w:val="both"/>
      </w:pPr>
      <w:r w:rsidRPr="00D91B34">
        <w:t>Propozycje Komisji obej</w:t>
      </w:r>
      <w:r w:rsidRPr="00D91B34">
        <w:t>mują następujące elementy:</w:t>
      </w:r>
    </w:p>
    <w:p w:rsidR="00EB40C1" w:rsidRPr="00D91B34" w:rsidRDefault="00EB40C1" w:rsidP="00060ADE">
      <w:pPr>
        <w:jc w:val="both"/>
      </w:pPr>
    </w:p>
    <w:p w:rsidR="00EB40C1" w:rsidRPr="00D91B34" w:rsidRDefault="0047455D" w:rsidP="00060ADE">
      <w:pPr>
        <w:spacing w:after="120" w:line="276" w:lineRule="auto"/>
        <w:ind w:left="720" w:hanging="360"/>
        <w:jc w:val="both"/>
      </w:pPr>
      <w:r w:rsidRPr="00D91B34">
        <w:rPr>
          <w:rFonts w:ascii="Symbol" w:hAnsi="Symbol"/>
        </w:rPr>
        <w:sym w:font="Symbol" w:char="F0B7"/>
      </w:r>
      <w:r w:rsidRPr="00D91B34">
        <w:rPr>
          <w:rFonts w:ascii="Symbol" w:hAnsi="Symbol"/>
        </w:rPr>
        <w:tab/>
      </w:r>
      <w:r w:rsidRPr="00D91B34">
        <w:t xml:space="preserve">Wniosek dotyczący zmiany (i) rozporządzenia w sprawie prospektu w celu harmonizacji wymogów dotyczących sporządzania, zatwierdzania i rozpowszechniania prospektu, który ma być publikowany w związku z ofertą publiczną papierów </w:t>
      </w:r>
      <w:r w:rsidRPr="00D91B34">
        <w:t>wartościowych lub dopuszczeniem ich do obrotu na rynku regulowanym (2017/1129), (ii) rozporządzenia w sprawie nadużyć na rynku (MAR) mającego na celu zapobieganie nadużyciom na rynku, manipulacjom na rynku i wykorzystywaniu informacji poufnych oraz ich wyk</w:t>
      </w:r>
      <w:r w:rsidRPr="00D91B34">
        <w:t xml:space="preserve">rywanie (596/2014) oraz (iii) rozporządzenia w sprawie rynków instrumentów finansowych (MiFIR), które stanowi ramy prawne dla rynków papierów wartościowych, pośredników inwestycyjnych i systemów obrotu (600/2014). </w:t>
      </w:r>
    </w:p>
    <w:p w:rsidR="00EB40C1" w:rsidRPr="00D91B34" w:rsidRDefault="0047455D" w:rsidP="00060ADE">
      <w:pPr>
        <w:spacing w:after="120" w:line="276" w:lineRule="auto"/>
        <w:ind w:left="720" w:hanging="360"/>
        <w:jc w:val="both"/>
      </w:pPr>
      <w:r w:rsidRPr="00D91B34">
        <w:rPr>
          <w:rFonts w:ascii="Symbol" w:hAnsi="Symbol"/>
        </w:rPr>
        <w:sym w:font="Symbol" w:char="F0B7"/>
      </w:r>
      <w:r w:rsidRPr="00D91B34">
        <w:rPr>
          <w:rFonts w:ascii="Symbol" w:hAnsi="Symbol"/>
        </w:rPr>
        <w:tab/>
      </w:r>
      <w:r w:rsidRPr="00D91B34">
        <w:t xml:space="preserve">Wniosek dotyczący zmiany dyrektywy w </w:t>
      </w:r>
      <w:r w:rsidRPr="00D91B34">
        <w:t>sprawie rynków instrumentów finansowych (MiFID II), mającej na celu uregulowanie rynków finansowych i poprawę ochrony inwestorów (2014/65/UE), oraz uchylenia dyrektywy w sprawie dopuszczania do obrotu giełdowego, która koordynuje warunki dopuszczenia papie</w:t>
      </w:r>
      <w:r w:rsidRPr="00D91B34">
        <w:t xml:space="preserve">rów wartościowych do publicznego obrotu giełdowego oraz reguluje informacje dotyczące tych papierów wartościowych, które podlegają publikacji (2001/34/WE). </w:t>
      </w:r>
    </w:p>
    <w:p w:rsidR="00EB40C1" w:rsidRPr="00D91B34" w:rsidRDefault="0047455D" w:rsidP="00060ADE">
      <w:pPr>
        <w:spacing w:after="120" w:line="276" w:lineRule="auto"/>
        <w:ind w:left="720" w:hanging="360"/>
        <w:jc w:val="both"/>
      </w:pPr>
      <w:r w:rsidRPr="00D91B34">
        <w:rPr>
          <w:rFonts w:ascii="Symbol" w:hAnsi="Symbol"/>
        </w:rPr>
        <w:sym w:font="Symbol" w:char="F0B7"/>
      </w:r>
      <w:r w:rsidRPr="00D91B34">
        <w:rPr>
          <w:rFonts w:ascii="Symbol" w:hAnsi="Symbol"/>
        </w:rPr>
        <w:tab/>
      </w:r>
      <w:r w:rsidRPr="00D91B34">
        <w:t>Wniosek dotyczący nowej dyrektywy w sprawie struktur akcji uprzywilejowanych co do głosu w spółka</w:t>
      </w:r>
      <w:r w:rsidRPr="00D91B34">
        <w:t>ch, które ubiegają się o dopuszczenie ich akcji do obrotu na rynku rozwoju MŚP. Celem wniosku jest zmniejszenie obciążeń regulacyjnych, z jakimi zmagają się spółki przed złożeniem pierwszej oferty publicznej, oraz rozwiązanie problemu nierównowagi przy wyb</w:t>
      </w:r>
      <w:r w:rsidRPr="00D91B34">
        <w:t>orze odpowiednich struktur regulacyjnych do celów notowania (2022/0406).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>Sprawozdawca generalnie popiera uproszczenie i standaryzację ram prawnych dotyczących dopuszczania do obrotu w UE, o ile nie odbywa się to ze szkodą dla inwestorów lub rynku. Istniej</w:t>
      </w:r>
      <w:r w:rsidRPr="00D91B34">
        <w:t>e ogólna zgoda co do tego, że prace nad unią rynków kapitałowych posuwają się zbyt wolno i nie przynoszą rezultatów.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>Unijny rynek kapitałowy nadal traci swoją pozycję w porównaniu z innymi rynkami kontynentalnymi. W ujęciu względnym, ale nie tylko, udział</w:t>
      </w:r>
      <w:r w:rsidRPr="00D91B34">
        <w:t xml:space="preserve"> kapitalizacji rynkowej na całym świecie kurczył się w ciągu ostatnich trzech lat, i to z uwzględnieniem brexitu.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>Pakiet w sprawie dopuszczania do obrotu giełdowego ma na celu zmniejszenie obciążeń regulacyjnych, ogólnie postrzeganych jako jedna z głównyc</w:t>
      </w:r>
      <w:r w:rsidRPr="00D91B34">
        <w:t xml:space="preserve">h przeszkód dla rozwoju unijnego rynku kapitałowego. Zmniejszenie obciążeń regulacyjnych związanych z dopuszczaniem do obrotu giełdowego nie może jednak odbywać się kosztem obowiązujących ścisłych zasad ochrony inwestorów. </w:t>
      </w:r>
    </w:p>
    <w:p w:rsidR="00EB40C1" w:rsidRPr="00D91B34" w:rsidRDefault="00EB40C1" w:rsidP="00060ADE">
      <w:pPr>
        <w:spacing w:after="120" w:line="276" w:lineRule="auto"/>
        <w:jc w:val="both"/>
        <w:rPr>
          <w:b/>
        </w:rPr>
      </w:pPr>
    </w:p>
    <w:p w:rsidR="00EB40C1" w:rsidRPr="00D91B34" w:rsidRDefault="0047455D" w:rsidP="00060ADE">
      <w:pPr>
        <w:spacing w:after="120" w:line="276" w:lineRule="auto"/>
        <w:jc w:val="both"/>
        <w:rPr>
          <w:rFonts w:eastAsiaTheme="minorHAnsi"/>
        </w:rPr>
      </w:pPr>
      <w:r w:rsidRPr="00D91B34">
        <w:t>Aby wypracować zrównoważone roz</w:t>
      </w:r>
      <w:r w:rsidRPr="00D91B34">
        <w:t xml:space="preserve">wiązania, sprawozdawca spotkał się z wieloma uczestnikami rynku i organami regulacyjnymi. Na tej podstawie sprawozdawca proponuje zmianę wniosku Komisji w szeregu elementów, przy jednoczesnym utrzymaniu i wzmocnieniu jego głównych założeń. </w:t>
      </w:r>
    </w:p>
    <w:p w:rsidR="00EB40C1" w:rsidRPr="00D91B34" w:rsidRDefault="0047455D" w:rsidP="00060ADE">
      <w:pPr>
        <w:spacing w:after="120" w:line="276" w:lineRule="auto"/>
        <w:jc w:val="both"/>
      </w:pPr>
      <w:r w:rsidRPr="00D91B34">
        <w:t>Najważniejsze z</w:t>
      </w:r>
      <w:r w:rsidRPr="00D91B34">
        <w:t xml:space="preserve">miany dotyczą następujących kwestii: próg dla wymogów dotyczących prospektu; długość prospektu; zaostrzenie wymogów z zakresu ochrony środowiska, polityki społecznej i ładu korporacyjnego; zmiany w rozporządzeniu w sprawie nadużyć na rynku dotyczącym osób </w:t>
      </w:r>
      <w:r w:rsidRPr="00D91B34">
        <w:t xml:space="preserve">mających dostęp do informacji poufnych; proponowane zmiany w dyrektywie Mifid II; oraz rozszerzenie dyrektywy w sprawie struktur akcji obejmujących akcje uprzywilejowane co do głosu.  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  <w:rPr>
          <w:b/>
          <w:u w:val="single"/>
        </w:rPr>
      </w:pPr>
      <w:r w:rsidRPr="00D91B34">
        <w:rPr>
          <w:b/>
          <w:u w:val="single"/>
        </w:rPr>
        <w:t>Próg dla wymogów dotyczących prospektu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>Sprawozdawca uważa, że ze wzgl</w:t>
      </w:r>
      <w:r w:rsidRPr="00D91B34">
        <w:t>ędu na obecną strukturę rynku europejskiego jednolity próg na poziomie 12 mln EUR, poniżej którego małe oferty publiczne papierów wartościowych byłyby wyłączone z obowiązku publikacji prospektu, nie jest najlepszym rozwiązaniem z punktu widzenia utrzymania</w:t>
      </w:r>
      <w:r w:rsidRPr="00D91B34">
        <w:t xml:space="preserve"> zadowalającej regulacji rynku na szczeblu krajowym. W związku z tym proponuje się przyjęcie podejścia Komisji w sprawie sekwencjonowania prospektu, aby umożliwić również podwyższenie progu do 12 mln EUR, ale jednocześnie zapewnić państwom członkowskim ela</w:t>
      </w:r>
      <w:r w:rsidRPr="00D91B34">
        <w:t xml:space="preserve">styczność w przyjmowaniu niższych progów z minimalnym progiem 5 mln EUR. 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  <w:rPr>
          <w:b/>
          <w:u w:val="single"/>
        </w:rPr>
      </w:pPr>
      <w:r w:rsidRPr="00D91B34">
        <w:rPr>
          <w:b/>
          <w:u w:val="single"/>
        </w:rPr>
        <w:t>Długość prospektu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 xml:space="preserve">We wniosku dotyczącym aktu w sprawie dopuszczania do obrotu giełdowego Komisja próbuje ustandaryzować prospekty na poziomie UE. Sprawozdawca zasadniczo przyjmuje </w:t>
      </w:r>
      <w:r w:rsidRPr="00D91B34">
        <w:t>to podejście z zadowoleniem. W pełni zgadza się z poglądem, że jednolita struktura oparta na ustalonej kolejności informacji jest idealnym rozwiązaniem dla wszystkich uczestników rynku, ponieważ sprawia, że prospekty są bardziej czytelne i zrozumiałe zarów</w:t>
      </w:r>
      <w:r w:rsidRPr="00D91B34">
        <w:t>no dla inwestorów detalicznych, jak i profesjonalnych.</w:t>
      </w:r>
    </w:p>
    <w:p w:rsidR="00EB40C1" w:rsidRPr="00D91B34" w:rsidRDefault="0047455D" w:rsidP="00060ADE">
      <w:pPr>
        <w:spacing w:after="120" w:line="276" w:lineRule="auto"/>
        <w:jc w:val="both"/>
      </w:pPr>
      <w:r w:rsidRPr="00D91B34">
        <w:t xml:space="preserve">Komisja chce jednak również wprowadzić ogólny limit długości prospektów wynoszący 300 </w:t>
      </w:r>
      <w:r w:rsidRPr="00D91B34">
        <w:lastRenderedPageBreak/>
        <w:t>stron, aby inwestorom indywidualnym łatwiej było je czytać. Sprawozdawca przyznaje, że prospekty są zbyt długie i p</w:t>
      </w:r>
      <w:r w:rsidRPr="00D91B34">
        <w:t>rawdopodobnie niemożliwe do przeczytania dla przeciętnego inwestora detalicznego. Dane wskazują jednak, że inwestorzy detaliczni nie czytają prospektów nawet w państwach, w których liczą one mniej niż 300 stron. Prospekt pozostaje w rzeczywistości profesjo</w:t>
      </w:r>
      <w:r w:rsidRPr="00D91B34">
        <w:t>nalnym dokumentem przygotowywanym dla profesjonalnych inwestorów. Jest on postrzegany jako instrument zabezpieczający emitentów przed odpowiedzialnością prawną, czytany głównie przez profesjonalnych inwestorów lub doradców działających poza agencjami finan</w:t>
      </w:r>
      <w:r w:rsidRPr="00D91B34">
        <w:t>sowania inwestycji. Nie mają lub nie powinni oni mieć żadnych problemów z przeczytaniem i zrozumieniem prospektów, niezależnie od ich długości. Z tych powodów sprawozdawca podziela pogląd Komisji w sprawie kolejności informacji zawartych w prospektach, pro</w:t>
      </w:r>
      <w:r w:rsidRPr="00D91B34">
        <w:t xml:space="preserve">ponuje zarazem jednak usunięcie limitu liczby stron. 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  <w:rPr>
          <w:b/>
          <w:u w:val="single"/>
        </w:rPr>
      </w:pPr>
      <w:r w:rsidRPr="00D91B34">
        <w:rPr>
          <w:b/>
          <w:u w:val="single"/>
        </w:rPr>
        <w:t>Zaostrzenie wymogów z zakresu ochrony środowiska, polityki społecznej i ładu korporacyjnego (wymogów ESG)</w:t>
      </w:r>
    </w:p>
    <w:p w:rsidR="00EB40C1" w:rsidRPr="00D91B34" w:rsidRDefault="00EB40C1" w:rsidP="00060ADE">
      <w:pPr>
        <w:spacing w:after="120" w:line="276" w:lineRule="auto"/>
        <w:jc w:val="both"/>
        <w:rPr>
          <w:b/>
          <w:u w:val="single"/>
        </w:rPr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>Sprawozdawca z zadowoleniem przyjmuje uwzględnienie zasad z zakresu ochrony środowiska, polity</w:t>
      </w:r>
      <w:r w:rsidRPr="00D91B34">
        <w:t>ki społecznej i ładu korporacyjnego w proponowanych przepisach i jest zdania, że należy zaostrzyć odnośne wymogi w kontekście prezentacji prospektu i w innych miejscach. Zmiany w rozporządzeniu w sprawie prospektu emisyjnego muszą, zdaniem sprawozdawcy, po</w:t>
      </w:r>
      <w:r w:rsidRPr="00D91B34">
        <w:t>zostać spójne z ogólnym zobowiązaniem UE do reformy w tym istotnym obszarze polityki, co do którego istnieje szerokie porozumienie.</w:t>
      </w:r>
    </w:p>
    <w:p w:rsidR="00EB40C1" w:rsidRPr="00D91B34" w:rsidRDefault="00EB40C1" w:rsidP="00060ADE">
      <w:pPr>
        <w:spacing w:after="120" w:line="276" w:lineRule="auto"/>
        <w:jc w:val="both"/>
      </w:pPr>
    </w:p>
    <w:p w:rsidR="00EB40C1" w:rsidRPr="00D91B34" w:rsidRDefault="0047455D" w:rsidP="00060ADE">
      <w:pPr>
        <w:spacing w:after="120" w:line="276" w:lineRule="auto"/>
        <w:jc w:val="both"/>
        <w:rPr>
          <w:b/>
          <w:u w:val="single"/>
        </w:rPr>
      </w:pPr>
      <w:r w:rsidRPr="00D91B34">
        <w:rPr>
          <w:b/>
          <w:u w:val="single"/>
        </w:rPr>
        <w:t>Zmiany w rozporządzeniu w sprawie nadużyć na rynku dotyczące osób mających dostęp do informacji poufnych</w:t>
      </w:r>
    </w:p>
    <w:p w:rsidR="00EB40C1" w:rsidRPr="00D91B34" w:rsidRDefault="00EB40C1" w:rsidP="00060ADE">
      <w:pPr>
        <w:spacing w:after="120" w:line="276" w:lineRule="auto"/>
        <w:jc w:val="both"/>
        <w:rPr>
          <w:b/>
          <w:u w:val="single"/>
        </w:rPr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 xml:space="preserve">Ogólnie </w:t>
      </w:r>
      <w:r w:rsidRPr="00D91B34">
        <w:t>sprawozdawca z zadowoleniem przyjmuje propozycje zmian w rozporządzeniu w sprawie nadużyć na rynku zawarte w akcie w sprawie dopuszczania do obrotu giełdowego, zwraca jednak uwagę na kontrowersyjny charakter proponowanych przez Komisję zmian dotyczących os</w:t>
      </w:r>
      <w:r w:rsidRPr="00D91B34">
        <w:t>ób mających dostęp do informacji poufnych oraz sposobów ich identyfikacji i monitorowania. Sprawozdawca odwołuje się tutaj do ostrzeżenia ESMA, zgodnie z którym proponowane uproszczenia mogłyby zmniejszyć zdolność krajowych organów nadzoru do łatwego egzek</w:t>
      </w:r>
      <w:r w:rsidRPr="00D91B34">
        <w:t>wowania przepisów dotyczących zwalczania nadużyć na rynku. W związku z tym w projekcie sprawozdania proponuje się usunięcie tekstu Komisji dotyczącego listy osób mających dostęp do informacji poufnych.</w:t>
      </w:r>
    </w:p>
    <w:p w:rsidR="00EB40C1" w:rsidRPr="00D91B34" w:rsidRDefault="00EB40C1" w:rsidP="00060ADE">
      <w:pPr>
        <w:jc w:val="both"/>
      </w:pPr>
    </w:p>
    <w:p w:rsidR="00EB40C1" w:rsidRPr="00D91B34" w:rsidRDefault="0047455D" w:rsidP="00060ADE">
      <w:pPr>
        <w:spacing w:after="120" w:line="276" w:lineRule="auto"/>
        <w:jc w:val="both"/>
        <w:rPr>
          <w:b/>
          <w:u w:val="single"/>
        </w:rPr>
      </w:pPr>
      <w:r w:rsidRPr="00D91B34">
        <w:rPr>
          <w:b/>
          <w:u w:val="single"/>
        </w:rPr>
        <w:t>Proponowane zmiany w dyrektywie Mifid II</w:t>
      </w:r>
    </w:p>
    <w:p w:rsidR="00EB40C1" w:rsidRPr="00D91B34" w:rsidRDefault="0047455D" w:rsidP="00060ADE">
      <w:pPr>
        <w:spacing w:after="120" w:line="276" w:lineRule="auto"/>
        <w:jc w:val="both"/>
      </w:pPr>
      <w:r w:rsidRPr="00D91B34">
        <w:t>Ogólnie rzec</w:t>
      </w:r>
      <w:r w:rsidRPr="00D91B34">
        <w:t xml:space="preserve">z biorąc, sprawozdawca z zadowoleniem przyjmuje elementy wprowadzone przez Komisję do dyrektywy Mifid II i w tym kontekście docenia wysiłki mające na celu ułatwienie dopuszczania spółek do obrotu giełdowego. </w:t>
      </w:r>
    </w:p>
    <w:p w:rsidR="00EB40C1" w:rsidRPr="00D91B34" w:rsidRDefault="0047455D" w:rsidP="00060ADE">
      <w:pPr>
        <w:spacing w:after="120" w:line="276" w:lineRule="auto"/>
        <w:jc w:val="both"/>
      </w:pPr>
      <w:r w:rsidRPr="00D91B34">
        <w:lastRenderedPageBreak/>
        <w:t xml:space="preserve">W celu poprawy propozycji Komisji sprawozdawca </w:t>
      </w:r>
      <w:r w:rsidRPr="00D91B34">
        <w:t>wprowadza ideę wydawania przez ESMA regulacyjnych standardów technicznych, aby ustanowić zharmonizowany unijny kodeks postępowania w odniesieniu do badań finansowanych przez emitenta. Ponadto, w celu zmniejszenia ryzyka fragmentacji płynności, sprawozdawca</w:t>
      </w:r>
      <w:r w:rsidRPr="00D91B34">
        <w:t xml:space="preserve"> rozszerza wymóg braku sprzeciwu emitenta dotyczący dopuszczenia do obrotu instrumentu już dopuszczonego na rynkach rozwoju MŚP na dowolny system obrotu. </w:t>
      </w:r>
    </w:p>
    <w:p w:rsidR="00EB40C1" w:rsidRPr="00D91B34" w:rsidRDefault="00EB40C1" w:rsidP="00060ADE">
      <w:pPr>
        <w:spacing w:after="120" w:line="276" w:lineRule="auto"/>
        <w:jc w:val="both"/>
        <w:rPr>
          <w:b/>
          <w:u w:val="single"/>
        </w:rPr>
      </w:pPr>
    </w:p>
    <w:p w:rsidR="00EB40C1" w:rsidRPr="00D91B34" w:rsidRDefault="00EB40C1" w:rsidP="00060ADE">
      <w:pPr>
        <w:spacing w:after="120" w:line="276" w:lineRule="auto"/>
        <w:jc w:val="both"/>
        <w:rPr>
          <w:b/>
          <w:u w:val="single"/>
        </w:rPr>
      </w:pPr>
    </w:p>
    <w:p w:rsidR="00EB40C1" w:rsidRPr="00D91B34" w:rsidRDefault="0047455D" w:rsidP="00060ADE">
      <w:pPr>
        <w:spacing w:after="120" w:line="276" w:lineRule="auto"/>
        <w:jc w:val="both"/>
        <w:rPr>
          <w:b/>
          <w:u w:val="single"/>
        </w:rPr>
      </w:pPr>
      <w:r w:rsidRPr="00D91B34">
        <w:rPr>
          <w:b/>
          <w:u w:val="single"/>
        </w:rPr>
        <w:t>Rozszerzenie struktur akcji obejmujących akcje uprzywilejowane co do głosu przy jednoczesnym zabezp</w:t>
      </w:r>
      <w:r w:rsidRPr="00D91B34">
        <w:rPr>
          <w:b/>
          <w:u w:val="single"/>
        </w:rPr>
        <w:t>ieczeniu inwestorów</w:t>
      </w:r>
    </w:p>
    <w:p w:rsidR="00EB40C1" w:rsidRPr="00D91B34" w:rsidRDefault="00EB40C1" w:rsidP="00060ADE">
      <w:pPr>
        <w:spacing w:after="120" w:line="276" w:lineRule="auto"/>
        <w:jc w:val="both"/>
        <w:rPr>
          <w:b/>
          <w:u w:val="single"/>
        </w:rPr>
      </w:pPr>
    </w:p>
    <w:p w:rsidR="00EB40C1" w:rsidRPr="00D91B34" w:rsidRDefault="0047455D" w:rsidP="00060ADE">
      <w:pPr>
        <w:spacing w:after="120" w:line="276" w:lineRule="auto"/>
        <w:jc w:val="both"/>
      </w:pPr>
      <w:r w:rsidRPr="00D91B34">
        <w:t>Zgodnie z wnioskiem Komisji dotyczącym tej dyrektywy spółki powinny mieć możliwość wyboru struktur zarządzania, które najlepiej odpowiadają ich etapowi rozwoju. Sprawozdawca zgadza się z tym podejściem, proponując jednak pewne korekty.</w:t>
      </w:r>
      <w:r w:rsidRPr="00D91B34">
        <w:t xml:space="preserve"> </w:t>
      </w:r>
    </w:p>
    <w:p w:rsidR="00EB40C1" w:rsidRPr="00D91B34" w:rsidRDefault="0047455D" w:rsidP="00060ADE">
      <w:pPr>
        <w:spacing w:after="120" w:line="276" w:lineRule="auto"/>
        <w:jc w:val="both"/>
      </w:pPr>
      <w:r w:rsidRPr="00D91B34">
        <w:t>W szczególności, w celu zwiększenia atrakcyjności notowań w UE, opcja struktur akcji obejmujących akcje uprzywilejowane co do głosu nie powinna ograniczać się do rynków wzrostu MŚP, ale zostać rozszerzona na wszystkie rynki regulowane. Ponadto, aby utrzy</w:t>
      </w:r>
      <w:r w:rsidRPr="00D91B34">
        <w:t>mać wysoki poziom zaufania do rynku, sprawozdawca wprowadza zestaw obowiązkowych zabezpieczeń, w tym ograniczony stosunek głosów i 10-letnią (określoną w czasie) klauzulę wygaśnięcia.</w:t>
      </w:r>
    </w:p>
    <w:p w:rsidR="00EB40C1" w:rsidRPr="00D91B34" w:rsidRDefault="00EB40C1" w:rsidP="00060ADE">
      <w:pPr>
        <w:spacing w:after="120" w:line="276" w:lineRule="auto"/>
        <w:jc w:val="both"/>
        <w:rPr>
          <w:rFonts w:asciiTheme="minorHAnsi" w:hAnsiTheme="minorHAnsi" w:cstheme="minorHAnsi"/>
        </w:rPr>
      </w:pPr>
    </w:p>
    <w:p w:rsidR="00EB40C1" w:rsidRPr="00D91B34" w:rsidRDefault="00EB40C1" w:rsidP="00060ADE">
      <w:pPr>
        <w:jc w:val="both"/>
      </w:pPr>
    </w:p>
    <w:sectPr w:rsidR="00EB40C1" w:rsidRPr="00D91B34" w:rsidSect="00D91B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D91B34" w:rsidRDefault="0047455D">
      <w:r w:rsidRPr="00D91B34">
        <w:separator/>
      </w:r>
    </w:p>
  </w:endnote>
  <w:endnote w:type="continuationSeparator" w:id="0">
    <w:p w:rsidR="00000000" w:rsidRPr="00D91B34" w:rsidRDefault="0047455D">
      <w:r w:rsidRPr="00D91B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B34" w:rsidRPr="00D91B34" w:rsidRDefault="00D91B34" w:rsidP="00D91B34">
    <w:pPr>
      <w:pStyle w:val="EPFooter"/>
    </w:pPr>
    <w:r w:rsidRPr="00D91B34">
      <w:t>PE</w:t>
    </w:r>
    <w:r w:rsidRPr="00D91B34">
      <w:rPr>
        <w:rStyle w:val="HideTWBExt"/>
      </w:rPr>
      <w:t>&lt;NoPE&gt;</w:t>
    </w:r>
    <w:r w:rsidRPr="00D91B34">
      <w:t>749.149</w:t>
    </w:r>
    <w:r w:rsidRPr="00D91B34">
      <w:rPr>
        <w:rStyle w:val="HideTWBExt"/>
      </w:rPr>
      <w:t>&lt;/NoPE&gt;&lt;Version&gt;</w:t>
    </w:r>
    <w:r w:rsidRPr="00D91B34">
      <w:t>v01-00</w:t>
    </w:r>
    <w:r w:rsidRPr="00D91B34">
      <w:rPr>
        <w:rStyle w:val="HideTWBExt"/>
      </w:rPr>
      <w:t>&lt;/Version&gt;</w:t>
    </w:r>
    <w:r w:rsidRPr="00D91B34">
      <w:tab/>
    </w:r>
    <w:r w:rsidRPr="00D91B34">
      <w:fldChar w:fldCharType="begin"/>
    </w:r>
    <w:r w:rsidRPr="00D91B34">
      <w:instrText xml:space="preserve"> PAGE  \* MERGEFORMAT </w:instrText>
    </w:r>
    <w:r w:rsidRPr="00D91B34">
      <w:fldChar w:fldCharType="separate"/>
    </w:r>
    <w:r w:rsidR="0047455D">
      <w:rPr>
        <w:noProof/>
      </w:rPr>
      <w:t>6</w:t>
    </w:r>
    <w:r w:rsidRPr="00D91B34">
      <w:fldChar w:fldCharType="end"/>
    </w:r>
    <w:r w:rsidRPr="00D91B34">
      <w:t>/</w:t>
    </w:r>
    <w:fldSimple w:instr=" NUMPAGES  \* MERGEFORMAT ">
      <w:r w:rsidR="0047455D">
        <w:rPr>
          <w:noProof/>
        </w:rPr>
        <w:t>16</w:t>
      </w:r>
    </w:fldSimple>
    <w:r w:rsidRPr="00D91B34">
      <w:tab/>
    </w:r>
    <w:r w:rsidRPr="00D91B34">
      <w:rPr>
        <w:rStyle w:val="HideTWBExt"/>
      </w:rPr>
      <w:t>&lt;PathFdR&gt;</w:t>
    </w:r>
    <w:r w:rsidRPr="00D91B34">
      <w:t>PR\1279502PL.docx</w:t>
    </w:r>
    <w:r w:rsidRPr="00D91B34">
      <w:rPr>
        <w:rStyle w:val="HideTWBExt"/>
      </w:rPr>
      <w:t>&lt;/PathFdR&gt;</w:t>
    </w:r>
  </w:p>
  <w:p w:rsidR="00362A31" w:rsidRPr="00D91B34" w:rsidRDefault="00D91B34" w:rsidP="00D91B34">
    <w:pPr>
      <w:pStyle w:val="EPFooter2"/>
    </w:pPr>
    <w:r w:rsidRPr="00D91B34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B34" w:rsidRPr="00D91B34" w:rsidRDefault="00D91B34" w:rsidP="00D91B34">
    <w:pPr>
      <w:pStyle w:val="EPFooter"/>
    </w:pPr>
    <w:r w:rsidRPr="00D91B34">
      <w:rPr>
        <w:rStyle w:val="HideTWBExt"/>
      </w:rPr>
      <w:t>&lt;PathFdR&gt;</w:t>
    </w:r>
    <w:r w:rsidRPr="00D91B34">
      <w:t>PR\1279502PL.docx</w:t>
    </w:r>
    <w:r w:rsidRPr="00D91B34">
      <w:rPr>
        <w:rStyle w:val="HideTWBExt"/>
      </w:rPr>
      <w:t>&lt;/PathFdR&gt;</w:t>
    </w:r>
    <w:r w:rsidRPr="00D91B34">
      <w:tab/>
    </w:r>
    <w:r w:rsidRPr="00D91B34">
      <w:fldChar w:fldCharType="begin"/>
    </w:r>
    <w:r w:rsidRPr="00D91B34">
      <w:instrText xml:space="preserve"> PAGE  \* MERGEFORMAT </w:instrText>
    </w:r>
    <w:r w:rsidRPr="00D91B34">
      <w:fldChar w:fldCharType="separate"/>
    </w:r>
    <w:r w:rsidR="0047455D">
      <w:rPr>
        <w:noProof/>
      </w:rPr>
      <w:t>7</w:t>
    </w:r>
    <w:r w:rsidRPr="00D91B34">
      <w:fldChar w:fldCharType="end"/>
    </w:r>
    <w:r w:rsidRPr="00D91B34">
      <w:t>/</w:t>
    </w:r>
    <w:fldSimple w:instr=" NUMPAGES  \* MERGEFORMAT ">
      <w:r w:rsidR="0047455D">
        <w:rPr>
          <w:noProof/>
        </w:rPr>
        <w:t>16</w:t>
      </w:r>
    </w:fldSimple>
    <w:r w:rsidRPr="00D91B34">
      <w:tab/>
      <w:t>PE</w:t>
    </w:r>
    <w:r w:rsidRPr="00D91B34">
      <w:rPr>
        <w:rStyle w:val="HideTWBExt"/>
      </w:rPr>
      <w:t>&lt;NoPE&gt;</w:t>
    </w:r>
    <w:r w:rsidRPr="00D91B34">
      <w:t>749.149</w:t>
    </w:r>
    <w:r w:rsidRPr="00D91B34">
      <w:rPr>
        <w:rStyle w:val="HideTWBExt"/>
      </w:rPr>
      <w:t>&lt;/NoPE&gt;&lt;Version&gt;</w:t>
    </w:r>
    <w:r w:rsidRPr="00D91B34">
      <w:t>v01-00</w:t>
    </w:r>
    <w:r w:rsidRPr="00D91B34">
      <w:rPr>
        <w:rStyle w:val="HideTWBExt"/>
      </w:rPr>
      <w:t>&lt;/Version&gt;</w:t>
    </w:r>
  </w:p>
  <w:p w:rsidR="00362A31" w:rsidRPr="00D91B34" w:rsidRDefault="00D91B34" w:rsidP="00D91B34">
    <w:pPr>
      <w:pStyle w:val="EPFooter2"/>
    </w:pPr>
    <w:r w:rsidRPr="00D91B34">
      <w:tab/>
    </w:r>
    <w:r w:rsidRPr="00D91B34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B34" w:rsidRPr="00D91B34" w:rsidRDefault="00D91B34" w:rsidP="00D91B34">
    <w:pPr>
      <w:pStyle w:val="EPFooter"/>
    </w:pPr>
    <w:r w:rsidRPr="00D91B34">
      <w:rPr>
        <w:rStyle w:val="HideTWBExt"/>
      </w:rPr>
      <w:t>&lt;PathFdR&gt;</w:t>
    </w:r>
    <w:r w:rsidRPr="00D91B34">
      <w:t>PR\1279502PL.docx</w:t>
    </w:r>
    <w:r w:rsidRPr="00D91B34">
      <w:rPr>
        <w:rStyle w:val="HideTWBExt"/>
      </w:rPr>
      <w:t>&lt;/PathFdR&gt;</w:t>
    </w:r>
    <w:r w:rsidRPr="00D91B34">
      <w:tab/>
    </w:r>
    <w:r w:rsidRPr="00D91B34">
      <w:tab/>
      <w:t>PE</w:t>
    </w:r>
    <w:r w:rsidRPr="00D91B34">
      <w:rPr>
        <w:rStyle w:val="HideTWBExt"/>
      </w:rPr>
      <w:t>&lt;NoPE&gt;</w:t>
    </w:r>
    <w:r w:rsidRPr="00D91B34">
      <w:t>749.149</w:t>
    </w:r>
    <w:r w:rsidRPr="00D91B34">
      <w:rPr>
        <w:rStyle w:val="HideTWBExt"/>
      </w:rPr>
      <w:t>&lt;/NoPE&gt;&lt;Version&gt;</w:t>
    </w:r>
    <w:r w:rsidRPr="00D91B34">
      <w:t>v01-00</w:t>
    </w:r>
    <w:r w:rsidRPr="00D91B34">
      <w:rPr>
        <w:rStyle w:val="HideTWBExt"/>
      </w:rPr>
      <w:t>&lt;/Version&gt;</w:t>
    </w:r>
  </w:p>
  <w:p w:rsidR="00362A31" w:rsidRPr="00D91B34" w:rsidRDefault="00D91B34" w:rsidP="00D91B34">
    <w:pPr>
      <w:pStyle w:val="EPFooter2"/>
    </w:pPr>
    <w:r w:rsidRPr="00D91B34">
      <w:t>PL</w:t>
    </w:r>
    <w:r w:rsidRPr="00D91B34">
      <w:tab/>
    </w:r>
    <w:r w:rsidRPr="00D91B34">
      <w:rPr>
        <w:b w:val="0"/>
        <w:i/>
        <w:color w:val="C0C0C0"/>
        <w:sz w:val="22"/>
      </w:rPr>
      <w:t>Zjednoczona w różnorodności</w:t>
    </w:r>
    <w:r w:rsidRPr="00D91B34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CD6" w:rsidRPr="00D91B34" w:rsidRDefault="0047455D">
      <w:r w:rsidRPr="00D91B34">
        <w:separator/>
      </w:r>
    </w:p>
  </w:footnote>
  <w:footnote w:type="continuationSeparator" w:id="0">
    <w:p w:rsidR="00516CD6" w:rsidRPr="00D91B34" w:rsidRDefault="0047455D">
      <w:r w:rsidRPr="00D91B34">
        <w:continuationSeparator/>
      </w:r>
    </w:p>
  </w:footnote>
  <w:footnote w:id="1">
    <w:p w:rsidR="00362A31" w:rsidRPr="00D91B34" w:rsidRDefault="0047455D" w:rsidP="00EF2F2D">
      <w:pPr>
        <w:pStyle w:val="FootnoteText"/>
      </w:pPr>
      <w:r w:rsidRPr="00D91B34">
        <w:rPr>
          <w:rStyle w:val="FootnoteReference"/>
        </w:rPr>
        <w:footnoteRef/>
      </w:r>
      <w:r w:rsidRPr="00D91B34">
        <w:t xml:space="preserve"> </w:t>
      </w:r>
      <w:r w:rsidRPr="00D91B34">
        <w:tab/>
        <w:t>Dz.U. C 184 z 25.5.2023, s. 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818" w:rsidRDefault="006E08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818" w:rsidRDefault="006E0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818" w:rsidRDefault="006E08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F245CA7"/>
    <w:multiLevelType w:val="hybridMultilevel"/>
    <w:tmpl w:val="5D18DB42"/>
    <w:lvl w:ilvl="0" w:tplc="9202E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028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A2A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9AF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AEAE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3A2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83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3A20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D8D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ECON"/>
    <w:docVar w:name="CopyToNetwork" w:val="-1"/>
    <w:docVar w:name="CVar" w:val="1"/>
    <w:docVar w:name="DOCMNU" w:val=" 2"/>
    <w:docVar w:name="iNoAmend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176447 HideTWBExt;}{\*\cs18 \additive \v\f1\fs20\cf15 _x000d__x000a_\spriority0 \styrsid14176447 HideTWBInt;}{\s19\ql \li0\ri0\sa120\nowidctlpar\wrapdefault\aspalpha\aspnum\faauto\adjustright\rin0\lin0\itap0 \rtlch\fcs1 \af0\afs20\alang1025 \ltrch\fcs0 \fs24\lang2057\langfe2057\cgrid\langnp2057\langfenp2057 _x000d__x000a_\sbasedon0 \snext19 \spriority0 \styrsid14176447 Normal6a;}{\s20\ql \li0\ri0\nowidctlpar\wrapdefault\aspalpha\aspnum\faauto\adjustright\rin0\lin0\itap0 \rtlch\fcs1 \af0\afs20\alang1025 \ltrch\fcs0 \b\fs24\lang2057\langfe2057\cgrid\langnp2057\langfenp2057 _x000d__x000a_\sbasedon0 \snext20 \spriority0 \styrsid14176447 NormalBold;}{\s21\ql \li0\ri0\sa240\nowidctlpar\wrapdefault\aspalpha\aspnum\faauto\adjustright\rin0\lin0\itap0 \rtlch\fcs1 \af0\afs20\alang1025 \ltrch\fcs0 _x000d__x000a_\i\fs24\lang2057\langfe2057\cgrid\langnp2057\langfenp2057 \sbasedon0 \snext21 \spriority0 \styrsid14176447 AmJustText;}{\s22\qc \li0\ri0\sb240\sa240\nowidctlpar\wrapdefault\aspalpha\aspnum\faauto\adjustright\rin0\lin0\itap0 \rtlch\fcs1 _x000d__x000a_\af0\afs20\alang1025 \ltrch\fcs0 \i\fs24\lang2057\langfe2057\cgrid\langnp2057\langfenp2057 \sbasedon0 \snext22 \spriority0 \styrsid1417644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4176447 AmJustTitle;}{\s24\qr \li0\ri0\sb240\sa240\nowidctlpar\wrapdefault\aspalpha\aspnum\faauto\adjustright\rin0\lin0\itap0 \rtlch\fcs1 \af0\afs20\alang1025 \ltrch\fcs0 _x000d__x000a_\fs24\lang2057\langfe2057\cgrid\langnp2057\langfenp2057 \sbasedon0 \snext24 \spriority0 \styrsid14176447 AmOrLang;}{\s25\qc \li0\ri0\sa240\nowidctlpar\wrapdefault\aspalpha\aspnum\faauto\adjustright\rin0\lin0\itap0 \rtlch\fcs1 \af0\afs20\alang1025 _x000d__x000a_\ltrch\fcs0 \i\fs24\lang2057\langfe2057\cgrid\langnp2057\langfenp2057 \sbasedon0 \snext25 \spriority0 \styrsid1417644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176447 AmNumberTabs;}{\s27\ql \li0\ri0\sb240\nowidctlpar\wrapdefault\aspalpha\aspnum\faauto\adjustright\rin0\lin0\itap0 \rtlch\fcs1 _x000d__x000a_\af0\afs20\alang1025 \ltrch\fcs0 \b\fs24\lang2057\langfe2057\cgrid\langnp2057\langfenp2057 \sbasedon0 \snext27 \spriority0 \styrsid14176447 NormalBold12b;}}{\*\rsidtbl \rsid24658\rsid223860\rsid735077\rsid819023\rsid1718133\rsid2892074\rsid3565327_x000d__x000a_\rsid4666813\rsid6641733\rsid7823322\rsid9636012\rsid10377208\rsid11215221\rsid11549030\rsid12154954\rsid14176447\rsid14382809\rsid14424199\rsid15204470\rsid15285974\rsid15950462\rsid16324206\rsid16662270}{\mmathPr\mmathFont34\mbrkBin0\mbrkBinSub0_x000d__x000a_\msmallFrac0\mdispDef1\mlMargin0\mrMargin0\mdefJc1\mwrapIndent1440\mintLim0\mnaryLim1}{\info{\author CHIGNESSE Regine}{\operator CHIGNESSE Regine}{\creatim\yr2023\mo5\dy24\hr15\min54}{\revtim\yr2023\mo5\dy24\hr15\min54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17644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HIG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1902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1902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1902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1902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176447 \rtlch\fcs1 _x000d__x000a_\af0\afs20\alang1025 \ltrch\fcs0 \b\fs24\lang2057\langfe2057\cgrid\langnp2057\langfenp2057 {\rtlch\fcs1 \af0 \ltrch\fcs0 \cs17\b0\v\fs20\cf9\lang1024\langfe1024\loch\af1\hich\af1\dbch\af31501\noproof\insrsid14176447\charrsid7751748 {\*\bkmkstart restart}_x000d__x000a_\hich\af1\dbch\af31501\loch\f1 &lt;Amend&gt;}{\rtlch\fcs1 \af0 \ltrch\fcs0 \insrsid14176447\charrsid7751748 Amendment\tab \tab }{\rtlch\fcs1 \af0 \ltrch\fcs0 _x000d__x000a_\cs17\b0\v\fs20\cf9\lang1024\langfe1024\loch\af1\hich\af1\dbch\af31501\noproof\insrsid14176447\charrsid7751748 \hich\af1\dbch\af31501\loch\f1 &lt;NumAm&gt;}{\rtlch\fcs1 \af0 \ltrch\fcs0 \insrsid14176447\charrsid7751748 #}{\rtlch\fcs1 \af1 \ltrch\fcs0 _x000d__x000a_\cs18\v\f1\fs20\cf15\insrsid14176447\charrsid7751748 ENMIENDA@NRAM@}{\rtlch\fcs1 \af0 \ltrch\fcs0 \insrsid14176447\charrsid7751748 #}{\rtlch\fcs1 \af0 \ltrch\fcs0 _x000d__x000a_\cs17\b0\v\fs20\cf9\lang1024\langfe1024\loch\af1\hich\af1\dbch\af31501\noproof\insrsid14176447\charrsid7751748 \hich\af1\dbch\af31501\loch\f1 &lt;/NumAm&gt;}{\rtlch\fcs1 \af0 \ltrch\fcs0 \insrsid14176447\charrsid7751748 _x000d__x000a_\par }\pard\plain \ltrpar\s27\ql \li0\ri0\sb240\keepn\nowidctlpar\wrapdefault\aspalpha\aspnum\faauto\adjustright\rin0\lin0\itap0\pararsid14176447 \rtlch\fcs1 \af0\afs20\alang1025 \ltrch\fcs0 \b\fs24\lang2057\langfe2057\cgrid\langnp2057\langfenp2057 {_x000d__x000a_\rtlch\fcs1 \af0 \ltrch\fcs0 \cs17\b0\v\fs20\cf9\lang1024\langfe1024\loch\af1\hich\af1\dbch\af31501\noproof\insrsid14176447\charrsid7751748 \hich\af1\dbch\af31501\loch\f1 &lt;DocAmend&gt;}{\rtlch\fcs1 \af0 \ltrch\fcs0 \insrsid14176447\charrsid7751748 _x000d__x000a_Proposal for a #}{\rtlch\fcs1 \af1 \ltrch\fcs0 \cs18\v\f1\fs20\cf15\insrsid14176447\charrsid7751748 MNU[DOC1][DOC2][DOC3]@DOCMSG@DOCMNU}{\rtlch\fcs1 \af0 \ltrch\fcs0 \insrsid14176447\charrsid7751748 ##}{\rtlch\fcs1 \af1 \ltrch\fcs0 _x000d__x000a_\cs18\v\f1\fs20\cf15\insrsid14176447\charrsid7751748 MNU[AMACTYES][NOTAPP]@CHOICE@AMACTMNU}{\rtlch\fcs1 \af0 \ltrch\fcs0 \insrsid14176447\charrsid7751748 #}{\rtlch\fcs1 \af0 \ltrch\fcs0 _x000d__x000a_\cs17\b0\v\fs20\cf9\lang1024\langfe1024\loch\af1\hich\af1\dbch\af31501\noproof\insrsid14176447\charrsid7751748 \hich\af1\dbch\af31501\loch\f1 &lt;/DocAmend&gt;}{\rtlch\fcs1 \af0 \ltrch\fcs0 \insrsid14176447\charrsid7751748 _x000d__x000a_\par }\pard\plain \ltrpar\s20\ql \li0\ri0\keepn\nowidctlpar\wrapdefault\aspalpha\aspnum\faauto\adjustright\rin0\lin0\itap0\pararsid14176447 \rtlch\fcs1 \af0\afs20\alang1025 \ltrch\fcs0 \b\fs24\lang2057\langfe2057\cgrid\langnp2057\langfenp2057 {\rtlch\fcs1 _x000d__x000a_\af0 \ltrch\fcs0 \cs17\b0\v\fs20\cf9\lang1024\langfe1024\loch\af1\hich\af1\dbch\af31501\noproof\insrsid14176447\charrsid7751748 \hich\af1\dbch\af31501\loch\f1 &lt;Article&gt;}{\rtlch\fcs1 \af0 \ltrch\fcs0 \insrsid14176447\charrsid7751748 #}{\rtlch\fcs1 \af1 _x000d__x000a_\ltrch\fcs0 \cs18\v\f1\fs20\cf15\insrsid14176447\charrsid7751748 MNU[AMACTPARTYES][AMACTPARTNO]@CHOICE@AMACTMNU}{\rtlch\fcs1 \af0 \ltrch\fcs0 \insrsid14176447\charrsid7751748 #}{\rtlch\fcs1 \af0 \ltrch\fcs0 _x000d__x000a_\cs17\b0\v\fs20\cf9\lang1024\langfe1024\loch\af1\hich\af1\dbch\af31501\noproof\insrsid14176447\charrsid7751748 \hich\af1\dbch\af31501\loch\f1 &lt;/Article&gt;}{\rtlch\fcs1 \af0 \ltrch\fcs0 \insrsid14176447\charrsid7751748 _x000d__x000a_\par }\pard\plain \ltrpar\ql \li0\ri0\keepn\widctlpar\wrapdefault\aspalpha\aspnum\faauto\adjustright\rin0\lin0\itap0\pararsid14176447 \rtlch\fcs1 \af0\afs20\alang1025 \ltrch\fcs0 \fs24\lang2057\langfe2057\cgrid\langnp2057\langfenp2057 {\rtlch\fcs1 \af0 _x000d__x000a_\ltrch\fcs0 \cs17\v\fs20\cf9\lang1024\langfe1024\loch\af1\hich\af1\dbch\af31501\noproof\insrsid14176447\charrsid7751748 \hich\af1\dbch\af31501\loch\f1 &lt;DocAmend2&gt;&lt;OptDel&gt;}{\rtlch\fcs1 \af0 \ltrch\fcs0 \insrsid14176447\charrsid7751748 #}{\rtlch\fcs1 \af1 _x000d__x000a_\ltrch\fcs0 \cs18\v\f1\fs20\cf15\insrsid14176447\charrsid7751748 MNU[OPTNRACTYES][NOTAPP]@CHOICE@AMACTMNU}{\rtlch\fcs1 \af0 \ltrch\fcs0 \insrsid14176447\charrsid7751748 #}{\rtlch\fcs1 \af0 \ltrch\fcs0 _x000d__x000a_\cs17\v\fs20\cf9\lang1024\langfe1024\loch\af1\hich\af1\dbch\af31501\noproof\insrsid14176447\charrsid7751748 \hich\af1\dbch\af31501\loch\f1 &lt;/OptDel&gt;&lt;/DocAmend2&gt;}{\rtlch\fcs1 \af0 \ltrch\fcs0 \insrsid14176447\charrsid7751748 _x000d__x000a_\par }\pard \ltrpar\ql \li0\ri0\widctlpar\wrapdefault\aspalpha\aspnum\faauto\adjustright\rin0\lin0\itap0\pararsid14176447 {\rtlch\fcs1 \af0 \ltrch\fcs0 \cs17\v\fs20\cf9\lang1024\langfe1024\loch\af1\hich\af1\dbch\af31501\noproof\insrsid14176447\charrsid7751748 _x000d__x000a_\hich\af1\dbch\af31501\loch\f1 &lt;Article2&gt;&lt;OptDel&gt;}{\rtlch\fcs1 \af0 \ltrch\fcs0 \insrsid14176447\charrsid7751748 #}{\rtlch\fcs1 \af1 \ltrch\fcs0 \cs18\v\f1\fs20\cf15\insrsid14176447\charrsid7751748 MNU[OPTACTPARTYES][NOTAPP]@CHOICE@AMACTMNU}{\rtlch\fcs1 _x000d__x000a_\af0 \ltrch\fcs0 \insrsid14176447\charrsid7751748 #}{\rtlch\fcs1 \af0 \ltrch\fcs0 \cs17\v\fs20\cf9\lang1024\langfe1024\loch\af1\hich\af1\dbch\af31501\noproof\insrsid14176447\charrsid7751748 \hich\af1\dbch\af31501\loch\f1 &lt;/OptDel&gt;&lt;/Article2&gt;}{\rtlch\fcs1 _x000d__x000a_\af0 \ltrch\fcs0 \insrsid14176447\charrsid7751748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4176447\charrsid7751748 \cell }\pard\plain \ltrpar\ql \li0\ri0\widctlpar\intbl\wrapdefault\aspalpha\aspnum\faauto\adjustright\rin0\lin0 \rtlch\fcs1 _x000d__x000a_\af0\afs20\alang1025 \ltrch\fcs0 \fs24\lang2057\langfe2057\cgrid\langnp2057\langfenp2057 {\rtlch\fcs1 \af0 \ltrch\fcs0 \insrsid14176447\charrsid7751748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4176447\charrsid7751748 #}{\rtlch\fcs1 \af1 \ltrch\fcs0 \cs18\v\f1\fs20\cf15\insrsid14176447\charrsid7751748 MNU[OPTLEFTAMACT][LEFTPROP]@CHOICE@AMACTMNU}{\rtlch\fcs1 \af0 \ltrch\fcs0 \insrsid14176447\charrsid7751748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4176447\charrsid7751748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4176447\charrsid7751748 ##\cell ##}{\rtlch\fcs1 \af0\afs24 \ltrch\fcs0 \insrsid14176447\charrsid7751748 \cell }\pard\plain \ltrpar\ql \li0\ri0\widctlpar\intbl\wrapdefault\aspalpha\aspnum\faauto\adjustright\rin0\lin0 \rtlch\fcs1 _x000d__x000a_\af0\afs20\alang1025 \ltrch\fcs0 \fs24\lang2057\langfe2057\cgrid\langnp2057\langfenp2057 {\rtlch\fcs1 \af0 \ltrch\fcs0 \insrsid14176447\charrsid7751748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176447 \rtlch\fcs1 \af0\afs20\alang1025 \ltrch\fcs0 \fs24\lang2057\langfe2057\cgrid\langnp2057\langfenp2057 {\rtlch\fcs1 \af0 \ltrch\fcs0 _x000d__x000a_\insrsid14176447\charrsid7751748 Or. }{\rtlch\fcs1 \af0 \ltrch\fcs0 \cs17\v\fs20\cf9\lang1024\langfe1024\loch\af1\hich\af1\dbch\af31501\noproof\insrsid14176447\charrsid7751748 \hich\af1\dbch\af31501\loch\f1 &lt;Original&gt;}{\rtlch\fcs1 \af0 \ltrch\fcs0 _x000d__x000a_\insrsid14176447\charrsid7751748 #}{\rtlch\fcs1 \af1 \ltrch\fcs0 \cs18\v\f1\fs20\cf15\insrsid14176447\charrsid7751748 MNU[ORLANGONE][ORLANGMORE]@CHOICE@ORLANGMNU}{\rtlch\fcs1 \af0 \ltrch\fcs0 \insrsid14176447\charrsid7751748 #}{\rtlch\fcs1 \af0 _x000d__x000a_\ltrch\fcs0 \cs17\v\fs20\cf9\lang1024\langfe1024\loch\af1\hich\af1\dbch\af31501\noproof\insrsid14176447\charrsid7751748 \hich\af1\dbch\af31501\loch\f1 &lt;/Original&gt;}{\rtlch\fcs1 \af0 \ltrch\fcs0 \insrsid14176447\charrsid7751748 _x000d__x000a_\par }\pard\plain \ltrpar\s22\qc \li0\ri0\sb240\sa240\nowidctlpar\wrapdefault\aspalpha\aspnum\faauto\adjustright\rin0\lin0\itap0\pararsid14176447 \rtlch\fcs1 \af0\afs20\alang1025 \ltrch\fcs0 \i\fs24\lang2057\langfe2057\cgrid\langnp2057\langfenp2057 {_x000d__x000a_\rtlch\fcs1 \af0 \ltrch\fcs0 \cs17\i0\v\fs20\cf9\lang1024\langfe1024\loch\af1\hich\af1\dbch\af31501\noproof\insrsid14176447\charrsid7751748 \hich\af1\dbch\af31501\loch\f1 &lt;OptDel&gt;}{\rtlch\fcs1 \af0 \ltrch\fcs0 \insrsid14176447\charrsid7751748 #}{_x000d__x000a_\rtlch\fcs1 \af1 \ltrch\fcs0 \cs18\v\f1\fs20\cf15\insrsid14176447\charrsid7751748 MNU[CROSSREFNO][CROSSREFYES]@CHOICE@}{\rtlch\fcs1 \af0 \ltrch\fcs0 \insrsid14176447\charrsid7751748 #}{\rtlch\fcs1 \af0 \ltrch\fcs0 _x000d__x000a_\cs17\i0\v\fs20\cf9\lang1024\langfe1024\loch\af1\hich\af1\dbch\af31501\noproof\insrsid14176447\charrsid7751748 \hich\af1\dbch\af31501\loch\f1 &lt;/OptDel&gt;}{\rtlch\fcs1 \af0 \ltrch\fcs0 \insrsid14176447\charrsid7751748 _x000d__x000a_\par }\pard\plain \ltrpar\s23\qc \li0\ri0\sb240\sa240\keepn\nowidctlpar\wrapdefault\aspalpha\aspnum\faauto\adjustright\rin0\lin0\itap0\pararsid14176447 \rtlch\fcs1 \af0\afs20\alang1025 \ltrch\fcs0 \i\fs24\lang2057\langfe2057\cgrid\langnp2057\langfenp2057 {_x000d__x000a_\rtlch\fcs1 \af0 \ltrch\fcs0 \cs17\i0\v\fs20\cf9\lang1024\langfe1024\loch\af1\hich\af1\dbch\af31501\noproof\insrsid14176447\charrsid7751748 \hich\af1\dbch\af31501\loch\f1 &lt;TitreJust&gt;}{\rtlch\fcs1 \af0 \ltrch\fcs0 \insrsid14176447\charrsid7751748 _x000d__x000a_Justification}{\rtlch\fcs1 \af0 \ltrch\fcs0 \cs17\i0\v\fs20\cf9\lang1024\langfe1024\loch\af1\hich\af1\dbch\af31501\noproof\insrsid14176447\charrsid7751748 \hich\af1\dbch\af31501\loch\f1 &lt;/TitreJust&gt;}{\rtlch\fcs1 \af0 \ltrch\fcs0 _x000d__x000a_\insrsid14176447\charrsid7751748 _x000d__x000a_\par }\pard\plain \ltrpar\s21\ql \li0\ri0\sa240\nowidctlpar\wrapdefault\aspalpha\aspnum\faauto\adjustright\rin0\lin0\itap0\pararsid14176447 \rtlch\fcs1 \af0\afs20\alang1025 \ltrch\fcs0 \i\fs24\lang2057\langfe2057\cgrid\langnp2057\langfenp2057 {\rtlch\fcs1 _x000d__x000a_\af0 \ltrch\fcs0 \cs17\i0\v\fs20\cf9\lang1024\langfe1024\loch\af1\hich\af1\dbch\af31501\noproof\insrsid14176447\charrsid7751748 \hich\af1\dbch\af31501\loch\f1 &lt;OptDelPrev&gt;}{\rtlch\fcs1 \af0 \ltrch\fcs0 \insrsid14176447\charrsid7751748 #}{\rtlch\fcs1 \af1 _x000d__x000a_\ltrch\fcs0 \cs18\v\f1\fs20\cf15\insrsid14176447\charrsid7751748 MNU[TEXTJUSTYES][TEXTJUSTNO]@CHOICE@}{\rtlch\fcs1 \af0 \ltrch\fcs0 \insrsid14176447\charrsid7751748 #}{\rtlch\fcs1 \af0 \ltrch\fcs0 _x000d__x000a_\cs17\i0\v\fs20\cf9\lang1024\langfe1024\loch\af1\hich\af1\dbch\af31501\noproof\insrsid14176447\charrsid7751748 \hich\af1\dbch\af31501\loch\f1 &lt;/OptDelPrev&gt;}{\rtlch\fcs1 \af0 \ltrch\fcs0 \insrsid14176447\charrsid7751748 _x000d__x000a_\par }\pard\plain \ltrpar\ql \li0\ri0\widctlpar\wrapdefault\aspalpha\aspnum\faauto\adjustright\rin0\lin0\itap0\pararsid14176447 \rtlch\fcs1 \af0\afs20\alang1025 \ltrch\fcs0 \fs24\lang2057\langfe2057\cgrid\langnp2057\langfenp2057 {\rtlch\fcs1 \af0 \ltrch\fcs0 _x000d__x000a_\cs17\v\fs20\cf9\lang1024\langfe1024\loch\af1\hich\af1\dbch\af31501\noproof\insrsid14176447\charrsid7751748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5_x000d__x000a_ce47478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79"/>
    <w:docVar w:name="TXTAUTHOR" w:val="Alfred Sant"/>
    <w:docVar w:name="TXTLANGUE" w:val="PL"/>
    <w:docVar w:name="TXTLANGUEMIN" w:val="pl"/>
    <w:docVar w:name="TXTNRC" w:val="0415/2022"/>
    <w:docVar w:name="TXTNRCOD" w:val="2022/0405"/>
    <w:docVar w:name="TXTNRCOM" w:val="(2022)0760"/>
    <w:docVar w:name="TXTNRFIRSTAM" w:val="1"/>
    <w:docVar w:name="TXTNRLASTAM" w:val="1"/>
    <w:docVar w:name="TXTNRPE" w:val="749.149"/>
    <w:docVar w:name="TXTPEorAP" w:val="PE"/>
    <w:docVar w:name="TXTROUTE" w:val="PR\1279502PL.docx"/>
    <w:docVar w:name="TXTTITLE" w:val="amending Directive 2014/65/EU to make public capital markets in the Union more attractive for companies and to facilitate access to capital for small and medium-sized enterprises and repealing Directive 2001/34/EC"/>
    <w:docVar w:name="TXTVERSION" w:val="01-00"/>
  </w:docVars>
  <w:rsids>
    <w:rsidRoot w:val="006C4433"/>
    <w:rsid w:val="00011AAB"/>
    <w:rsid w:val="00012351"/>
    <w:rsid w:val="000139E5"/>
    <w:rsid w:val="00044C04"/>
    <w:rsid w:val="00060ADE"/>
    <w:rsid w:val="00084DD2"/>
    <w:rsid w:val="00084E89"/>
    <w:rsid w:val="000B7489"/>
    <w:rsid w:val="000C27D7"/>
    <w:rsid w:val="000F1096"/>
    <w:rsid w:val="00120948"/>
    <w:rsid w:val="00123DD5"/>
    <w:rsid w:val="001277AE"/>
    <w:rsid w:val="00142215"/>
    <w:rsid w:val="001767E2"/>
    <w:rsid w:val="00185438"/>
    <w:rsid w:val="00187008"/>
    <w:rsid w:val="001A42BF"/>
    <w:rsid w:val="001B3829"/>
    <w:rsid w:val="001C5592"/>
    <w:rsid w:val="001C5B44"/>
    <w:rsid w:val="001C6FFC"/>
    <w:rsid w:val="001F7C7C"/>
    <w:rsid w:val="00212B84"/>
    <w:rsid w:val="002346B0"/>
    <w:rsid w:val="00241E25"/>
    <w:rsid w:val="00254E63"/>
    <w:rsid w:val="002667C3"/>
    <w:rsid w:val="002669B6"/>
    <w:rsid w:val="00290BED"/>
    <w:rsid w:val="002A709D"/>
    <w:rsid w:val="002D13EE"/>
    <w:rsid w:val="002E33EE"/>
    <w:rsid w:val="002F40BB"/>
    <w:rsid w:val="002F4B02"/>
    <w:rsid w:val="00307FF5"/>
    <w:rsid w:val="00323EF8"/>
    <w:rsid w:val="003316DD"/>
    <w:rsid w:val="00356214"/>
    <w:rsid w:val="00362A31"/>
    <w:rsid w:val="00366A46"/>
    <w:rsid w:val="00370AC3"/>
    <w:rsid w:val="003824EE"/>
    <w:rsid w:val="003B4689"/>
    <w:rsid w:val="003C2068"/>
    <w:rsid w:val="003C37CF"/>
    <w:rsid w:val="003C6011"/>
    <w:rsid w:val="003C6222"/>
    <w:rsid w:val="003E21B1"/>
    <w:rsid w:val="004100B1"/>
    <w:rsid w:val="004107A9"/>
    <w:rsid w:val="00412D9F"/>
    <w:rsid w:val="00426E47"/>
    <w:rsid w:val="004373FD"/>
    <w:rsid w:val="00444E8F"/>
    <w:rsid w:val="00455743"/>
    <w:rsid w:val="00461601"/>
    <w:rsid w:val="0047455D"/>
    <w:rsid w:val="004C0915"/>
    <w:rsid w:val="004C6075"/>
    <w:rsid w:val="004D424E"/>
    <w:rsid w:val="004E205F"/>
    <w:rsid w:val="004E42C8"/>
    <w:rsid w:val="004E733D"/>
    <w:rsid w:val="004F3FA5"/>
    <w:rsid w:val="0050413F"/>
    <w:rsid w:val="0051240E"/>
    <w:rsid w:val="005124C5"/>
    <w:rsid w:val="0051271F"/>
    <w:rsid w:val="00516CD6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352B7"/>
    <w:rsid w:val="00642325"/>
    <w:rsid w:val="00646922"/>
    <w:rsid w:val="00666A32"/>
    <w:rsid w:val="0067256F"/>
    <w:rsid w:val="006A233C"/>
    <w:rsid w:val="006A2F5D"/>
    <w:rsid w:val="006A5F67"/>
    <w:rsid w:val="006C4433"/>
    <w:rsid w:val="006E0818"/>
    <w:rsid w:val="006F7907"/>
    <w:rsid w:val="00732358"/>
    <w:rsid w:val="00734AA7"/>
    <w:rsid w:val="00743189"/>
    <w:rsid w:val="00743D33"/>
    <w:rsid w:val="007932B3"/>
    <w:rsid w:val="00793EA9"/>
    <w:rsid w:val="007D490C"/>
    <w:rsid w:val="007D6F68"/>
    <w:rsid w:val="00805BC0"/>
    <w:rsid w:val="00823E6B"/>
    <w:rsid w:val="00826780"/>
    <w:rsid w:val="008354EA"/>
    <w:rsid w:val="00837CCD"/>
    <w:rsid w:val="008633CC"/>
    <w:rsid w:val="00865190"/>
    <w:rsid w:val="008719B9"/>
    <w:rsid w:val="00894ECE"/>
    <w:rsid w:val="00896BB4"/>
    <w:rsid w:val="008A0B7F"/>
    <w:rsid w:val="008A2B61"/>
    <w:rsid w:val="008A7FB8"/>
    <w:rsid w:val="008D0414"/>
    <w:rsid w:val="008D1A75"/>
    <w:rsid w:val="008E6A36"/>
    <w:rsid w:val="009022B8"/>
    <w:rsid w:val="00914537"/>
    <w:rsid w:val="00917CC4"/>
    <w:rsid w:val="009763DA"/>
    <w:rsid w:val="009975B3"/>
    <w:rsid w:val="009A2010"/>
    <w:rsid w:val="009A216D"/>
    <w:rsid w:val="009B4B93"/>
    <w:rsid w:val="009B7C24"/>
    <w:rsid w:val="009F24BE"/>
    <w:rsid w:val="009F6C2F"/>
    <w:rsid w:val="009F767A"/>
    <w:rsid w:val="00A10ACA"/>
    <w:rsid w:val="00A17F40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AF37F7"/>
    <w:rsid w:val="00B10CB4"/>
    <w:rsid w:val="00B13D6F"/>
    <w:rsid w:val="00B23B72"/>
    <w:rsid w:val="00B42702"/>
    <w:rsid w:val="00B57B8B"/>
    <w:rsid w:val="00B7110E"/>
    <w:rsid w:val="00B8005C"/>
    <w:rsid w:val="00B85407"/>
    <w:rsid w:val="00B95702"/>
    <w:rsid w:val="00BC6489"/>
    <w:rsid w:val="00BD38D6"/>
    <w:rsid w:val="00BD480C"/>
    <w:rsid w:val="00C20954"/>
    <w:rsid w:val="00C23324"/>
    <w:rsid w:val="00C42A41"/>
    <w:rsid w:val="00C47E74"/>
    <w:rsid w:val="00C57A72"/>
    <w:rsid w:val="00C64332"/>
    <w:rsid w:val="00C73602"/>
    <w:rsid w:val="00CF60C8"/>
    <w:rsid w:val="00D25F67"/>
    <w:rsid w:val="00D30DE2"/>
    <w:rsid w:val="00D32924"/>
    <w:rsid w:val="00D4703E"/>
    <w:rsid w:val="00D503A3"/>
    <w:rsid w:val="00D53A2D"/>
    <w:rsid w:val="00D91B34"/>
    <w:rsid w:val="00DA6ED0"/>
    <w:rsid w:val="00DC5011"/>
    <w:rsid w:val="00DF223A"/>
    <w:rsid w:val="00E1685F"/>
    <w:rsid w:val="00E171B6"/>
    <w:rsid w:val="00E2158C"/>
    <w:rsid w:val="00E72695"/>
    <w:rsid w:val="00EB1753"/>
    <w:rsid w:val="00EB40C1"/>
    <w:rsid w:val="00EB6CFF"/>
    <w:rsid w:val="00EE3996"/>
    <w:rsid w:val="00EF2F2D"/>
    <w:rsid w:val="00EF317B"/>
    <w:rsid w:val="00F07062"/>
    <w:rsid w:val="00F23CFC"/>
    <w:rsid w:val="00F433E2"/>
    <w:rsid w:val="00F62DDF"/>
    <w:rsid w:val="00F830FF"/>
    <w:rsid w:val="00F904AE"/>
    <w:rsid w:val="00F934F8"/>
    <w:rsid w:val="00FA07DC"/>
    <w:rsid w:val="00FB1F3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808D6-2762-4DEB-92EA-41CE175C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66A3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66A3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66A32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4373F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4373F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373FD"/>
    <w:rPr>
      <w:b/>
      <w:sz w:val="24"/>
    </w:rPr>
  </w:style>
  <w:style w:type="paragraph" w:customStyle="1" w:styleId="Normal12Italic">
    <w:name w:val="Normal12Italic"/>
    <w:basedOn w:val="Normal"/>
    <w:rsid w:val="004373F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373F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4373F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373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373FD"/>
    <w:pPr>
      <w:jc w:val="right"/>
    </w:pPr>
  </w:style>
  <w:style w:type="paragraph" w:styleId="Footer">
    <w:name w:val="footer"/>
    <w:basedOn w:val="Normal"/>
    <w:link w:val="FooterChar"/>
    <w:semiHidden/>
    <w:rsid w:val="004373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373FD"/>
    <w:rPr>
      <w:sz w:val="24"/>
    </w:rPr>
  </w:style>
  <w:style w:type="paragraph" w:styleId="ListParagraph">
    <w:name w:val="List Paragraph"/>
    <w:basedOn w:val="Normal"/>
    <w:uiPriority w:val="34"/>
    <w:qFormat/>
    <w:rsid w:val="00EB40C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-parag">
    <w:name w:val="no-parag"/>
    <w:basedOn w:val="DefaultParagraphFont"/>
    <w:rsid w:val="00F62DDF"/>
  </w:style>
  <w:style w:type="paragraph" w:styleId="BalloonText">
    <w:name w:val="Balloon Text"/>
    <w:basedOn w:val="Normal"/>
    <w:link w:val="BalloonTextChar"/>
    <w:semiHidden/>
    <w:unhideWhenUsed/>
    <w:rsid w:val="002A7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709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12D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2D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2D9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2D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2D9F"/>
    <w:rPr>
      <w:b/>
      <w:bCs/>
    </w:rPr>
  </w:style>
  <w:style w:type="paragraph" w:styleId="Revision">
    <w:name w:val="Revision"/>
    <w:hidden/>
    <w:uiPriority w:val="99"/>
    <w:semiHidden/>
    <w:rsid w:val="00412D9F"/>
    <w:rPr>
      <w:sz w:val="24"/>
    </w:rPr>
  </w:style>
  <w:style w:type="paragraph" w:styleId="FootnoteText">
    <w:name w:val="footnote text"/>
    <w:basedOn w:val="Normal"/>
    <w:link w:val="FootnoteTextChar"/>
    <w:rsid w:val="00EF2F2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F2F2D"/>
  </w:style>
  <w:style w:type="character" w:styleId="FootnoteReference">
    <w:name w:val="footnote reference"/>
    <w:basedOn w:val="DefaultParagraphFont"/>
    <w:rsid w:val="00EF2F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74DC4-309A-47D3-B2CB-C4C23A7D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3461</Words>
  <Characters>23470</Characters>
  <Application>Microsoft Office Word</Application>
  <DocSecurity>0</DocSecurity>
  <Lines>733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CHIGNESSE Regine</dc:creator>
  <cp:lastModifiedBy>WOJCIECHOWSKA Joanna</cp:lastModifiedBy>
  <cp:revision>2</cp:revision>
  <cp:lastPrinted>2004-11-04T09:41:00Z</cp:lastPrinted>
  <dcterms:created xsi:type="dcterms:W3CDTF">2023-06-29T12:10:00Z</dcterms:created>
  <dcterms:modified xsi:type="dcterms:W3CDTF">2023-06-29T12:10:00Z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1279502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PR\1279502PL.docx</vt:lpwstr>
  </property>
  <property fmtid="{D5CDD505-2E9C-101B-9397-08002B2CF9AE}" pid="10" name="LastEdited with">
    <vt:lpwstr>9.15.0 Build [20230501]</vt:lpwstr>
  </property>
  <property fmtid="{D5CDD505-2E9C-101B-9397-08002B2CF9AE}" pid="11" name="PE number">
    <vt:lpwstr>749.149</vt:lpwstr>
  </property>
  <property fmtid="{D5CDD505-2E9C-101B-9397-08002B2CF9AE}" pid="12" name="SDLStudio">
    <vt:lpwstr/>
  </property>
  <property fmtid="{D5CDD505-2E9C-101B-9397-08002B2CF9AE}" pid="13" name="SendToEpades">
    <vt:lpwstr>OK - 2023/06/14 13:42</vt:lpwstr>
  </property>
  <property fmtid="{D5CDD505-2E9C-101B-9397-08002B2CF9AE}" pid="14" name="Bookout">
    <vt:lpwstr>OK - 2023/06/29 14:10</vt:lpwstr>
  </property>
</Properties>
</file>