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81060C" w:rsidRPr="007C447B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13D6F" w:rsidRPr="007C447B" w:rsidRDefault="00716240" w:rsidP="00C85D0F">
            <w:pPr>
              <w:pStyle w:val="EPName"/>
            </w:pPr>
            <w:bookmarkStart w:id="0" w:name="_GoBack"/>
            <w:bookmarkEnd w:id="0"/>
            <w:r w:rsidRPr="007C447B">
              <w:t>Európsky parlament</w:t>
            </w:r>
          </w:p>
          <w:p w:rsidR="00B13D6F" w:rsidRPr="007C447B" w:rsidRDefault="00716240" w:rsidP="00683478">
            <w:pPr>
              <w:pStyle w:val="EPTerm"/>
            </w:pPr>
            <w:r w:rsidRPr="007C447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B13D6F" w:rsidRPr="007C447B" w:rsidRDefault="00716240" w:rsidP="00C85D0F">
            <w:pPr>
              <w:pStyle w:val="EPLogo"/>
            </w:pPr>
            <w:r w:rsidRPr="007C447B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1601" w:rsidRPr="007C447B" w:rsidRDefault="00461601" w:rsidP="00461601">
      <w:pPr>
        <w:pStyle w:val="LineTop"/>
      </w:pPr>
    </w:p>
    <w:p w:rsidR="00461601" w:rsidRPr="007C447B" w:rsidRDefault="00716240" w:rsidP="00461601">
      <w:pPr>
        <w:pStyle w:val="EPBody"/>
      </w:pPr>
      <w:r w:rsidRPr="007C447B">
        <w:rPr>
          <w:rStyle w:val="HideTWBExt"/>
        </w:rPr>
        <w:t>&lt;</w:t>
      </w:r>
      <w:r w:rsidRPr="007C447B">
        <w:rPr>
          <w:rStyle w:val="HideTWBExt"/>
          <w:i w:val="0"/>
        </w:rPr>
        <w:t>Commission</w:t>
      </w:r>
      <w:r w:rsidRPr="007C447B">
        <w:rPr>
          <w:rStyle w:val="HideTWBExt"/>
        </w:rPr>
        <w:t>&gt;</w:t>
      </w:r>
      <w:r w:rsidRPr="007C447B">
        <w:rPr>
          <w:rStyle w:val="HideTWBInt"/>
          <w:color w:val="auto"/>
        </w:rPr>
        <w:t>{ECON}</w:t>
      </w:r>
      <w:r w:rsidRPr="007C447B">
        <w:t>Výbor pre hospodárske a menové veci</w:t>
      </w:r>
      <w:r w:rsidRPr="007C447B">
        <w:rPr>
          <w:rStyle w:val="HideTWBExt"/>
        </w:rPr>
        <w:t>&lt;/</w:t>
      </w:r>
      <w:r w:rsidRPr="007C447B">
        <w:rPr>
          <w:rStyle w:val="HideTWBExt"/>
          <w:i w:val="0"/>
        </w:rPr>
        <w:t>Commission</w:t>
      </w:r>
      <w:r w:rsidRPr="007C447B">
        <w:rPr>
          <w:rStyle w:val="HideTWBExt"/>
        </w:rPr>
        <w:t>&gt;</w:t>
      </w:r>
    </w:p>
    <w:p w:rsidR="00461601" w:rsidRPr="007C447B" w:rsidRDefault="00461601" w:rsidP="00461601">
      <w:pPr>
        <w:pStyle w:val="LineBottom"/>
      </w:pPr>
    </w:p>
    <w:p w:rsidR="00793EA9" w:rsidRPr="007C447B" w:rsidRDefault="00716240">
      <w:pPr>
        <w:pStyle w:val="CoverReference"/>
      </w:pPr>
      <w:r w:rsidRPr="007C447B">
        <w:rPr>
          <w:rStyle w:val="HideTWBExt"/>
          <w:b w:val="0"/>
        </w:rPr>
        <w:t>&lt;RefProc&gt;</w:t>
      </w:r>
      <w:r w:rsidRPr="007C447B">
        <w:t>2022/0404</w:t>
      </w:r>
      <w:r w:rsidRPr="007C447B">
        <w:rPr>
          <w:rStyle w:val="HideTWBExt"/>
          <w:b w:val="0"/>
        </w:rPr>
        <w:t>&lt;/RefProc&gt;&lt;RefTypeProc&gt;</w:t>
      </w:r>
      <w:r w:rsidRPr="007C447B">
        <w:t>(COD)</w:t>
      </w:r>
      <w:r w:rsidRPr="007C447B">
        <w:rPr>
          <w:rStyle w:val="HideTWBExt"/>
          <w:b w:val="0"/>
        </w:rPr>
        <w:t>&lt;/RefTypeProc&gt;</w:t>
      </w:r>
    </w:p>
    <w:p w:rsidR="00793EA9" w:rsidRPr="007C447B" w:rsidRDefault="00716240">
      <w:pPr>
        <w:pStyle w:val="CoverDate"/>
      </w:pPr>
      <w:r w:rsidRPr="007C447B">
        <w:rPr>
          <w:rStyle w:val="HideTWBExt"/>
        </w:rPr>
        <w:t>&lt;Date&gt;</w:t>
      </w:r>
      <w:r w:rsidRPr="007C447B">
        <w:rPr>
          <w:rStyle w:val="HideTWBInt"/>
          <w:color w:val="auto"/>
        </w:rPr>
        <w:t>{09/06/2023}</w:t>
      </w:r>
      <w:r w:rsidRPr="007C447B">
        <w:t>9.6.2023</w:t>
      </w:r>
      <w:r w:rsidRPr="007C447B">
        <w:rPr>
          <w:rStyle w:val="HideTWBExt"/>
        </w:rPr>
        <w:t>&lt;/Date&gt;</w:t>
      </w:r>
    </w:p>
    <w:p w:rsidR="00793EA9" w:rsidRPr="007C447B" w:rsidRDefault="00716240">
      <w:pPr>
        <w:pStyle w:val="CoverDocType"/>
      </w:pPr>
      <w:r w:rsidRPr="007C447B">
        <w:rPr>
          <w:rStyle w:val="HideTWBExt"/>
          <w:b w:val="0"/>
        </w:rPr>
        <w:t>&lt;RefProcLect&gt;</w:t>
      </w:r>
      <w:r w:rsidRPr="007C447B">
        <w:t>***I</w:t>
      </w:r>
      <w:r w:rsidRPr="007C447B">
        <w:rPr>
          <w:rStyle w:val="HideTWBExt"/>
          <w:b w:val="0"/>
        </w:rPr>
        <w:t>&lt;/RefProcLect&gt;</w:t>
      </w:r>
    </w:p>
    <w:p w:rsidR="00793EA9" w:rsidRPr="007C447B" w:rsidRDefault="00716240">
      <w:pPr>
        <w:pStyle w:val="CoverDocType24a"/>
      </w:pPr>
      <w:r w:rsidRPr="007C447B">
        <w:rPr>
          <w:rStyle w:val="HideTWBExt"/>
          <w:b w:val="0"/>
        </w:rPr>
        <w:t>&lt;TitreType&gt;</w:t>
      </w:r>
      <w:r w:rsidRPr="007C447B">
        <w:t>NÁVRH SPRÁVY</w:t>
      </w:r>
      <w:r w:rsidRPr="007C447B">
        <w:rPr>
          <w:rStyle w:val="HideTWBExt"/>
          <w:b w:val="0"/>
        </w:rPr>
        <w:t>&lt;/TitreType&gt;</w:t>
      </w:r>
    </w:p>
    <w:p w:rsidR="00793EA9" w:rsidRPr="007C447B" w:rsidRDefault="00716240">
      <w:pPr>
        <w:pStyle w:val="CoverNormal"/>
      </w:pPr>
      <w:r w:rsidRPr="007C447B">
        <w:rPr>
          <w:rStyle w:val="HideTWBExt"/>
        </w:rPr>
        <w:t>&lt;Titre&gt;</w:t>
      </w:r>
      <w:r w:rsidRPr="007C447B">
        <w:t>o návrhu smernice Európskeho parlamentu a Rady, ktorou sa menia smernice 2009/65/EÚ, 2013/36/EÚ a (EÚ) 2019/2034, pokiaľ ide o zaobchádzanie s rizikom koncentrácie voči centrálnym protistranám a s rizikom protistrany pri centrálne zúčto</w:t>
      </w:r>
      <w:r w:rsidRPr="007C447B">
        <w:t>vávaných transakciách s derivátmi</w:t>
      </w:r>
      <w:r w:rsidRPr="007C447B">
        <w:rPr>
          <w:rStyle w:val="HideTWBExt"/>
        </w:rPr>
        <w:t>&lt;/Titre&gt;</w:t>
      </w:r>
    </w:p>
    <w:p w:rsidR="00793EA9" w:rsidRPr="007C447B" w:rsidRDefault="00716240">
      <w:pPr>
        <w:pStyle w:val="CoverNormal24a"/>
      </w:pPr>
      <w:r w:rsidRPr="007C447B">
        <w:rPr>
          <w:rStyle w:val="HideTWBExt"/>
        </w:rPr>
        <w:t>&lt;DocRef&gt;</w:t>
      </w:r>
      <w:r w:rsidRPr="007C447B">
        <w:t>(COM(2022)0698 – C9</w:t>
      </w:r>
      <w:r w:rsidRPr="007C447B">
        <w:noBreakHyphen/>
        <w:t>0411/2022 – 2022/0404(COD))</w:t>
      </w:r>
      <w:r w:rsidRPr="007C447B">
        <w:rPr>
          <w:rStyle w:val="HideTWBExt"/>
        </w:rPr>
        <w:t>&lt;/DocRef&gt;</w:t>
      </w:r>
    </w:p>
    <w:p w:rsidR="00793EA9" w:rsidRPr="007C447B" w:rsidRDefault="00716240">
      <w:pPr>
        <w:pStyle w:val="CoverNormal24a"/>
      </w:pPr>
      <w:r w:rsidRPr="007C447B">
        <w:rPr>
          <w:rStyle w:val="HideTWBExt"/>
        </w:rPr>
        <w:t>&lt;Commission&gt;</w:t>
      </w:r>
      <w:r w:rsidRPr="007C447B">
        <w:rPr>
          <w:rStyle w:val="HideTWBInt"/>
          <w:color w:val="auto"/>
        </w:rPr>
        <w:t>{ECON}</w:t>
      </w:r>
      <w:r w:rsidRPr="007C447B">
        <w:t>Výbor pre hospodárske a menové veci</w:t>
      </w:r>
      <w:r w:rsidRPr="007C447B">
        <w:rPr>
          <w:rStyle w:val="HideTWBExt"/>
        </w:rPr>
        <w:t>&lt;/Commission&gt;</w:t>
      </w:r>
    </w:p>
    <w:p w:rsidR="00793EA9" w:rsidRPr="007C447B" w:rsidRDefault="00716240">
      <w:pPr>
        <w:pStyle w:val="CoverNormal24a"/>
      </w:pPr>
      <w:r w:rsidRPr="007C447B">
        <w:t xml:space="preserve">Spravodajkyňa výboru požiadaného o stanovisko: </w:t>
      </w:r>
      <w:r w:rsidRPr="007C447B">
        <w:rPr>
          <w:rStyle w:val="HideTWBExt"/>
        </w:rPr>
        <w:t>&lt;Depute&gt;</w:t>
      </w:r>
      <w:r w:rsidRPr="007C447B">
        <w:t>Danuta Maria Hübner</w:t>
      </w:r>
      <w:r w:rsidRPr="007C447B">
        <w:rPr>
          <w:rStyle w:val="HideTWBExt"/>
        </w:rPr>
        <w:t>&lt;/Depute&gt;</w:t>
      </w:r>
    </w:p>
    <w:p w:rsidR="001C5B44" w:rsidRPr="007C447B" w:rsidRDefault="001C5B44" w:rsidP="001C5B44">
      <w:pPr>
        <w:pStyle w:val="CoverNormal"/>
      </w:pPr>
    </w:p>
    <w:p w:rsidR="00683478" w:rsidRPr="007C447B" w:rsidRDefault="00716240" w:rsidP="00894923">
      <w:r w:rsidRPr="007C447B">
        <w:br w:type="page"/>
      </w:r>
      <w:fldSimple w:instr=" TITLE  \* MERGEFORMAT ">
        <w:r>
          <w:t>PR_COD_1amCom</w:t>
        </w:r>
      </w:fldSimple>
    </w:p>
    <w:p w:rsidR="00683478" w:rsidRPr="007C447B" w:rsidRDefault="00683478" w:rsidP="00894923"/>
    <w:p w:rsidR="00683478" w:rsidRPr="007C447B" w:rsidRDefault="00683478" w:rsidP="00894923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81060C" w:rsidRPr="007C447B">
        <w:tc>
          <w:tcPr>
            <w:tcW w:w="5811" w:type="dxa"/>
          </w:tcPr>
          <w:p w:rsidR="00683478" w:rsidRPr="007C447B" w:rsidRDefault="00716240" w:rsidP="00894923">
            <w:pPr>
              <w:pStyle w:val="Lgendetitre"/>
            </w:pPr>
            <w:r w:rsidRPr="007C447B">
              <w:t>Označenie postupov</w:t>
            </w:r>
          </w:p>
        </w:tc>
      </w:tr>
      <w:tr w:rsidR="0081060C" w:rsidRPr="007C447B" w:rsidTr="007452CB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683478" w:rsidRPr="007C447B" w:rsidRDefault="00716240" w:rsidP="003506ED">
            <w:pPr>
              <w:pStyle w:val="Lgendesigne"/>
            </w:pPr>
            <w:r w:rsidRPr="007C447B">
              <w:tab/>
              <w:t>*</w:t>
            </w:r>
            <w:r w:rsidRPr="007C447B">
              <w:tab/>
              <w:t>Konzultácia</w:t>
            </w:r>
          </w:p>
          <w:p w:rsidR="00683478" w:rsidRPr="007C447B" w:rsidRDefault="00716240" w:rsidP="003506ED">
            <w:pPr>
              <w:pStyle w:val="Lgendesigne"/>
            </w:pPr>
            <w:r w:rsidRPr="007C447B">
              <w:tab/>
              <w:t>***</w:t>
            </w:r>
            <w:r w:rsidRPr="007C447B">
              <w:tab/>
              <w:t>Súhlas</w:t>
            </w:r>
          </w:p>
          <w:p w:rsidR="00683478" w:rsidRPr="007C447B" w:rsidRDefault="00716240" w:rsidP="003506ED">
            <w:pPr>
              <w:pStyle w:val="Lgendesigne"/>
            </w:pPr>
            <w:r w:rsidRPr="007C447B">
              <w:tab/>
              <w:t>***I</w:t>
            </w:r>
            <w:r w:rsidRPr="007C447B">
              <w:tab/>
              <w:t>Riadny legislatívny postup (prvé čítanie)</w:t>
            </w:r>
          </w:p>
          <w:p w:rsidR="00683478" w:rsidRPr="007C447B" w:rsidRDefault="00716240" w:rsidP="003506ED">
            <w:pPr>
              <w:pStyle w:val="Lgendesigne"/>
            </w:pPr>
            <w:r w:rsidRPr="007C447B">
              <w:tab/>
              <w:t>***II</w:t>
            </w:r>
            <w:r w:rsidRPr="007C447B">
              <w:tab/>
              <w:t>Riadny legislatívny postup (druhé čítanie)</w:t>
            </w:r>
          </w:p>
          <w:p w:rsidR="00683478" w:rsidRPr="007C447B" w:rsidRDefault="00716240" w:rsidP="003506ED">
            <w:pPr>
              <w:pStyle w:val="Lgendesigne"/>
            </w:pPr>
            <w:r w:rsidRPr="007C447B">
              <w:tab/>
              <w:t>***III</w:t>
            </w:r>
            <w:r w:rsidRPr="007C447B">
              <w:tab/>
              <w:t>Riadny legislatívny postup (tretie čítanie)</w:t>
            </w:r>
          </w:p>
          <w:p w:rsidR="00683478" w:rsidRPr="007C447B" w:rsidRDefault="00683478" w:rsidP="003506ED">
            <w:pPr>
              <w:pStyle w:val="Lgendestandard"/>
            </w:pPr>
          </w:p>
          <w:p w:rsidR="00683478" w:rsidRPr="007C447B" w:rsidRDefault="00716240" w:rsidP="003506ED">
            <w:pPr>
              <w:pStyle w:val="Lgendestandard"/>
            </w:pPr>
            <w:r w:rsidRPr="007C447B">
              <w:t>(Typ</w:t>
            </w:r>
            <w:r w:rsidRPr="007C447B">
              <w:t xml:space="preserve"> postupu závisí od právneho základu navrhnutého v návrhu aktu.)</w:t>
            </w:r>
          </w:p>
          <w:p w:rsidR="00683478" w:rsidRPr="007C447B" w:rsidRDefault="00683478" w:rsidP="00B54EAF">
            <w:pPr>
              <w:pStyle w:val="Lgendestandard"/>
            </w:pPr>
          </w:p>
        </w:tc>
      </w:tr>
    </w:tbl>
    <w:p w:rsidR="00683478" w:rsidRPr="007C447B" w:rsidRDefault="00683478" w:rsidP="00894923"/>
    <w:p w:rsidR="00683478" w:rsidRPr="007C447B" w:rsidRDefault="00683478" w:rsidP="00894923"/>
    <w:p w:rsidR="00683478" w:rsidRPr="007C447B" w:rsidRDefault="00683478" w:rsidP="00894923"/>
    <w:p w:rsidR="00683478" w:rsidRPr="007C447B" w:rsidRDefault="00683478" w:rsidP="00894923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81060C" w:rsidRPr="007C447B">
        <w:tc>
          <w:tcPr>
            <w:tcW w:w="5811" w:type="dxa"/>
          </w:tcPr>
          <w:p w:rsidR="00683478" w:rsidRPr="007C447B" w:rsidRDefault="00716240" w:rsidP="00894923">
            <w:pPr>
              <w:pStyle w:val="Lgendetitre"/>
            </w:pPr>
            <w:r w:rsidRPr="007C447B">
              <w:t>Pozmeňujúce návrhy k návrhu aktu</w:t>
            </w:r>
          </w:p>
        </w:tc>
      </w:tr>
      <w:tr w:rsidR="0081060C" w:rsidRPr="007C447B" w:rsidTr="00554250">
        <w:trPr>
          <w:trHeight w:val="4496"/>
        </w:trPr>
        <w:tc>
          <w:tcPr>
            <w:tcW w:w="5811" w:type="dxa"/>
          </w:tcPr>
          <w:p w:rsidR="00683478" w:rsidRPr="007C447B" w:rsidRDefault="00716240" w:rsidP="003506ED">
            <w:pPr>
              <w:pStyle w:val="Lgendestandard"/>
              <w:rPr>
                <w:szCs w:val="24"/>
              </w:rPr>
            </w:pPr>
            <w:r w:rsidRPr="007C447B">
              <w:rPr>
                <w:b/>
              </w:rPr>
              <w:t>Pozmeňujúce návrhy Európskeho parlamentu v dvoch stĺpcoch</w:t>
            </w:r>
          </w:p>
          <w:p w:rsidR="00683478" w:rsidRPr="007C447B" w:rsidRDefault="00683478" w:rsidP="003506ED">
            <w:pPr>
              <w:pStyle w:val="Lgendestandard"/>
              <w:rPr>
                <w:szCs w:val="24"/>
              </w:rPr>
            </w:pPr>
          </w:p>
          <w:p w:rsidR="00683478" w:rsidRPr="007C447B" w:rsidRDefault="00716240" w:rsidP="003506ED">
            <w:pPr>
              <w:pStyle w:val="Lgendestandard"/>
              <w:rPr>
                <w:szCs w:val="24"/>
              </w:rPr>
            </w:pPr>
            <w:r w:rsidRPr="007C447B">
              <w:t xml:space="preserve">Vypustenia sa označujú </w:t>
            </w:r>
            <w:r w:rsidRPr="007C447B">
              <w:rPr>
                <w:b/>
                <w:bCs/>
                <w:i/>
                <w:iCs/>
              </w:rPr>
              <w:t>hrubou kurzívou</w:t>
            </w:r>
            <w:r w:rsidRPr="007C447B">
              <w:t xml:space="preserve"> v ľavom stĺpci. Nahradenia sa označujú </w:t>
            </w:r>
            <w:r w:rsidRPr="007C447B">
              <w:rPr>
                <w:b/>
                <w:bCs/>
                <w:i/>
                <w:iCs/>
              </w:rPr>
              <w:t>hrubou kurzívou</w:t>
            </w:r>
            <w:r w:rsidRPr="007C447B">
              <w:t xml:space="preserve"> v oboch stĺpcoch. Nový text sa označuje </w:t>
            </w:r>
            <w:r w:rsidRPr="007C447B">
              <w:rPr>
                <w:b/>
                <w:bCs/>
                <w:i/>
                <w:iCs/>
              </w:rPr>
              <w:t>hrubou kurzívou</w:t>
            </w:r>
            <w:r w:rsidRPr="007C447B">
              <w:t xml:space="preserve"> v pravom stĺpci.</w:t>
            </w:r>
          </w:p>
          <w:p w:rsidR="00683478" w:rsidRPr="007C447B" w:rsidRDefault="00683478" w:rsidP="003506ED">
            <w:pPr>
              <w:pStyle w:val="Lgendestandard"/>
              <w:rPr>
                <w:szCs w:val="24"/>
              </w:rPr>
            </w:pPr>
          </w:p>
          <w:p w:rsidR="00683478" w:rsidRPr="007C447B" w:rsidRDefault="00716240" w:rsidP="003506ED">
            <w:pPr>
              <w:pStyle w:val="Lgendestandard"/>
              <w:rPr>
                <w:szCs w:val="24"/>
              </w:rPr>
            </w:pPr>
            <w:r w:rsidRPr="007C447B">
              <w:t>Prvý a druhý riadok záhlavia každého pozmeňujúceho návrhu vymedzujú príslušnú časť v návrhu aktu predloženého na prerokovanie. Ak sa pozmeňujúci návrh týka platného aktu, ktorý sa m</w:t>
            </w:r>
            <w:r w:rsidRPr="007C447B">
              <w:t>á návrhom aktu zmeniť, záhlavie navyše obsahuje tretí riadok uvádzajúci platný akt a štvrtý riadok uvádzajúci príslušné ustanovenie tohto aktu.</w:t>
            </w:r>
          </w:p>
          <w:p w:rsidR="00683478" w:rsidRPr="007C447B" w:rsidRDefault="00683478" w:rsidP="003506ED">
            <w:pPr>
              <w:pStyle w:val="Lgendestandard"/>
              <w:rPr>
                <w:szCs w:val="24"/>
              </w:rPr>
            </w:pPr>
          </w:p>
          <w:p w:rsidR="00683478" w:rsidRPr="007C447B" w:rsidRDefault="00716240" w:rsidP="003506ED">
            <w:pPr>
              <w:pStyle w:val="Lgendestandard"/>
              <w:rPr>
                <w:b/>
                <w:szCs w:val="24"/>
              </w:rPr>
            </w:pPr>
            <w:r w:rsidRPr="007C447B">
              <w:rPr>
                <w:b/>
              </w:rPr>
              <w:t>Pozmeňujúce návrhy Európskeho parlamentu v podobe konsolidovaného textu</w:t>
            </w:r>
          </w:p>
          <w:p w:rsidR="00683478" w:rsidRPr="007C447B" w:rsidRDefault="00683478" w:rsidP="003506ED">
            <w:pPr>
              <w:pStyle w:val="Lgendestandard"/>
              <w:rPr>
                <w:szCs w:val="24"/>
              </w:rPr>
            </w:pPr>
          </w:p>
          <w:p w:rsidR="00683478" w:rsidRPr="007C447B" w:rsidRDefault="00716240" w:rsidP="003506ED">
            <w:pPr>
              <w:pStyle w:val="Lgendestandard"/>
              <w:rPr>
                <w:szCs w:val="24"/>
              </w:rPr>
            </w:pPr>
            <w:r w:rsidRPr="007C447B">
              <w:t xml:space="preserve">Nové časti textov sa označujú </w:t>
            </w:r>
            <w:r w:rsidRPr="007C447B">
              <w:rPr>
                <w:b/>
                <w:bCs/>
                <w:i/>
                <w:iCs/>
              </w:rPr>
              <w:t>hrubou k</w:t>
            </w:r>
            <w:r w:rsidRPr="007C447B">
              <w:rPr>
                <w:b/>
                <w:bCs/>
                <w:i/>
                <w:iCs/>
              </w:rPr>
              <w:t>urzívou</w:t>
            </w:r>
            <w:r w:rsidRPr="007C447B">
              <w:t xml:space="preserve">. Vypustené časti textu sa označujú symbolom ▌ alebo sa prečiarkujú. V prípade nahradenia sa nový text vyznačí </w:t>
            </w:r>
            <w:r w:rsidRPr="007C447B">
              <w:rPr>
                <w:b/>
                <w:bCs/>
                <w:i/>
                <w:iCs/>
              </w:rPr>
              <w:t>hrubou kurzívou</w:t>
            </w:r>
            <w:r w:rsidRPr="007C447B">
              <w:t xml:space="preserve"> a nahradený text sa vymaže alebo sa prečiarkne. </w:t>
            </w:r>
          </w:p>
          <w:p w:rsidR="00683478" w:rsidRPr="007C447B" w:rsidRDefault="00716240" w:rsidP="003506ED">
            <w:pPr>
              <w:pStyle w:val="Lgendestandard"/>
            </w:pPr>
            <w:r w:rsidRPr="007C447B">
              <w:t>Čisto technické zmeny, ktoré vykonávajú útvary s cieľom vypracovať konečn</w:t>
            </w:r>
            <w:r w:rsidRPr="007C447B">
              <w:t>ý text, sa však nevyznačujú.</w:t>
            </w:r>
          </w:p>
          <w:p w:rsidR="00683478" w:rsidRPr="007C447B" w:rsidRDefault="00683478" w:rsidP="0069092A">
            <w:pPr>
              <w:pStyle w:val="Lgendestandard"/>
            </w:pPr>
          </w:p>
        </w:tc>
      </w:tr>
    </w:tbl>
    <w:p w:rsidR="00683478" w:rsidRPr="007C447B" w:rsidRDefault="00683478" w:rsidP="00894923"/>
    <w:p w:rsidR="00793EA9" w:rsidRPr="007C447B" w:rsidRDefault="00793EA9" w:rsidP="00012351">
      <w:pPr>
        <w:widowControl/>
        <w:tabs>
          <w:tab w:val="center" w:pos="4677"/>
        </w:tabs>
      </w:pPr>
    </w:p>
    <w:p w:rsidR="00793EA9" w:rsidRPr="007C447B" w:rsidRDefault="00716240">
      <w:pPr>
        <w:pStyle w:val="TOCHeading"/>
      </w:pPr>
      <w:r w:rsidRPr="007C447B">
        <w:br w:type="page"/>
      </w:r>
      <w:r w:rsidRPr="007C447B">
        <w:lastRenderedPageBreak/>
        <w:t>OBSAH</w:t>
      </w:r>
    </w:p>
    <w:p w:rsidR="00793EA9" w:rsidRPr="007C447B" w:rsidRDefault="00716240">
      <w:pPr>
        <w:pStyle w:val="TOCPage"/>
      </w:pPr>
      <w:r w:rsidRPr="007C447B">
        <w:t>Strana</w:t>
      </w:r>
    </w:p>
    <w:p w:rsidR="00716240" w:rsidRDefault="00716240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7C447B">
        <w:rPr>
          <w:b/>
        </w:rPr>
        <w:fldChar w:fldCharType="begin"/>
      </w:r>
      <w:r w:rsidRPr="007C447B">
        <w:rPr>
          <w:b/>
        </w:rPr>
        <w:instrText xml:space="preserve"> TOC \t "PageHeading</w:instrText>
      </w:r>
      <w:r w:rsidR="00242AB6" w:rsidRPr="007C447B">
        <w:rPr>
          <w:b/>
        </w:rPr>
        <w:instrText>;</w:instrText>
      </w:r>
      <w:r w:rsidRPr="007C447B">
        <w:rPr>
          <w:b/>
        </w:rPr>
        <w:instrText xml:space="preserve">1" </w:instrText>
      </w:r>
      <w:r w:rsidRPr="007C447B">
        <w:rPr>
          <w:b/>
        </w:rPr>
        <w:fldChar w:fldCharType="separate"/>
      </w:r>
      <w:r>
        <w:rPr>
          <w:noProof/>
        </w:rPr>
        <w:t>NÁVRH LEGISLATÍVNEHO UZNESENIA EURÓPSKEHO PARLAMENTU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_Toc138669788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346B0" w:rsidRPr="007C447B" w:rsidRDefault="00716240" w:rsidP="00C23324">
      <w:r w:rsidRPr="007C447B">
        <w:rPr>
          <w:b/>
        </w:rPr>
        <w:fldChar w:fldCharType="end"/>
      </w:r>
    </w:p>
    <w:p w:rsidR="00793EA9" w:rsidRPr="007C447B" w:rsidRDefault="00716240">
      <w:pPr>
        <w:pStyle w:val="PageHeading"/>
      </w:pPr>
      <w:r w:rsidRPr="007C447B">
        <w:br w:type="page"/>
      </w:r>
      <w:r w:rsidRPr="007C447B">
        <w:lastRenderedPageBreak/>
        <w:br w:type="page"/>
      </w:r>
      <w:bookmarkStart w:id="1" w:name="_Toc138669788"/>
      <w:r w:rsidRPr="007C447B">
        <w:lastRenderedPageBreak/>
        <w:t>NÁVRH LEGISLATÍVNEHO UZNESENIA EURÓPSKEHO PARLAMENTU</w:t>
      </w:r>
      <w:bookmarkEnd w:id="1"/>
    </w:p>
    <w:p w:rsidR="00793EA9" w:rsidRPr="007C447B" w:rsidRDefault="00716240" w:rsidP="006665AE">
      <w:pPr>
        <w:pStyle w:val="NormalBold"/>
      </w:pPr>
      <w:r w:rsidRPr="007C447B">
        <w:t xml:space="preserve">o návrhu smernice Európskeho parlamentu a Rady, ktorou sa menia smernice 2009/65/EÚ, 2013/36/EÚ a (EÚ) 2019/2034, pokiaľ ide o </w:t>
      </w:r>
      <w:r w:rsidRPr="007C447B">
        <w:t>zaobchádzanie s rizikom koncentrácie voči centrálnym protistranám a s rizikom protistrany pri centrálne zúčtovávaných transakciách s derivátmi</w:t>
      </w:r>
    </w:p>
    <w:p w:rsidR="00793EA9" w:rsidRPr="007C447B" w:rsidRDefault="00716240">
      <w:pPr>
        <w:pStyle w:val="NormalBold12a"/>
      </w:pPr>
      <w:r w:rsidRPr="007C447B">
        <w:t>(COM(2022)0698 – C9</w:t>
      </w:r>
      <w:r w:rsidRPr="007C447B">
        <w:noBreakHyphen/>
        <w:t>0411/2022 – 2022/0404(COD))</w:t>
      </w:r>
    </w:p>
    <w:p w:rsidR="00793EA9" w:rsidRPr="007C447B" w:rsidRDefault="00716240" w:rsidP="00A910C9">
      <w:pPr>
        <w:pStyle w:val="NormalBold"/>
      </w:pPr>
      <w:r w:rsidRPr="007C447B">
        <w:t>(Riadny legislatívny postup: prvé čítanie)</w:t>
      </w:r>
    </w:p>
    <w:p w:rsidR="00793EA9" w:rsidRPr="007C447B" w:rsidRDefault="00716240" w:rsidP="00A910C9">
      <w:pPr>
        <w:pStyle w:val="EPComma"/>
      </w:pPr>
      <w:r w:rsidRPr="007C447B">
        <w:rPr>
          <w:i/>
          <w:iCs/>
        </w:rPr>
        <w:t>Európsky parlament,</w:t>
      </w:r>
    </w:p>
    <w:p w:rsidR="00793EA9" w:rsidRPr="007C447B" w:rsidRDefault="00716240">
      <w:pPr>
        <w:pStyle w:val="NormalHanging12a"/>
      </w:pPr>
      <w:r w:rsidRPr="007C447B">
        <w:t>–</w:t>
      </w:r>
      <w:r w:rsidRPr="007C447B">
        <w:tab/>
      </w:r>
      <w:r w:rsidRPr="007C447B">
        <w:t>so zreteľom na návrh Komisie pre Európsky parlament a Radu (COM(2022)0698),</w:t>
      </w:r>
    </w:p>
    <w:p w:rsidR="00793EA9" w:rsidRPr="007C447B" w:rsidRDefault="00716240" w:rsidP="00002CFB">
      <w:pPr>
        <w:pStyle w:val="NormalHanging12a"/>
      </w:pPr>
      <w:r w:rsidRPr="007C447B">
        <w:t>–</w:t>
      </w:r>
      <w:r w:rsidRPr="007C447B">
        <w:tab/>
        <w:t>so zreteľom na článok 294 ods. 2 a článok 53 ods. 1 Zmluvy o fungovaní Európskej únie, v súlade s ktorými Komisia predložila návrh Európskemu parlamentu (C9</w:t>
      </w:r>
      <w:r w:rsidRPr="007C447B">
        <w:noBreakHyphen/>
        <w:t>0411/2022),</w:t>
      </w:r>
    </w:p>
    <w:p w:rsidR="00A26F46" w:rsidRPr="007C447B" w:rsidRDefault="00716240" w:rsidP="00A26F46">
      <w:pPr>
        <w:pStyle w:val="NormalHanging12a"/>
      </w:pPr>
      <w:r w:rsidRPr="007C447B">
        <w:t>–</w:t>
      </w:r>
      <w:r w:rsidRPr="007C447B">
        <w:tab/>
        <w:t>so zret</w:t>
      </w:r>
      <w:r w:rsidRPr="007C447B">
        <w:t>eľom na článok 294 ods. 3 Zmluvy o fungovaní Európskej únie,</w:t>
      </w:r>
    </w:p>
    <w:p w:rsidR="00793EA9" w:rsidRPr="007C447B" w:rsidRDefault="00716240">
      <w:pPr>
        <w:pStyle w:val="NormalHanging12a"/>
      </w:pPr>
      <w:r w:rsidRPr="007C447B">
        <w:t>–</w:t>
      </w:r>
      <w:r w:rsidRPr="007C447B">
        <w:tab/>
        <w:t>so zreteľom na článok 59 rokovacieho poriadku,</w:t>
      </w:r>
    </w:p>
    <w:p w:rsidR="006A2F5D" w:rsidRPr="007C447B" w:rsidRDefault="00716240" w:rsidP="006A2F5D">
      <w:pPr>
        <w:pStyle w:val="NormalHanging12a"/>
      </w:pPr>
      <w:r w:rsidRPr="007C447B">
        <w:t>–</w:t>
      </w:r>
      <w:r w:rsidRPr="007C447B">
        <w:tab/>
        <w:t>so zreteľom na správu Výboru pre hospodárske a menové veci (A9</w:t>
      </w:r>
      <w:r w:rsidRPr="007C447B">
        <w:noBreakHyphen/>
        <w:t>0000/2023),</w:t>
      </w:r>
    </w:p>
    <w:p w:rsidR="009F6C2F" w:rsidRPr="007C447B" w:rsidRDefault="00716240" w:rsidP="009F6C2F">
      <w:pPr>
        <w:pStyle w:val="NormalHanging12a"/>
      </w:pPr>
      <w:r w:rsidRPr="007C447B">
        <w:t>1.</w:t>
      </w:r>
      <w:r w:rsidRPr="007C447B">
        <w:tab/>
        <w:t>prijíma nasledujúcu pozíciu v prvom čítaní;</w:t>
      </w:r>
    </w:p>
    <w:p w:rsidR="009F6C2F" w:rsidRPr="007C447B" w:rsidRDefault="00716240" w:rsidP="009F6C2F">
      <w:pPr>
        <w:pStyle w:val="NormalHanging12a"/>
      </w:pPr>
      <w:r w:rsidRPr="007C447B">
        <w:t>2.</w:t>
      </w:r>
      <w:r w:rsidRPr="007C447B">
        <w:tab/>
        <w:t xml:space="preserve">žiada Komisiu, aby </w:t>
      </w:r>
      <w:r w:rsidRPr="007C447B">
        <w:t>mu vec znovu predložila, ak nahrádza, podstatne mení alebo má v úmysle podstatne zmeniť svoj návrh;</w:t>
      </w:r>
    </w:p>
    <w:p w:rsidR="009F6C2F" w:rsidRPr="007C447B" w:rsidRDefault="00716240" w:rsidP="009F6C2F">
      <w:pPr>
        <w:pStyle w:val="NormalHanging12a"/>
      </w:pPr>
      <w:r w:rsidRPr="007C447B">
        <w:t>3.</w:t>
      </w:r>
      <w:r w:rsidRPr="007C447B">
        <w:tab/>
        <w:t>poveruje svoju predsedníčku, aby postúpila túto pozíciu Rade, Komisii a národným parlamentom.</w:t>
      </w:r>
    </w:p>
    <w:p w:rsidR="00D30DE2" w:rsidRPr="007C447B" w:rsidRDefault="00D30DE2" w:rsidP="00D30DE2"/>
    <w:p w:rsidR="00BD728D" w:rsidRPr="007C447B" w:rsidRDefault="00716240" w:rsidP="00BD728D">
      <w:pPr>
        <w:pStyle w:val="AMNumberTabs0"/>
        <w:keepNext/>
      </w:pPr>
      <w:r w:rsidRPr="007C447B">
        <w:rPr>
          <w:rStyle w:val="HideTWBExt"/>
          <w:b w:val="0"/>
        </w:rPr>
        <w:t>&lt;RepeatBlock-Amend&gt;&lt;Amend&gt;</w:t>
      </w:r>
      <w:r w:rsidRPr="007C447B">
        <w:t>Pozmeňujúci návrh</w:t>
      </w:r>
      <w:r w:rsidRPr="007C447B">
        <w:tab/>
      </w:r>
      <w:r w:rsidRPr="007C447B">
        <w:tab/>
      </w:r>
      <w:r w:rsidRPr="007C447B">
        <w:rPr>
          <w:rStyle w:val="HideTWBExt"/>
          <w:b w:val="0"/>
        </w:rPr>
        <w:t>&lt;NumAm&gt;</w:t>
      </w:r>
      <w:r w:rsidRPr="007C447B">
        <w:t>1</w:t>
      </w:r>
      <w:r w:rsidRPr="007C447B">
        <w:rPr>
          <w:rStyle w:val="HideTWBExt"/>
          <w:b w:val="0"/>
        </w:rPr>
        <w:t>&lt;/Num</w:t>
      </w:r>
      <w:r w:rsidRPr="007C447B">
        <w:rPr>
          <w:rStyle w:val="HideTWBExt"/>
          <w:b w:val="0"/>
        </w:rPr>
        <w:t>Am&gt;</w:t>
      </w:r>
    </w:p>
    <w:p w:rsidR="00BD728D" w:rsidRPr="007C447B" w:rsidRDefault="00716240" w:rsidP="00BD728D">
      <w:pPr>
        <w:pStyle w:val="NormalBold12b"/>
        <w:keepNext/>
      </w:pPr>
      <w:r w:rsidRPr="007C447B">
        <w:rPr>
          <w:rStyle w:val="HideTWBExt"/>
          <w:b w:val="0"/>
        </w:rPr>
        <w:t>&lt;DocAmend&gt;</w:t>
      </w:r>
      <w:r w:rsidRPr="007C447B">
        <w:t>Návrh smernice</w:t>
      </w:r>
      <w:r w:rsidRPr="007C447B">
        <w:rPr>
          <w:rStyle w:val="HideTWBExt"/>
          <w:b w:val="0"/>
        </w:rPr>
        <w:t>&lt;/DocAmend&gt;</w:t>
      </w:r>
    </w:p>
    <w:p w:rsidR="00BD728D" w:rsidRPr="007C447B" w:rsidRDefault="00716240" w:rsidP="00BD728D">
      <w:pPr>
        <w:pStyle w:val="NormalBold"/>
      </w:pPr>
      <w:r w:rsidRPr="007C447B">
        <w:rPr>
          <w:rStyle w:val="HideTWBExt"/>
          <w:b w:val="0"/>
        </w:rPr>
        <w:t>&lt;Article&gt;</w:t>
      </w:r>
      <w:r w:rsidRPr="007C447B">
        <w:t>Odôvodnenie 2</w:t>
      </w:r>
      <w:r w:rsidRPr="007C447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060C" w:rsidRPr="007C447B" w:rsidTr="00BD728D">
        <w:trPr>
          <w:jc w:val="center"/>
        </w:trPr>
        <w:tc>
          <w:tcPr>
            <w:tcW w:w="9752" w:type="dxa"/>
            <w:gridSpan w:val="2"/>
          </w:tcPr>
          <w:p w:rsidR="00BD728D" w:rsidRPr="007C447B" w:rsidRDefault="00BD728D">
            <w:pPr>
              <w:keepNext/>
            </w:pPr>
          </w:p>
        </w:tc>
      </w:tr>
      <w:tr w:rsidR="0081060C" w:rsidRPr="007C447B" w:rsidTr="00BD728D">
        <w:trPr>
          <w:jc w:val="center"/>
        </w:trPr>
        <w:tc>
          <w:tcPr>
            <w:tcW w:w="4876" w:type="dxa"/>
            <w:hideMark/>
          </w:tcPr>
          <w:p w:rsidR="00BD728D" w:rsidRPr="007C447B" w:rsidRDefault="00716240">
            <w:pPr>
              <w:pStyle w:val="ColumnHeading"/>
              <w:keepNext/>
            </w:pPr>
            <w:r w:rsidRPr="007C447B">
              <w:t>Text predložený Komisiou</w:t>
            </w:r>
          </w:p>
        </w:tc>
        <w:tc>
          <w:tcPr>
            <w:tcW w:w="4876" w:type="dxa"/>
            <w:hideMark/>
          </w:tcPr>
          <w:p w:rsidR="00BD728D" w:rsidRPr="007C447B" w:rsidRDefault="00716240">
            <w:pPr>
              <w:pStyle w:val="ColumnHeading"/>
              <w:keepNext/>
            </w:pPr>
            <w:r w:rsidRPr="007C447B">
              <w:t>Pozmeňujúci návrh</w:t>
            </w:r>
          </w:p>
        </w:tc>
      </w:tr>
      <w:tr w:rsidR="0081060C" w:rsidRPr="007C447B" w:rsidTr="00BD728D">
        <w:trPr>
          <w:jc w:val="center"/>
        </w:trPr>
        <w:tc>
          <w:tcPr>
            <w:tcW w:w="4876" w:type="dxa"/>
            <w:hideMark/>
          </w:tcPr>
          <w:p w:rsidR="00BD728D" w:rsidRPr="007C447B" w:rsidRDefault="00716240">
            <w:pPr>
              <w:pStyle w:val="Normal6"/>
            </w:pPr>
            <w:r w:rsidRPr="007C447B">
              <w:t>(2)</w:t>
            </w:r>
            <w:r w:rsidRPr="007C447B">
              <w:tab/>
              <w:t xml:space="preserve">V snahe prispieť k cieľom únie kapitálových trhov sa v záujme efektívneho využívania centrálnych protistrán treba zaoberať určitými </w:t>
            </w:r>
            <w:r w:rsidRPr="007C447B">
              <w:t xml:space="preserve">prekážkami brániacimi využívaniu centrálneho zúčtovania v smernici 2009/65/EÚ a poskytnúť objasnenia v smerniciach 2013/36/EÚ a (EÚ) 2019/2034. Nadmerná závislosť finančného systému Únie od systémovo </w:t>
            </w:r>
            <w:r w:rsidRPr="007C447B">
              <w:lastRenderedPageBreak/>
              <w:t>dôležitých centrálnych protistrán z tretích krajín (cent</w:t>
            </w:r>
            <w:r w:rsidRPr="007C447B">
              <w:t>rálnych protistrán Tier 2) by mohla vyvolať obavy o finančnú stabilitu, ktoré treba primerane riešiť. V záujme zabezpečenia finančnej stability v Únii a primeraného zmiernenia potenciálnych rizík rozšírenia škodlivých vplyvov v celom finančnom systéme Únie</w:t>
            </w:r>
            <w:r w:rsidRPr="007C447B">
              <w:t xml:space="preserve"> by sa preto mali zaviesť vhodné opatrenia na podporu identifikácie, riadenia a monitorovania rizika koncentrácie vyplývajúceho z expozícií voči centrálnym protistranám. V tomto kontexte by sa smernice 2013/36/EÚ a (EÚ) 2019/2034 mali zmeniť s cieľom povzb</w:t>
            </w:r>
            <w:r w:rsidRPr="007C447B">
              <w:t>udiť inštitúcie a investičné spoločnosti, aby prijali potrebné kroky na prispôsobenie svojho obchodného modelu tak, aby zabezpečili súlad s novými požiadavkami na zúčtovanie zavedenými revíziou nariadenia (EÚ) č. 648/2012, a aby celkovo zlepšili svoje post</w:t>
            </w:r>
            <w:r w:rsidRPr="007C447B">
              <w:t xml:space="preserve">upy riadenia rizík, a to aj vzhľadom na povahu, rozsah a zložitosť svojich trhových činností. </w:t>
            </w:r>
            <w:r w:rsidRPr="007C447B">
              <w:rPr>
                <w:b/>
                <w:i/>
              </w:rPr>
              <w:t>Hoci príslušné orgány už môžu ukladať dodatočné požiadavky na vlastné zdroje</w:t>
            </w:r>
            <w:r w:rsidRPr="007C447B">
              <w:t xml:space="preserve"> pri </w:t>
            </w:r>
            <w:r w:rsidRPr="007C447B">
              <w:rPr>
                <w:b/>
                <w:i/>
              </w:rPr>
              <w:t>rizikách</w:t>
            </w:r>
            <w:r w:rsidRPr="007C447B">
              <w:t xml:space="preserve">, ktoré </w:t>
            </w:r>
            <w:r w:rsidRPr="007C447B">
              <w:rPr>
                <w:b/>
                <w:i/>
              </w:rPr>
              <w:t>nie sú kryté existujúcimi kapitálovými požiadavkami</w:t>
            </w:r>
            <w:r w:rsidRPr="007C447B">
              <w:t xml:space="preserve"> alebo </w:t>
            </w:r>
            <w:r w:rsidRPr="007C447B">
              <w:rPr>
                <w:b/>
                <w:i/>
              </w:rPr>
              <w:t xml:space="preserve">nimi </w:t>
            </w:r>
            <w:r w:rsidRPr="007C447B">
              <w:rPr>
                <w:b/>
                <w:i/>
              </w:rPr>
              <w:t>nie sú kryté dostatočne</w:t>
            </w:r>
            <w:r w:rsidRPr="007C447B">
              <w:t>, mali by byť lepšie vybavené dodatočnými a podrobnejšími nástrojmi a právomocami v rámci piliera 2 na to, aby mohli prijímať vhodné</w:t>
            </w:r>
            <w:r w:rsidRPr="007C447B">
              <w:rPr>
                <w:b/>
                <w:i/>
              </w:rPr>
              <w:t xml:space="preserve"> a rozhodné</w:t>
            </w:r>
            <w:r w:rsidRPr="007C447B">
              <w:t xml:space="preserve"> opatrenia na základe záverov svojich posúdení v oblasti dohľadu.</w:t>
            </w:r>
          </w:p>
        </w:tc>
        <w:tc>
          <w:tcPr>
            <w:tcW w:w="4876" w:type="dxa"/>
            <w:hideMark/>
          </w:tcPr>
          <w:p w:rsidR="00BD728D" w:rsidRPr="007C447B" w:rsidRDefault="00716240" w:rsidP="008370AE">
            <w:pPr>
              <w:pStyle w:val="Normal6"/>
              <w:rPr>
                <w:szCs w:val="24"/>
              </w:rPr>
            </w:pPr>
            <w:r w:rsidRPr="007C447B">
              <w:lastRenderedPageBreak/>
              <w:t>(2)</w:t>
            </w:r>
            <w:r w:rsidRPr="007C447B">
              <w:tab/>
              <w:t>V snahe prispieť k c</w:t>
            </w:r>
            <w:r w:rsidRPr="007C447B">
              <w:t xml:space="preserve">ieľom únie kapitálových trhov sa v záujme efektívneho využívania centrálnych protistrán treba zaoberať určitými prekážkami brániacimi využívaniu centrálneho zúčtovania v smernici 2009/65/EÚ a poskytnúť objasnenia v smerniciach 2013/36/EÚ a (EÚ) 2019/2034. </w:t>
            </w:r>
            <w:r w:rsidRPr="007C447B">
              <w:t xml:space="preserve">Nadmerná závislosť finančného systému Únie od systémovo </w:t>
            </w:r>
            <w:r w:rsidRPr="007C447B">
              <w:lastRenderedPageBreak/>
              <w:t xml:space="preserve">dôležitých centrálnych protistrán z tretích krajín (centrálnych protistrán Tier 2) by mohla vyvolať obavy o finančnú stabilitu, ktoré treba primerane riešiť. V záujme zabezpečenia finančnej stability </w:t>
            </w:r>
            <w:r w:rsidRPr="007C447B">
              <w:t>v Únii a primeraného zmiernenia potenciálnych rizík rozšírenia škodlivých vplyvov v celom finančnom systéme Únie by sa preto mali zaviesť vhodné opatrenia na podporu identifikácie, riadenia a monitorovania rizika koncentrácie vyplývajúceho z expozícií voči</w:t>
            </w:r>
            <w:r w:rsidRPr="007C447B">
              <w:t xml:space="preserve"> centrálnym protistranám. V tomto kontexte by sa smernice 2013/36/EÚ a (EÚ) 2019/2034 mali zmeniť s cieľom povzbudiť inštitúcie a investičné spoločnosti, aby prijali potrebné kroky na prispôsobenie svojho obchodného modelu tak, aby zabezpečili súlad s nový</w:t>
            </w:r>
            <w:r w:rsidRPr="007C447B">
              <w:t xml:space="preserve">mi požiadavkami na zúčtovanie zavedenými revíziou nariadenia (EÚ) č. 648/2012, a aby celkovo zlepšili svoje postupy riadenia rizík, a to aj vzhľadom na povahu, rozsah a zložitosť svojich trhových činností. </w:t>
            </w:r>
            <w:r w:rsidRPr="007C447B">
              <w:rPr>
                <w:b/>
                <w:i/>
              </w:rPr>
              <w:t>Smernice 2013/36/EÚ a (EÚ) 2019/2034 by sa tiež ma</w:t>
            </w:r>
            <w:r w:rsidRPr="007C447B">
              <w:rPr>
                <w:b/>
                <w:i/>
              </w:rPr>
              <w:t>li zmeniť s cieľom bližšie objasniť úlohu príslušných orgánov</w:t>
            </w:r>
            <w:r w:rsidRPr="007C447B">
              <w:t xml:space="preserve"> pri </w:t>
            </w:r>
            <w:r w:rsidRPr="007C447B">
              <w:rPr>
                <w:b/>
                <w:i/>
              </w:rPr>
              <w:t>riešení akéhokoľvek nadmerného rizika koncentrácie, ktoré by mohlo vyplývať z expozícií úverových inštitúcií a investičných spoločností pod ich dohľadom voči centrálnym protistranám, najmä c</w:t>
            </w:r>
            <w:r w:rsidRPr="007C447B">
              <w:rPr>
                <w:b/>
                <w:i/>
              </w:rPr>
              <w:t>entrálnym protistranám z tretích krajín</w:t>
            </w:r>
            <w:r w:rsidRPr="007C447B">
              <w:t xml:space="preserve">, ktoré </w:t>
            </w:r>
            <w:r w:rsidRPr="007C447B">
              <w:rPr>
                <w:b/>
                <w:i/>
              </w:rPr>
              <w:t>majú podstatný systémový význam pre Úniu alebo jeden</w:t>
            </w:r>
            <w:r w:rsidRPr="007C447B">
              <w:t xml:space="preserve"> alebo </w:t>
            </w:r>
            <w:r w:rsidRPr="007C447B">
              <w:rPr>
                <w:b/>
                <w:i/>
              </w:rPr>
              <w:t>viacero jej členských štátov a ktoré ponúkajú služby</w:t>
            </w:r>
            <w:r w:rsidRPr="007C447B">
              <w:t xml:space="preserve">, </w:t>
            </w:r>
            <w:r w:rsidRPr="007C447B">
              <w:rPr>
                <w:b/>
                <w:i/>
              </w:rPr>
              <w:t>ktoré európsky orgán dohľadu (Európsky orgán pre cenné papiere a trhy – ESMA) zriadený nariadení</w:t>
            </w:r>
            <w:r w:rsidRPr="007C447B">
              <w:rPr>
                <w:b/>
                <w:i/>
              </w:rPr>
              <w:t xml:space="preserve">m Európskeho parlamentu a Rady (EÚ) č. 1095/20101a označil za služby so značným systémovým významom. Okrem toho by príslušné orgány </w:t>
            </w:r>
            <w:r w:rsidRPr="007C447B">
              <w:t xml:space="preserve">mali by byť lepšie vybavené dodatočnými a podrobnejšími nástrojmi a právomocami v rámci piliera 2 na to, aby mohli prijímať </w:t>
            </w:r>
            <w:r w:rsidRPr="007C447B">
              <w:t>vhodné opatrenia na základe záverov svojich posúdení v oblasti dohľadu.</w:t>
            </w:r>
          </w:p>
        </w:tc>
      </w:tr>
      <w:tr w:rsidR="0081060C" w:rsidRPr="007C447B" w:rsidTr="00BD728D">
        <w:trPr>
          <w:jc w:val="center"/>
        </w:trPr>
        <w:tc>
          <w:tcPr>
            <w:tcW w:w="4876" w:type="dxa"/>
          </w:tcPr>
          <w:p w:rsidR="002B43FA" w:rsidRPr="007C447B" w:rsidRDefault="002B43FA">
            <w:pPr>
              <w:pStyle w:val="Normal6"/>
            </w:pPr>
          </w:p>
        </w:tc>
        <w:tc>
          <w:tcPr>
            <w:tcW w:w="4876" w:type="dxa"/>
          </w:tcPr>
          <w:p w:rsidR="002B43FA" w:rsidRPr="007C447B" w:rsidRDefault="00716240" w:rsidP="00CE1258">
            <w:pPr>
              <w:pStyle w:val="Normal6"/>
              <w:rPr>
                <w:b/>
                <w:bCs/>
                <w:i/>
                <w:iCs/>
              </w:rPr>
            </w:pPr>
            <w:r w:rsidRPr="007C447B">
              <w:rPr>
                <w:b/>
                <w:i/>
              </w:rPr>
              <w:t>_____________________</w:t>
            </w:r>
          </w:p>
        </w:tc>
      </w:tr>
      <w:tr w:rsidR="0081060C" w:rsidRPr="007C447B" w:rsidTr="00BD728D">
        <w:trPr>
          <w:jc w:val="center"/>
        </w:trPr>
        <w:tc>
          <w:tcPr>
            <w:tcW w:w="4876" w:type="dxa"/>
          </w:tcPr>
          <w:p w:rsidR="00CE1258" w:rsidRPr="007C447B" w:rsidRDefault="00CE1258">
            <w:pPr>
              <w:pStyle w:val="Normal6"/>
            </w:pPr>
          </w:p>
        </w:tc>
        <w:tc>
          <w:tcPr>
            <w:tcW w:w="4876" w:type="dxa"/>
          </w:tcPr>
          <w:p w:rsidR="00CE1258" w:rsidRPr="007C447B" w:rsidRDefault="00716240" w:rsidP="00CE1258">
            <w:pPr>
              <w:pStyle w:val="Normal6"/>
              <w:rPr>
                <w:b/>
                <w:bCs/>
                <w:i/>
                <w:iCs/>
              </w:rPr>
            </w:pPr>
            <w:r w:rsidRPr="007C447B">
              <w:rPr>
                <w:b/>
                <w:i/>
                <w:vertAlign w:val="superscript"/>
              </w:rPr>
              <w:t>1a</w:t>
            </w:r>
            <w:r w:rsidRPr="007C447B">
              <w:rPr>
                <w:b/>
                <w:i/>
              </w:rPr>
              <w:t xml:space="preserve"> Nariadenie Európskeho parlamentu a Rady (EÚ) č. 1095/2010 z 24. novembra 2010, ktorým sa zriaďuje Európsky orgán dohľadu (Európsky orgán pre cenné papiere a trhy) a ktorým sa mení a dopĺňa rozhodnutie č. 716/2009/ES a zrušuje rozhodnutie Komisie 2009/77/E</w:t>
            </w:r>
            <w:r w:rsidRPr="007C447B">
              <w:rPr>
                <w:b/>
                <w:i/>
              </w:rPr>
              <w:t>S (Ú. v. EÚ L 331, 15.12.2010, s. 84).</w:t>
            </w:r>
          </w:p>
        </w:tc>
      </w:tr>
    </w:tbl>
    <w:p w:rsidR="00BD728D" w:rsidRPr="007C447B" w:rsidRDefault="00716240" w:rsidP="00BD728D">
      <w:pPr>
        <w:pStyle w:val="Olang"/>
        <w:rPr>
          <w:sz w:val="24"/>
          <w:szCs w:val="24"/>
        </w:rPr>
      </w:pPr>
      <w:r w:rsidRPr="007C447B">
        <w:rPr>
          <w:sz w:val="24"/>
          <w:szCs w:val="24"/>
        </w:rPr>
        <w:t xml:space="preserve">Or. </w:t>
      </w:r>
      <w:r w:rsidRPr="007C447B">
        <w:rPr>
          <w:rStyle w:val="HideTWBExt"/>
        </w:rPr>
        <w:t>&lt;Original&gt;</w:t>
      </w:r>
      <w:r w:rsidRPr="007C447B">
        <w:rPr>
          <w:rStyle w:val="HideTWBInt"/>
          <w:sz w:val="24"/>
          <w:szCs w:val="24"/>
        </w:rPr>
        <w:t>{EN}</w:t>
      </w:r>
      <w:r w:rsidRPr="007C447B">
        <w:rPr>
          <w:sz w:val="24"/>
          <w:szCs w:val="24"/>
        </w:rPr>
        <w:t>en</w:t>
      </w:r>
      <w:r w:rsidRPr="007C447B">
        <w:rPr>
          <w:rStyle w:val="HideTWBExt"/>
        </w:rPr>
        <w:t>&lt;/Original&gt;</w:t>
      </w:r>
    </w:p>
    <w:p w:rsidR="00BD728D" w:rsidRPr="007C447B" w:rsidRDefault="00716240" w:rsidP="00BD728D">
      <w:pPr>
        <w:pStyle w:val="JustificationTitle"/>
        <w:rPr>
          <w:noProof w:val="0"/>
        </w:rPr>
      </w:pPr>
      <w:r w:rsidRPr="007C447B">
        <w:rPr>
          <w:rStyle w:val="HideTWBExt"/>
          <w:i w:val="0"/>
        </w:rPr>
        <w:t>&lt;TitreJust&gt;</w:t>
      </w:r>
      <w:r w:rsidRPr="007C447B">
        <w:t>Odôvodnenie</w:t>
      </w:r>
      <w:r w:rsidRPr="007C447B">
        <w:rPr>
          <w:rStyle w:val="HideTWBExt"/>
          <w:i w:val="0"/>
        </w:rPr>
        <w:t>&lt;/TitreJust&gt;</w:t>
      </w:r>
    </w:p>
    <w:p w:rsidR="00BD728D" w:rsidRPr="007C447B" w:rsidRDefault="00716240" w:rsidP="00BD728D">
      <w:pPr>
        <w:pStyle w:val="Normal12Italic"/>
        <w:rPr>
          <w:noProof w:val="0"/>
        </w:rPr>
      </w:pPr>
      <w:r w:rsidRPr="007C447B">
        <w:t>Článok 104 smernice 2013/36/EÚ poskytuje príslušným orgánom súbor nástrojov dohľadu, ktorý sa neobmedzuje na ukladanie dodatočných kapitálových požia</w:t>
      </w:r>
      <w:r w:rsidRPr="007C447B">
        <w:t>daviek. Odkaz na nástroje a právomoci v rámci piliera 2 v tomto odôvodnení by mal ostať široký, keďže nie je vhodné stanoviť ex ante, ktoré z týchto nástrojov a právomocí by boli vhodné na riešenie nadmerného rizika koncentrácie v tejto súvislosti.</w:t>
      </w:r>
    </w:p>
    <w:p w:rsidR="00BD728D" w:rsidRPr="007C447B" w:rsidRDefault="00716240" w:rsidP="00BD728D">
      <w:r w:rsidRPr="007C447B">
        <w:rPr>
          <w:rStyle w:val="HideTWBExt"/>
        </w:rPr>
        <w:t>&lt;/Amend&gt;</w:t>
      </w:r>
    </w:p>
    <w:p w:rsidR="00BD728D" w:rsidRPr="007C447B" w:rsidRDefault="00716240" w:rsidP="00BD728D">
      <w:pPr>
        <w:pStyle w:val="AMNumberTabs0"/>
        <w:keepNext/>
      </w:pPr>
      <w:r w:rsidRPr="007C447B">
        <w:rPr>
          <w:rStyle w:val="HideTWBExt"/>
          <w:b w:val="0"/>
        </w:rPr>
        <w:t>&lt;Amend&gt;</w:t>
      </w:r>
      <w:r w:rsidRPr="007C447B">
        <w:t>Pozmeňujúci návrh</w:t>
      </w:r>
      <w:r w:rsidRPr="007C447B">
        <w:tab/>
      </w:r>
      <w:r w:rsidRPr="007C447B">
        <w:tab/>
      </w:r>
      <w:r w:rsidRPr="007C447B">
        <w:rPr>
          <w:rStyle w:val="HideTWBExt"/>
          <w:b w:val="0"/>
        </w:rPr>
        <w:t>&lt;NumAm&gt;</w:t>
      </w:r>
      <w:r w:rsidRPr="007C447B">
        <w:t>2</w:t>
      </w:r>
      <w:r w:rsidRPr="007C447B">
        <w:rPr>
          <w:rStyle w:val="HideTWBExt"/>
          <w:b w:val="0"/>
        </w:rPr>
        <w:t>&lt;/NumAm&gt;</w:t>
      </w:r>
    </w:p>
    <w:p w:rsidR="00BD728D" w:rsidRPr="007C447B" w:rsidRDefault="00716240" w:rsidP="00BD728D">
      <w:pPr>
        <w:pStyle w:val="NormalBold12b"/>
        <w:keepNext/>
      </w:pPr>
      <w:r w:rsidRPr="007C447B">
        <w:rPr>
          <w:rStyle w:val="HideTWBExt"/>
          <w:b w:val="0"/>
        </w:rPr>
        <w:t>&lt;DocAmend&gt;</w:t>
      </w:r>
      <w:r w:rsidRPr="007C447B">
        <w:t>Návrh smernice</w:t>
      </w:r>
      <w:r w:rsidRPr="007C447B">
        <w:rPr>
          <w:rStyle w:val="HideTWBExt"/>
          <w:b w:val="0"/>
        </w:rPr>
        <w:t>&lt;/DocAmend&gt;</w:t>
      </w:r>
    </w:p>
    <w:p w:rsidR="00BD728D" w:rsidRPr="007C447B" w:rsidRDefault="00716240" w:rsidP="00BD728D">
      <w:pPr>
        <w:pStyle w:val="NormalBold"/>
      </w:pPr>
      <w:r w:rsidRPr="007C447B">
        <w:rPr>
          <w:rStyle w:val="HideTWBExt"/>
          <w:b w:val="0"/>
        </w:rPr>
        <w:t>&lt;Article&gt;</w:t>
      </w:r>
      <w:r w:rsidRPr="007C447B">
        <w:t>Odôvodnenie 2 a (nové)</w:t>
      </w:r>
      <w:r w:rsidRPr="007C447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060C" w:rsidRPr="007C447B" w:rsidTr="00BD728D">
        <w:trPr>
          <w:jc w:val="center"/>
        </w:trPr>
        <w:tc>
          <w:tcPr>
            <w:tcW w:w="9752" w:type="dxa"/>
            <w:gridSpan w:val="2"/>
          </w:tcPr>
          <w:p w:rsidR="00BD728D" w:rsidRPr="007C447B" w:rsidRDefault="00BD728D">
            <w:pPr>
              <w:keepNext/>
            </w:pPr>
          </w:p>
        </w:tc>
      </w:tr>
      <w:tr w:rsidR="0081060C" w:rsidRPr="007C447B" w:rsidTr="00BD728D">
        <w:trPr>
          <w:jc w:val="center"/>
        </w:trPr>
        <w:tc>
          <w:tcPr>
            <w:tcW w:w="4876" w:type="dxa"/>
            <w:hideMark/>
          </w:tcPr>
          <w:p w:rsidR="00BD728D" w:rsidRPr="007C447B" w:rsidRDefault="00716240">
            <w:pPr>
              <w:pStyle w:val="ColumnHeading"/>
              <w:keepNext/>
            </w:pPr>
            <w:r w:rsidRPr="007C447B">
              <w:t>Text predložený Komisiou</w:t>
            </w:r>
          </w:p>
        </w:tc>
        <w:tc>
          <w:tcPr>
            <w:tcW w:w="4876" w:type="dxa"/>
            <w:hideMark/>
          </w:tcPr>
          <w:p w:rsidR="00BD728D" w:rsidRPr="007C447B" w:rsidRDefault="00716240">
            <w:pPr>
              <w:pStyle w:val="ColumnHeading"/>
              <w:keepNext/>
            </w:pPr>
            <w:r w:rsidRPr="007C447B">
              <w:t>Pozmeňujúci návrh</w:t>
            </w:r>
          </w:p>
        </w:tc>
      </w:tr>
      <w:tr w:rsidR="0081060C" w:rsidRPr="007C447B" w:rsidTr="00BD728D">
        <w:trPr>
          <w:jc w:val="center"/>
        </w:trPr>
        <w:tc>
          <w:tcPr>
            <w:tcW w:w="4876" w:type="dxa"/>
          </w:tcPr>
          <w:p w:rsidR="00BD728D" w:rsidRPr="007C447B" w:rsidRDefault="00BD728D">
            <w:pPr>
              <w:pStyle w:val="Normal6"/>
            </w:pPr>
          </w:p>
        </w:tc>
        <w:tc>
          <w:tcPr>
            <w:tcW w:w="4876" w:type="dxa"/>
            <w:hideMark/>
          </w:tcPr>
          <w:p w:rsidR="00BD728D" w:rsidRPr="007C447B" w:rsidRDefault="00716240" w:rsidP="00CE1258">
            <w:pPr>
              <w:pStyle w:val="Normal6"/>
              <w:rPr>
                <w:szCs w:val="24"/>
              </w:rPr>
            </w:pPr>
            <w:r w:rsidRPr="007C447B">
              <w:rPr>
                <w:b/>
                <w:i/>
              </w:rPr>
              <w:t>(2a)</w:t>
            </w:r>
            <w:r w:rsidRPr="007C447B">
              <w:rPr>
                <w:b/>
                <w:i/>
              </w:rPr>
              <w:tab/>
              <w:t xml:space="preserve">Príslušné orgány by mali byť splnomocnené preskúmať plány, ktoré musia </w:t>
            </w:r>
            <w:r w:rsidRPr="007C447B">
              <w:rPr>
                <w:b/>
                <w:i/>
              </w:rPr>
              <w:t>úverové inštitúcie a investičné spoločnosti; vypracovať, s prihliadnutím na metodiku pre kalibráciu požiadavky na aktívny účet. Aby mohli takéto plány náležite preskúmať, príslušné orgány by mali mať k dispozícii podrobnosti o úrovni zúčtovacích služieb, k</w:t>
            </w:r>
            <w:r w:rsidRPr="007C447B">
              <w:rPr>
                <w:b/>
                <w:i/>
              </w:rPr>
              <w:t xml:space="preserve">toré boli určené ako služby s podstatným systémovým významom a ktoré majú finančné a nefinančné protistrany, na ktoré sa vzťahuje zúčtovacia povinnosť stanovená podľa článku 7a ods. 5 nariadenia (EÚ) č. 648/2012, zachovať na aktívnych účtoch v centrálnych </w:t>
            </w:r>
            <w:r w:rsidRPr="007C447B">
              <w:rPr>
                <w:b/>
                <w:i/>
              </w:rPr>
              <w:t>protistranách z Únie.</w:t>
            </w:r>
          </w:p>
        </w:tc>
      </w:tr>
    </w:tbl>
    <w:p w:rsidR="00BD728D" w:rsidRPr="007C447B" w:rsidRDefault="00716240" w:rsidP="00BD728D">
      <w:pPr>
        <w:pStyle w:val="Olang"/>
        <w:rPr>
          <w:sz w:val="24"/>
          <w:szCs w:val="24"/>
        </w:rPr>
      </w:pPr>
      <w:r w:rsidRPr="007C447B">
        <w:rPr>
          <w:sz w:val="24"/>
          <w:szCs w:val="24"/>
        </w:rPr>
        <w:t xml:space="preserve">Or. </w:t>
      </w:r>
      <w:r w:rsidRPr="007C447B">
        <w:rPr>
          <w:rStyle w:val="HideTWBExt"/>
        </w:rPr>
        <w:t>&lt;Original&gt;</w:t>
      </w:r>
      <w:r w:rsidRPr="007C447B">
        <w:rPr>
          <w:rStyle w:val="HideTWBInt"/>
          <w:sz w:val="24"/>
          <w:szCs w:val="24"/>
        </w:rPr>
        <w:t>{EN}</w:t>
      </w:r>
      <w:r w:rsidRPr="007C447B">
        <w:rPr>
          <w:sz w:val="24"/>
          <w:szCs w:val="24"/>
        </w:rPr>
        <w:t>en</w:t>
      </w:r>
      <w:r w:rsidRPr="007C447B">
        <w:rPr>
          <w:rStyle w:val="HideTWBExt"/>
        </w:rPr>
        <w:t>&lt;/Original&gt;</w:t>
      </w:r>
    </w:p>
    <w:p w:rsidR="00BD728D" w:rsidRPr="007C447B" w:rsidRDefault="00716240" w:rsidP="00BD728D">
      <w:pPr>
        <w:pStyle w:val="JustificationTitle"/>
        <w:rPr>
          <w:noProof w:val="0"/>
        </w:rPr>
      </w:pPr>
      <w:r w:rsidRPr="007C447B">
        <w:rPr>
          <w:rStyle w:val="HideTWBExt"/>
          <w:i w:val="0"/>
        </w:rPr>
        <w:lastRenderedPageBreak/>
        <w:t>&lt;TitreJust&gt;</w:t>
      </w:r>
      <w:r w:rsidRPr="007C447B">
        <w:t>Odôvodnenie</w:t>
      </w:r>
      <w:r w:rsidRPr="007C447B">
        <w:rPr>
          <w:rStyle w:val="HideTWBExt"/>
          <w:i w:val="0"/>
        </w:rPr>
        <w:t>&lt;/TitreJust&gt;</w:t>
      </w:r>
    </w:p>
    <w:p w:rsidR="00BD728D" w:rsidRPr="007C447B" w:rsidRDefault="00716240" w:rsidP="00BD728D">
      <w:pPr>
        <w:pStyle w:val="Normal12Italic"/>
        <w:rPr>
          <w:noProof w:val="0"/>
        </w:rPr>
      </w:pPr>
      <w:r w:rsidRPr="007C447B">
        <w:t xml:space="preserve">Použitie navrhovaného rámca piliera 2 je podmienené požiadavkou na aktívny účet. Na tomto základe môžu príslušné orgány vykonávať navrhované právomoci v oblasti </w:t>
      </w:r>
      <w:r w:rsidRPr="007C447B">
        <w:t>dohľadu, pokiaľ ide o plány subjektov podliehajúcich dohľadu, len ak sa dosiahne plná transparentnosť v oblasti kalibrácie aktívneho účtu prostredníctvom uverejnenia a schválenia návrhu regulačných technických predpisov orgánu ESMA (podľa navrhovaného člán</w:t>
      </w:r>
      <w:r w:rsidRPr="007C447B">
        <w:t>ku 7a ods. 5 nariadenia EMIR).</w:t>
      </w:r>
    </w:p>
    <w:p w:rsidR="00BD728D" w:rsidRPr="007C447B" w:rsidRDefault="00716240" w:rsidP="00BD728D">
      <w:r w:rsidRPr="007C447B">
        <w:rPr>
          <w:rStyle w:val="HideTWBExt"/>
        </w:rPr>
        <w:t>&lt;/Amend&gt;</w:t>
      </w:r>
    </w:p>
    <w:p w:rsidR="00BD728D" w:rsidRPr="007C447B" w:rsidRDefault="00716240" w:rsidP="00BD728D">
      <w:pPr>
        <w:pStyle w:val="AMNumberTabs0"/>
        <w:keepNext/>
      </w:pPr>
      <w:r w:rsidRPr="007C447B">
        <w:rPr>
          <w:rStyle w:val="HideTWBExt"/>
          <w:b w:val="0"/>
        </w:rPr>
        <w:t>&lt;Amend&gt;</w:t>
      </w:r>
      <w:r w:rsidRPr="007C447B">
        <w:t>Pozmeňujúci návrh</w:t>
      </w:r>
      <w:r w:rsidRPr="007C447B">
        <w:tab/>
      </w:r>
      <w:r w:rsidRPr="007C447B">
        <w:tab/>
      </w:r>
      <w:r w:rsidRPr="007C447B">
        <w:rPr>
          <w:rStyle w:val="HideTWBExt"/>
          <w:b w:val="0"/>
        </w:rPr>
        <w:t>&lt;NumAm&gt;</w:t>
      </w:r>
      <w:r w:rsidRPr="007C447B">
        <w:t>3</w:t>
      </w:r>
      <w:r w:rsidRPr="007C447B">
        <w:rPr>
          <w:rStyle w:val="HideTWBExt"/>
          <w:b w:val="0"/>
        </w:rPr>
        <w:t>&lt;/NumAm&gt;</w:t>
      </w:r>
    </w:p>
    <w:p w:rsidR="00BD728D" w:rsidRPr="007C447B" w:rsidRDefault="00716240" w:rsidP="00BD728D">
      <w:pPr>
        <w:pStyle w:val="NormalBold12b"/>
        <w:keepNext/>
      </w:pPr>
      <w:r w:rsidRPr="007C447B">
        <w:rPr>
          <w:rStyle w:val="HideTWBExt"/>
          <w:b w:val="0"/>
        </w:rPr>
        <w:t>&lt;DocAmend&gt;</w:t>
      </w:r>
      <w:r w:rsidRPr="007C447B">
        <w:t>Návrh smernice</w:t>
      </w:r>
      <w:r w:rsidRPr="007C447B">
        <w:rPr>
          <w:rStyle w:val="HideTWBExt"/>
          <w:b w:val="0"/>
        </w:rPr>
        <w:t>&lt;/DocAmend&gt;</w:t>
      </w:r>
    </w:p>
    <w:p w:rsidR="00BD728D" w:rsidRPr="007C447B" w:rsidRDefault="00716240" w:rsidP="00BD728D">
      <w:pPr>
        <w:pStyle w:val="NormalBold"/>
      </w:pPr>
      <w:r w:rsidRPr="007C447B">
        <w:rPr>
          <w:rStyle w:val="HideTWBExt"/>
          <w:b w:val="0"/>
        </w:rPr>
        <w:t>&lt;Article&gt;</w:t>
      </w:r>
      <w:r w:rsidRPr="007C447B">
        <w:t>Článok 2 – odsek 1 – bod 3</w:t>
      </w:r>
      <w:r w:rsidRPr="007C447B">
        <w:rPr>
          <w:rStyle w:val="HideTWBExt"/>
          <w:b w:val="0"/>
        </w:rPr>
        <w:t>&lt;/Article&gt;</w:t>
      </w:r>
    </w:p>
    <w:p w:rsidR="00BD728D" w:rsidRPr="007C447B" w:rsidRDefault="00716240" w:rsidP="00BD728D">
      <w:pPr>
        <w:keepNext/>
      </w:pPr>
      <w:r w:rsidRPr="007C447B">
        <w:rPr>
          <w:rStyle w:val="HideTWBExt"/>
        </w:rPr>
        <w:t>&lt;DocAmend2&gt;</w:t>
      </w:r>
      <w:r w:rsidRPr="007C447B">
        <w:t>Smernica 2013/36/EÚ</w:t>
      </w:r>
      <w:r w:rsidRPr="007C447B">
        <w:rPr>
          <w:rStyle w:val="HideTWBExt"/>
        </w:rPr>
        <w:t>&lt;/DocAmend2&gt;</w:t>
      </w:r>
    </w:p>
    <w:p w:rsidR="00BD728D" w:rsidRPr="007C447B" w:rsidRDefault="00716240" w:rsidP="00BD728D">
      <w:r w:rsidRPr="007C447B">
        <w:rPr>
          <w:rStyle w:val="HideTWBExt"/>
        </w:rPr>
        <w:t>&lt;Article2&gt;</w:t>
      </w:r>
      <w:r w:rsidRPr="007C447B">
        <w:t>Článok 81</w:t>
      </w:r>
      <w:r w:rsidRPr="007C447B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1060C" w:rsidRPr="007C447B" w:rsidTr="00BD728D">
        <w:trPr>
          <w:jc w:val="center"/>
        </w:trPr>
        <w:tc>
          <w:tcPr>
            <w:tcW w:w="9752" w:type="dxa"/>
            <w:gridSpan w:val="2"/>
          </w:tcPr>
          <w:p w:rsidR="00BD728D" w:rsidRPr="007C447B" w:rsidRDefault="00BD728D">
            <w:pPr>
              <w:keepNext/>
            </w:pPr>
          </w:p>
        </w:tc>
      </w:tr>
      <w:tr w:rsidR="0081060C" w:rsidRPr="007C447B" w:rsidTr="00BD728D">
        <w:trPr>
          <w:jc w:val="center"/>
        </w:trPr>
        <w:tc>
          <w:tcPr>
            <w:tcW w:w="4876" w:type="dxa"/>
            <w:hideMark/>
          </w:tcPr>
          <w:p w:rsidR="00BD728D" w:rsidRPr="007C447B" w:rsidRDefault="00716240">
            <w:pPr>
              <w:pStyle w:val="ColumnHeading"/>
              <w:keepNext/>
            </w:pPr>
            <w:r w:rsidRPr="007C447B">
              <w:t>Text predložený</w:t>
            </w:r>
            <w:r w:rsidRPr="007C447B">
              <w:t xml:space="preserve"> Komisiou</w:t>
            </w:r>
          </w:p>
        </w:tc>
        <w:tc>
          <w:tcPr>
            <w:tcW w:w="4876" w:type="dxa"/>
            <w:hideMark/>
          </w:tcPr>
          <w:p w:rsidR="00BD728D" w:rsidRPr="007C447B" w:rsidRDefault="00716240">
            <w:pPr>
              <w:pStyle w:val="ColumnHeading"/>
              <w:keepNext/>
            </w:pPr>
            <w:r w:rsidRPr="007C447B">
              <w:t>Pozmeňujúci návrh</w:t>
            </w:r>
          </w:p>
        </w:tc>
      </w:tr>
      <w:tr w:rsidR="0081060C" w:rsidRPr="007C447B" w:rsidTr="00BD728D">
        <w:trPr>
          <w:jc w:val="center"/>
        </w:trPr>
        <w:tc>
          <w:tcPr>
            <w:tcW w:w="4876" w:type="dxa"/>
            <w:hideMark/>
          </w:tcPr>
          <w:p w:rsidR="00BD728D" w:rsidRPr="007C447B" w:rsidRDefault="00716240">
            <w:pPr>
              <w:pStyle w:val="Normal6"/>
            </w:pPr>
            <w:r w:rsidRPr="007C447B">
              <w:t xml:space="preserve">Príslušné orgány posudzujú a monitorujú vývoj postupov inštitúcií týkajúcich sa riadenia ich rizika koncentrácie vyplývajúceho z expozícií voči centrálnym protistranám vrátane plánov vypracovaných v súlade s článkom 76 ods. 2 tejto smernice, </w:t>
            </w:r>
            <w:r w:rsidRPr="007C447B">
              <w:rPr>
                <w:b/>
                <w:i/>
              </w:rPr>
              <w:t xml:space="preserve">ako aj pokrok </w:t>
            </w:r>
            <w:r w:rsidRPr="007C447B">
              <w:rPr>
                <w:b/>
                <w:i/>
              </w:rPr>
              <w:t>dosiahnutý pri prispôsobovaní obchodných modelov inštitúcií príslušným cieľom politiky Únie, pričom zohľadňujú požiadavky stanovené</w:t>
            </w:r>
            <w:r w:rsidRPr="007C447B">
              <w:t xml:space="preserve"> v</w:t>
            </w:r>
            <w:r w:rsidRPr="007C447B">
              <w:rPr>
                <w:b/>
                <w:i/>
              </w:rPr>
              <w:t> </w:t>
            </w:r>
            <w:r w:rsidRPr="007C447B">
              <w:t xml:space="preserve">článku </w:t>
            </w:r>
            <w:r w:rsidRPr="007C447B">
              <w:rPr>
                <w:b/>
                <w:i/>
              </w:rPr>
              <w:t>7a</w:t>
            </w:r>
            <w:r w:rsidRPr="007C447B">
              <w:t xml:space="preserve"> nariadenia (EÚ) č. 648/2012.</w:t>
            </w:r>
          </w:p>
        </w:tc>
        <w:tc>
          <w:tcPr>
            <w:tcW w:w="4876" w:type="dxa"/>
            <w:hideMark/>
          </w:tcPr>
          <w:p w:rsidR="00BD728D" w:rsidRPr="007C447B" w:rsidRDefault="00716240" w:rsidP="008370AE">
            <w:pPr>
              <w:pStyle w:val="Normal6"/>
              <w:rPr>
                <w:szCs w:val="24"/>
              </w:rPr>
            </w:pPr>
            <w:r w:rsidRPr="007C447B">
              <w:t>Príslušné orgány posudzujú a monitorujú vývoj postupov inštitúcií týkajúcich sa ria</w:t>
            </w:r>
            <w:r w:rsidRPr="007C447B">
              <w:t xml:space="preserve">denia ich rizika koncentrácie vyplývajúceho z expozícií voči centrálnym protistranám vrátane plánov vypracovaných v súlade s článkom 76 ods. 2 tejto smernice, </w:t>
            </w:r>
            <w:r w:rsidRPr="007C447B">
              <w:rPr>
                <w:b/>
                <w:i/>
              </w:rPr>
              <w:t>pričom zohľadňujú požiadavky stanovené v článku 7a a všetky relevantné informácie, ktoré poskytol</w:t>
            </w:r>
            <w:r w:rsidRPr="007C447B">
              <w:rPr>
                <w:b/>
                <w:i/>
              </w:rPr>
              <w:t xml:space="preserve"> spoločný monitorovací mechanizmus uvedený</w:t>
            </w:r>
            <w:r w:rsidRPr="007C447B">
              <w:t xml:space="preserve"> v</w:t>
            </w:r>
            <w:r w:rsidRPr="007C447B">
              <w:rPr>
                <w:b/>
                <w:i/>
              </w:rPr>
              <w:t xml:space="preserve"> </w:t>
            </w:r>
            <w:r w:rsidRPr="007C447B">
              <w:t xml:space="preserve">článku </w:t>
            </w:r>
            <w:r w:rsidRPr="007C447B">
              <w:rPr>
                <w:b/>
                <w:i/>
              </w:rPr>
              <w:t>23c</w:t>
            </w:r>
            <w:r w:rsidRPr="007C447B">
              <w:t xml:space="preserve"> nariadenia (EÚ) č. 648/2012.</w:t>
            </w:r>
          </w:p>
        </w:tc>
      </w:tr>
    </w:tbl>
    <w:p w:rsidR="00BD728D" w:rsidRPr="007C447B" w:rsidRDefault="00716240" w:rsidP="00BD728D">
      <w:pPr>
        <w:pStyle w:val="Olang"/>
        <w:rPr>
          <w:sz w:val="24"/>
          <w:szCs w:val="24"/>
        </w:rPr>
      </w:pPr>
      <w:r w:rsidRPr="007C447B">
        <w:rPr>
          <w:sz w:val="24"/>
          <w:szCs w:val="24"/>
        </w:rPr>
        <w:t xml:space="preserve">Or. </w:t>
      </w:r>
      <w:r w:rsidRPr="007C447B">
        <w:rPr>
          <w:rStyle w:val="HideTWBExt"/>
        </w:rPr>
        <w:t>&lt;Original&gt;</w:t>
      </w:r>
      <w:r w:rsidRPr="007C447B">
        <w:rPr>
          <w:rStyle w:val="HideTWBInt"/>
          <w:sz w:val="24"/>
          <w:szCs w:val="24"/>
        </w:rPr>
        <w:t>{EN}</w:t>
      </w:r>
      <w:r w:rsidRPr="007C447B">
        <w:rPr>
          <w:sz w:val="24"/>
          <w:szCs w:val="24"/>
        </w:rPr>
        <w:t>en</w:t>
      </w:r>
      <w:r w:rsidRPr="007C447B">
        <w:rPr>
          <w:rStyle w:val="HideTWBExt"/>
        </w:rPr>
        <w:t>&lt;/Original&gt;</w:t>
      </w:r>
    </w:p>
    <w:p w:rsidR="00BD728D" w:rsidRPr="007C447B" w:rsidRDefault="00716240" w:rsidP="00BD728D">
      <w:pPr>
        <w:pStyle w:val="JustificationTitle"/>
        <w:rPr>
          <w:noProof w:val="0"/>
        </w:rPr>
      </w:pPr>
      <w:r w:rsidRPr="007C447B">
        <w:rPr>
          <w:rStyle w:val="HideTWBExt"/>
          <w:i w:val="0"/>
        </w:rPr>
        <w:t>&lt;TitreJust&gt;</w:t>
      </w:r>
      <w:r w:rsidRPr="007C447B">
        <w:t>Odôvodnenie</w:t>
      </w:r>
      <w:r w:rsidRPr="007C447B">
        <w:rPr>
          <w:rStyle w:val="HideTWBExt"/>
          <w:i w:val="0"/>
        </w:rPr>
        <w:t>&lt;/TitreJust&gt;</w:t>
      </w:r>
    </w:p>
    <w:p w:rsidR="00BD728D" w:rsidRPr="007C447B" w:rsidRDefault="00716240" w:rsidP="00BD728D">
      <w:pPr>
        <w:pStyle w:val="Normal12Italic"/>
        <w:rPr>
          <w:noProof w:val="0"/>
        </w:rPr>
      </w:pPr>
      <w:r w:rsidRPr="007C447B">
        <w:t>Keď sa zohľadnia výsledky monitorovania, ktoré poskytol spoločný monitorovací mechanizmus, zlepší sa tý</w:t>
      </w:r>
      <w:r w:rsidRPr="007C447B">
        <w:t>m posúdenie vykonané príslušnými orgánmi, pokiaľ ide o riziko koncentrácie, ktorému môžu inštitúcie podliehajúce ich dohľadu čeliť v prípade služieb podstatného systémového významu, ktoré poskytujú centrálne protistrany z tretej krajiny. Okrem toho, hoci p</w:t>
      </w:r>
      <w:r w:rsidRPr="007C447B">
        <w:t>osúdenie rizika koncentrácie, ktoré môže mať vplyv na bezpečnosť a spoľahlivosť inštitúcie, patrí do pôsobnosti príslušného orgánu, v prípade prispôsobenia obchodných plánov širším cieľom politiky Únie tak tomu nie je.</w:t>
      </w:r>
    </w:p>
    <w:p w:rsidR="00BD728D" w:rsidRPr="007C447B" w:rsidRDefault="00716240" w:rsidP="00BD728D">
      <w:r w:rsidRPr="007C447B">
        <w:rPr>
          <w:rStyle w:val="HideTWBExt"/>
        </w:rPr>
        <w:t>&lt;/Amend&gt;&lt;/RepeatBlock-Amend&gt;</w:t>
      </w:r>
    </w:p>
    <w:p w:rsidR="002669B6" w:rsidRPr="007C447B" w:rsidRDefault="002669B6" w:rsidP="002669B6"/>
    <w:sectPr w:rsidR="002669B6" w:rsidRPr="007C447B" w:rsidSect="007C447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7C447B" w:rsidRDefault="00716240">
      <w:r w:rsidRPr="007C447B">
        <w:separator/>
      </w:r>
    </w:p>
  </w:endnote>
  <w:endnote w:type="continuationSeparator" w:id="0">
    <w:p w:rsidR="00000000" w:rsidRPr="007C447B" w:rsidRDefault="00716240">
      <w:r w:rsidRPr="007C447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447B" w:rsidRPr="007C447B" w:rsidRDefault="007C447B" w:rsidP="007C447B">
    <w:pPr>
      <w:pStyle w:val="EPFooter"/>
    </w:pPr>
    <w:r w:rsidRPr="007C447B">
      <w:t>PE</w:t>
    </w:r>
    <w:r w:rsidRPr="007C447B">
      <w:rPr>
        <w:rStyle w:val="HideTWBExt"/>
      </w:rPr>
      <w:t>&lt;NoPE&gt;</w:t>
    </w:r>
    <w:r w:rsidRPr="007C447B">
      <w:t>749.905</w:t>
    </w:r>
    <w:r w:rsidRPr="007C447B">
      <w:rPr>
        <w:rStyle w:val="HideTWBExt"/>
      </w:rPr>
      <w:t>&lt;/NoPE&gt;&lt;Version&gt;</w:t>
    </w:r>
    <w:r w:rsidRPr="007C447B">
      <w:t>v01-00</w:t>
    </w:r>
    <w:r w:rsidRPr="007C447B">
      <w:rPr>
        <w:rStyle w:val="HideTWBExt"/>
      </w:rPr>
      <w:t>&lt;/Version&gt;</w:t>
    </w:r>
    <w:r w:rsidRPr="007C447B">
      <w:tab/>
    </w:r>
    <w:r w:rsidRPr="007C447B">
      <w:fldChar w:fldCharType="begin"/>
    </w:r>
    <w:r w:rsidRPr="007C447B">
      <w:instrText xml:space="preserve"> PAGE  \* MERGEFORMAT </w:instrText>
    </w:r>
    <w:r w:rsidRPr="007C447B">
      <w:fldChar w:fldCharType="separate"/>
    </w:r>
    <w:r w:rsidR="00716240">
      <w:rPr>
        <w:noProof/>
      </w:rPr>
      <w:t>4</w:t>
    </w:r>
    <w:r w:rsidRPr="007C447B">
      <w:fldChar w:fldCharType="end"/>
    </w:r>
    <w:r w:rsidRPr="007C447B">
      <w:t>/</w:t>
    </w:r>
    <w:fldSimple w:instr=" NUMPAGES  \* MERGEFORMAT ">
      <w:r w:rsidR="00716240">
        <w:rPr>
          <w:noProof/>
        </w:rPr>
        <w:t>9</w:t>
      </w:r>
    </w:fldSimple>
    <w:r w:rsidRPr="007C447B">
      <w:tab/>
    </w:r>
    <w:r w:rsidRPr="007C447B">
      <w:rPr>
        <w:rStyle w:val="HideTWBExt"/>
      </w:rPr>
      <w:t>&lt;PathFdR&gt;</w:t>
    </w:r>
    <w:r w:rsidRPr="007C447B">
      <w:t>PR\1280612SK.docx</w:t>
    </w:r>
    <w:r w:rsidRPr="007C447B">
      <w:rPr>
        <w:rStyle w:val="HideTWBExt"/>
      </w:rPr>
      <w:t>&lt;/PathFdR&gt;</w:t>
    </w:r>
  </w:p>
  <w:p w:rsidR="00FB52FE" w:rsidRPr="007C447B" w:rsidRDefault="007C447B" w:rsidP="007C447B">
    <w:pPr>
      <w:pStyle w:val="EPFooter2"/>
    </w:pPr>
    <w:r w:rsidRPr="007C447B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447B" w:rsidRPr="007C447B" w:rsidRDefault="007C447B" w:rsidP="007C447B">
    <w:pPr>
      <w:pStyle w:val="EPFooter"/>
    </w:pPr>
    <w:r w:rsidRPr="007C447B">
      <w:rPr>
        <w:rStyle w:val="HideTWBExt"/>
      </w:rPr>
      <w:t>&lt;PathFdR&gt;</w:t>
    </w:r>
    <w:r w:rsidRPr="007C447B">
      <w:t>PR\1280612SK.docx</w:t>
    </w:r>
    <w:r w:rsidRPr="007C447B">
      <w:rPr>
        <w:rStyle w:val="HideTWBExt"/>
      </w:rPr>
      <w:t>&lt;/PathFdR&gt;</w:t>
    </w:r>
    <w:r w:rsidRPr="007C447B">
      <w:tab/>
    </w:r>
    <w:r w:rsidRPr="007C447B">
      <w:fldChar w:fldCharType="begin"/>
    </w:r>
    <w:r w:rsidRPr="007C447B">
      <w:instrText xml:space="preserve"> PAGE  \* MERGEFORMAT </w:instrText>
    </w:r>
    <w:r w:rsidRPr="007C447B">
      <w:fldChar w:fldCharType="separate"/>
    </w:r>
    <w:r w:rsidR="00716240">
      <w:rPr>
        <w:noProof/>
      </w:rPr>
      <w:t>3</w:t>
    </w:r>
    <w:r w:rsidRPr="007C447B">
      <w:fldChar w:fldCharType="end"/>
    </w:r>
    <w:r w:rsidRPr="007C447B">
      <w:t>/</w:t>
    </w:r>
    <w:fldSimple w:instr=" NUMPAGES  \* MERGEFORMAT ">
      <w:r w:rsidR="00716240">
        <w:rPr>
          <w:noProof/>
        </w:rPr>
        <w:t>9</w:t>
      </w:r>
    </w:fldSimple>
    <w:r w:rsidRPr="007C447B">
      <w:tab/>
      <w:t>PE</w:t>
    </w:r>
    <w:r w:rsidRPr="007C447B">
      <w:rPr>
        <w:rStyle w:val="HideTWBExt"/>
      </w:rPr>
      <w:t>&lt;NoPE&gt;</w:t>
    </w:r>
    <w:r w:rsidRPr="007C447B">
      <w:t>749.905</w:t>
    </w:r>
    <w:r w:rsidRPr="007C447B">
      <w:rPr>
        <w:rStyle w:val="HideTWBExt"/>
      </w:rPr>
      <w:t>&lt;/NoPE&gt;&lt;Version&gt;</w:t>
    </w:r>
    <w:r w:rsidRPr="007C447B">
      <w:t>v01-00</w:t>
    </w:r>
    <w:r w:rsidRPr="007C447B">
      <w:rPr>
        <w:rStyle w:val="HideTWBExt"/>
      </w:rPr>
      <w:t>&lt;/Version&gt;</w:t>
    </w:r>
  </w:p>
  <w:p w:rsidR="00FB52FE" w:rsidRPr="007C447B" w:rsidRDefault="007C447B" w:rsidP="007C447B">
    <w:pPr>
      <w:pStyle w:val="EPFooter2"/>
    </w:pPr>
    <w:r w:rsidRPr="007C447B">
      <w:tab/>
    </w:r>
    <w:r w:rsidRPr="007C447B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447B" w:rsidRPr="007C447B" w:rsidRDefault="007C447B" w:rsidP="007C447B">
    <w:pPr>
      <w:pStyle w:val="EPFooter"/>
    </w:pPr>
    <w:r w:rsidRPr="007C447B">
      <w:rPr>
        <w:rStyle w:val="HideTWBExt"/>
      </w:rPr>
      <w:t>&lt;PathFdR&gt;</w:t>
    </w:r>
    <w:r w:rsidRPr="007C447B">
      <w:t>PR\1280612SK.docx</w:t>
    </w:r>
    <w:r w:rsidRPr="007C447B">
      <w:rPr>
        <w:rStyle w:val="HideTWBExt"/>
      </w:rPr>
      <w:t>&lt;/PathFdR&gt;</w:t>
    </w:r>
    <w:r w:rsidRPr="007C447B">
      <w:tab/>
    </w:r>
    <w:r w:rsidRPr="007C447B">
      <w:tab/>
      <w:t>PE</w:t>
    </w:r>
    <w:r w:rsidRPr="007C447B">
      <w:rPr>
        <w:rStyle w:val="HideTWBExt"/>
      </w:rPr>
      <w:t>&lt;NoPE&gt;</w:t>
    </w:r>
    <w:r w:rsidRPr="007C447B">
      <w:t>749.905</w:t>
    </w:r>
    <w:r w:rsidRPr="007C447B">
      <w:rPr>
        <w:rStyle w:val="HideTWBExt"/>
      </w:rPr>
      <w:t>&lt;/NoPE&gt;&lt;Version&gt;</w:t>
    </w:r>
    <w:r w:rsidRPr="007C447B">
      <w:t>v01-00</w:t>
    </w:r>
    <w:r w:rsidRPr="007C447B">
      <w:rPr>
        <w:rStyle w:val="HideTWBExt"/>
      </w:rPr>
      <w:t>&lt;/Version&gt;</w:t>
    </w:r>
  </w:p>
  <w:p w:rsidR="00FB52FE" w:rsidRPr="007C447B" w:rsidRDefault="007C447B" w:rsidP="007C447B">
    <w:pPr>
      <w:pStyle w:val="EPFooter2"/>
    </w:pPr>
    <w:r w:rsidRPr="007C447B">
      <w:t>SK</w:t>
    </w:r>
    <w:r w:rsidRPr="007C447B">
      <w:tab/>
    </w:r>
    <w:r w:rsidRPr="007C447B">
      <w:rPr>
        <w:b w:val="0"/>
        <w:i/>
        <w:color w:val="C0C0C0"/>
        <w:sz w:val="22"/>
      </w:rPr>
      <w:t>Zjednotení v rozmanitosti</w:t>
    </w:r>
    <w:r w:rsidRPr="007C447B">
      <w:tab/>
      <w:t>SK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Pr="007C447B" w:rsidRDefault="00716240">
      <w:r w:rsidRPr="007C447B">
        <w:separator/>
      </w:r>
    </w:p>
  </w:footnote>
  <w:footnote w:type="continuationSeparator" w:id="0">
    <w:p w:rsidR="00000000" w:rsidRPr="007C447B" w:rsidRDefault="00716240">
      <w:r w:rsidRPr="007C447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6240" w:rsidRDefault="007162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6240" w:rsidRDefault="0071624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6240" w:rsidRDefault="007162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ACT2MNU" w:val=" 2"/>
    <w:docVar w:name="AMACTMNU" w:val=" 1"/>
    <w:docVar w:name="CJMNU" w:val="1"/>
    <w:docVar w:name="COMKEY" w:val="ECON"/>
    <w:docVar w:name="CopyToNetwork" w:val="-1"/>
    <w:docVar w:name="CVar" w:val="2"/>
    <w:docVar w:name="DOCMNU" w:val=" 2"/>
    <w:docVar w:name="EPOJMNU" w:val=" 3"/>
    <w:docVar w:name="EPSTATMNU" w:val=" 1"/>
    <w:docVar w:name="EPSTATPLURMNU" w:val=" 1"/>
    <w:docVar w:name="iNoAmend" w:val="2"/>
    <w:docVar w:name="INSTITUTIONSMNU" w:val=" 2"/>
    <w:docVar w:name="JURI1MNU" w:val=" 2"/>
    <w:docVar w:name="JURI2MNU" w:val=" 2"/>
    <w:docVar w:name="LastEditedSection" w:val=" 1"/>
    <w:docVar w:name="ORLANGKEY" w:val="EN"/>
    <w:docVar w:name="ORLANGMNU" w:val=" 1"/>
    <w:docVar w:name="OTHERSTATMNU" w:val=" 4"/>
    <w:docVar w:name="PARLIAMENTSMNU" w:val=" 2"/>
    <w:docVar w:name="RECONSULTMNU" w:val=" 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2\fbidi \froman\fcharset238\fprq2 Times New Roman CE;}{\f303\fbidi \froman\fcharset204\fprq2 Times New Roman Cyr;}_x000d__x000a_{\f305\fbidi \froman\fcharset161\fprq2 Times New Roman Greek;}{\f306\fbidi \froman\fcharset162\fprq2 Times New Roman Tur;}{\f307\fbidi \froman\fcharset177\fprq2 Times New Roman (Hebrew);}{\f308\fbidi \froman\fcharset178\fprq2 Times New Roman (Arabic);}_x000d__x000a_{\f309\fbidi \froman\fcharset186\fprq2 Times New Roman Baltic;}{\f310\fbidi \froman\fcharset163\fprq2 Times New Roman (Vietnamese);}{\f312\fbidi \fswiss\fcharset238\fprq2 Arial CE;}{\f313\fbidi \fswiss\fcharset204\fprq2 Arial Cyr;}_x000d__x000a_{\f315\fbidi \fswiss\fcharset161\fprq2 Arial Greek;}{\f316\fbidi \fswiss\fcharset162\fprq2 Arial Tur;}{\f317\fbidi \fswiss\fcharset177\fprq2 Arial (Hebrew);}{\f318\fbidi \fswiss\fcharset178\fprq2 Arial (Arabic);}_x000d__x000a_{\f319\fbidi \fswiss\fcharset186\fprq2 Arial Baltic;}{\f320\fbidi \fswiss\fcharset163\fprq2 Arial (Vietnamese);}{\f642\fbidi \froman\fcharset238\fprq2 Cambria Math CE;}{\f643\fbidi \froman\fcharset204\fprq2 Cambria Math Cyr;}_x000d__x000a_{\f645\fbidi \froman\fcharset161\fprq2 Cambria Math Greek;}{\f646\fbidi \froman\fcharset162\fprq2 Cambria Math Tur;}{\f649\fbidi \froman\fcharset186\fprq2 Cambria Math Baltic;}{\f65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6317489 HideTWBExt;}{\*\cs18 \additive \v\f1\fs20\cf15 _x000d__x000a_\spriority0 \styrsid6317489 HideTWBInt;}{\s19\ql \li0\ri0\sa120\nowidctlpar\wrapdefault\aspalpha\aspnum\faauto\adjustright\rin0\lin0\itap0 \rtlch\fcs1 \af0\afs20\alang1025 \ltrch\fcs0 \fs24\lang2057\langfe2057\cgrid\langnp2057\langfenp2057 _x000d__x000a_\sbasedon0 \snext19 \spriority0 \styrsid6317489 Normal6a;}{\s20\ql \li0\ri0\nowidctlpar\wrapdefault\aspalpha\aspnum\faauto\adjustright\rin0\lin0\itap0 \rtlch\fcs1 \af0\afs20\alang1025 \ltrch\fcs0 \b\fs24\lang2057\langfe2057\cgrid\langnp2057\langfenp2057 _x000d__x000a_\sbasedon0 \snext20 \spriority0 \styrsid6317489 NormalBold;}{\s21\ql \li0\ri0\sa240\nowidctlpar\wrapdefault\aspalpha\aspnum\faauto\adjustright\rin0\lin0\itap0 \rtlch\fcs1 \af0\afs20\alang1025 \ltrch\fcs0 _x000d__x000a_\i\fs24\lang2057\langfe2057\cgrid\langnp2057\langfenp2057 \sbasedon0 \snext21 \spriority0 \styrsid6317489 AmJustText;}{\s22\qc \li0\ri0\sb240\sa240\nowidctlpar\wrapdefault\aspalpha\aspnum\faauto\adjustright\rin0\lin0\itap0 \rtlch\fcs1 _x000d__x000a_\af0\afs20\alang1025 \ltrch\fcs0 \i\fs24\lang2057\langfe2057\cgrid\langnp2057\langfenp2057 \sbasedon0 \snext22 \spriority0 \styrsid6317489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6317489 AmJustTitle;}{\s24\qr \li0\ri0\sb240\sa240\nowidctlpar\wrapdefault\aspalpha\aspnum\faauto\adjustright\rin0\lin0\itap0 \rtlch\fcs1 \af0\afs20\alang1025 \ltrch\fcs0 _x000d__x000a_\fs24\lang2057\langfe2057\cgrid\langnp2057\langfenp2057 \sbasedon0 \snext24 \spriority0 \styrsid6317489 AmOrLang;}{\s25\qc \li0\ri0\sa240\nowidctlpar\wrapdefault\aspalpha\aspnum\faauto\adjustright\rin0\lin0\itap0 \rtlch\fcs1 \af0\afs20\alang1025 _x000d__x000a_\ltrch\fcs0 \i\fs24\lang2057\langfe2057\cgrid\langnp2057\langfenp2057 \sbasedon0 \snext25 \spriority0 \styrsid6317489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6317489 AmNumberTabs;}{\s27\ql \li0\ri0\sb240\nowidctlpar\wrapdefault\aspalpha\aspnum\faauto\adjustright\rin0\lin0\itap0 \rtlch\fcs1 _x000d__x000a_\af0\afs20\alang1025 \ltrch\fcs0 \b\fs24\lang2057\langfe2057\cgrid\langnp2057\langfenp2057 \sbasedon0 \snext27 \spriority0 \styrsid6317489 NormalBold12b;}}{\*\rsidtbl \rsid24658\rsid223860\rsid735077\rsid1718133\rsid2892074\rsid3565327\rsid4666813_x000d__x000a_\rsid4737206\rsid6317489\rsid6641733\rsid7823322\rsid9636012\rsid10377208\rsid11215221\rsid11549030\rsid12154954\rsid14382809\rsid14424199\rsid15204470\rsid15285974\rsid15950462\rsid16324206\rsid16662270}{\mmathPr\mmathFont34\mbrkBin0\mbrkBinSub0_x000d__x000a_\msmallFrac0\mdispDef1\mlMargin0\mrMargin0\mdefJc1\mwrapIndent1440\mintLim0\mnaryLim1}{\info{\author TURLUI Emil-Gabriel}{\operator TURLUI Emil-Gabriel}{\creatim\yr2023\mo6\dy8\hr17\min33}{\revtim\yr2023\mo6\dy8\hr17\min33}{\version1}{\edmins0}_x000d__x000a_{\nofpages1}{\nofwords104}{\nofchars596}{\nofcharsws699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631748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gturlui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473720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473720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473720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473720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6317489 \rtlch\fcs1 _x000d__x000a_\af0\afs20\alang1025 \ltrch\fcs0 \b\fs24\lang2057\langfe2057\cgrid\langnp2057\langfenp2057 {\rtlch\fcs1 \af0 \ltrch\fcs0 \cs17\b0\v\fs20\cf9\lang1024\langfe1024\loch\af1\hich\af1\dbch\af31501\noproof\insrsid6317489\charrsid5511251 {\*\bkmkstart restart}_x000d__x000a_\hich\af1\dbch\af31501\loch\f1 &lt;Amend&gt;}{\rtlch\fcs1 \af0 \ltrch\fcs0 \insrsid6317489\charrsid5511251 Amendment\tab \tab }{\rtlch\fcs1 \af0 \ltrch\fcs0 _x000d__x000a_\cs17\b0\v\fs20\cf9\lang1024\langfe1024\loch\af1\hich\af1\dbch\af31501\noproof\insrsid6317489\charrsid5511251 \hich\af1\dbch\af31501\loch\f1 &lt;NumAm&gt;}{\rtlch\fcs1 \af0 \ltrch\fcs0 \insrsid6317489\charrsid5511251 #}{\rtlch\fcs1 \af1 \ltrch\fcs0 _x000d__x000a_\cs18\v\f1\fs20\cf15\insrsid6317489\charrsid5511251 ENMIENDA@NRAM@}{\rtlch\fcs1 \af0 \ltrch\fcs0 \insrsid6317489\charrsid5511251 #}{\rtlch\fcs1 \af0 \ltrch\fcs0 _x000d__x000a_\cs17\b0\v\fs20\cf9\lang1024\langfe1024\loch\af1\hich\af1\dbch\af31501\noproof\insrsid6317489\charrsid5511251 \hich\af1\dbch\af31501\loch\f1 &lt;/NumAm&gt;}{\rtlch\fcs1 \af0 \ltrch\fcs0 \insrsid6317489\charrsid5511251 _x000d__x000a_\par }\pard\plain \ltrpar\s27\ql \li0\ri0\sb240\keepn\nowidctlpar\wrapdefault\aspalpha\aspnum\faauto\adjustright\rin0\lin0\itap0\pararsid6317489 \rtlch\fcs1 \af0\afs20\alang1025 \ltrch\fcs0 \b\fs24\lang2057\langfe2057\cgrid\langnp2057\langfenp2057 {_x000d__x000a_\rtlch\fcs1 \af0 \ltrch\fcs0 \cs17\b0\v\fs20\cf9\lang1024\langfe1024\loch\af1\hich\af1\dbch\af31501\noproof\insrsid6317489\charrsid5511251 \hich\af1\dbch\af31501\loch\f1 &lt;DocAmend&gt;}{\rtlch\fcs1 \af0 \ltrch\fcs0 \insrsid6317489\charrsid5511251 _x000d__x000a_Proposal for a #}{\rtlch\fcs1 \af1 \ltrch\fcs0 \cs18\v\f1\fs20\cf15\insrsid6317489\charrsid5511251 MNU[DOC1][DOC2][DOC3]@DOCMSG@DOCMNU}{\rtlch\fcs1 \af0 \ltrch\fcs0 \insrsid6317489\charrsid5511251 ##}{\rtlch\fcs1 \af1 \ltrch\fcs0 _x000d__x000a_\cs18\v\f1\fs20\cf15\insrsid6317489\charrsid5511251 MNU[AMACTYES][NOTAPP]@CHOICE@AMACTMNU}{\rtlch\fcs1 \af0 \ltrch\fcs0 \insrsid6317489\charrsid5511251 #}{\rtlch\fcs1 \af0 \ltrch\fcs0 _x000d__x000a_\cs17\b0\v\fs20\cf9\lang1024\langfe1024\loch\af1\hich\af1\dbch\af31501\noproof\insrsid6317489\charrsid5511251 \hich\af1\dbch\af31501\loch\f1 &lt;/DocAmend&gt;}{\rtlch\fcs1 \af0 \ltrch\fcs0 \insrsid6317489\charrsid5511251 _x000d__x000a_\par }\pard\plain \ltrpar\s20\ql \li0\ri0\keepn\nowidctlpar\wrapdefault\aspalpha\aspnum\faauto\adjustright\rin0\lin0\itap0\pararsid6317489 \rtlch\fcs1 \af0\afs20\alang1025 \ltrch\fcs0 \b\fs24\lang2057\langfe2057\cgrid\langnp2057\langfenp2057 {\rtlch\fcs1 \af0 _x000d__x000a_\ltrch\fcs0 \cs17\b0\v\fs20\cf9\lang1024\langfe1024\loch\af1\hich\af1\dbch\af31501\noproof\insrsid6317489\charrsid5511251 \hich\af1\dbch\af31501\loch\f1 &lt;Article&gt;}{\rtlch\fcs1 \af0 \ltrch\fcs0 \insrsid6317489\charrsid5511251 #}{\rtlch\fcs1 \af1 _x000d__x000a_\ltrch\fcs0 \cs18\v\f1\fs20\cf15\insrsid6317489\charrsid5511251 MNU[AMACTPARTYES][AMACTPARTNO]@CHOICE@AMACTMNU}{\rtlch\fcs1 \af0 \ltrch\fcs0 \insrsid6317489\charrsid5511251 #}{\rtlch\fcs1 \af0 \ltrch\fcs0 _x000d__x000a_\cs17\b0\v\fs20\cf9\lang1024\langfe1024\loch\af1\hich\af1\dbch\af31501\noproof\insrsid6317489\charrsid5511251 \hich\af1\dbch\af31501\loch\f1 &lt;/Article&gt;}{\rtlch\fcs1 \af0 \ltrch\fcs0 \insrsid6317489\charrsid5511251 _x000d__x000a_\par }\pard\plain \ltrpar\ql \li0\ri0\keepn\widctlpar\wrapdefault\aspalpha\aspnum\faauto\adjustright\rin0\lin0\itap0\pararsid6317489 \rtlch\fcs1 \af0\afs20\alang1025 \ltrch\fcs0 \fs24\lang2057\langfe2057\cgrid\langnp2057\langfenp2057 {\rtlch\fcs1 \af0 _x000d__x000a_\ltrch\fcs0 \cs17\v\fs20\cf9\lang1024\langfe1024\loch\af1\hich\af1\dbch\af31501\noproof\insrsid6317489\charrsid5511251 \hich\af1\dbch\af31501\loch\f1 &lt;DocAmend2&gt;&lt;OptDel&gt;}{\rtlch\fcs1 \af0 \ltrch\fcs0 \insrsid6317489\charrsid5511251 #}{\rtlch\fcs1 \af1 _x000d__x000a_\ltrch\fcs0 \cs18\v\f1\fs20\cf15\insrsid6317489\charrsid5511251 MNU[OPTNRACTYES][NOTAPP]@CHOICE@AMACTMNU}{\rtlch\fcs1 \af0 \ltrch\fcs0 \insrsid6317489\charrsid5511251 #}{\rtlch\fcs1 \af0 \ltrch\fcs0 _x000d__x000a_\cs17\v\fs20\cf9\lang1024\langfe1024\loch\af1\hich\af1\dbch\af31501\noproof\insrsid6317489\charrsid5511251 \hich\af1\dbch\af31501\loch\f1 &lt;/OptDel&gt;&lt;/DocAmend2&gt;}{\rtlch\fcs1 \af0 \ltrch\fcs0 \insrsid6317489\charrsid5511251 _x000d__x000a_\par }\pard \ltrpar\ql \li0\ri0\widctlpar\wrapdefault\aspalpha\aspnum\faauto\adjustright\rin0\lin0\itap0\pararsid6317489 {\rtlch\fcs1 \af0 \ltrch\fcs0 \cs17\v\fs20\cf9\lang1024\langfe1024\loch\af1\hich\af1\dbch\af31501\noproof\insrsid6317489\charrsid5511251 _x000d__x000a_\hich\af1\dbch\af31501\loch\f1 &lt;Article2&gt;&lt;OptDel&gt;}{\rtlch\fcs1 \af0 \ltrch\fcs0 \insrsid6317489\charrsid5511251 #}{\rtlch\fcs1 \af1 \ltrch\fcs0 \cs18\v\f1\fs20\cf15\insrsid6317489\charrsid5511251 MNU[OPTACTPARTYES][NOTAPP]@CHOICE@AMACTMNU}{\rtlch\fcs1 _x000d__x000a_\af0 \ltrch\fcs0 \insrsid6317489\charrsid5511251 #}{\rtlch\fcs1 \af0 \ltrch\fcs0 \cs17\v\fs20\cf9\lang1024\langfe1024\loch\af1\hich\af1\dbch\af31501\noproof\insrsid6317489\charrsid5511251 \hich\af1\dbch\af31501\loch\f1 &lt;/OptDel&gt;&lt;/Article2&gt;}{\rtlch\fcs1 _x000d__x000a_\af0 \ltrch\fcs0 \insrsid6317489\charrsid5511251 _x000d__x000a_\par \ltrrow}\trowd \irow0\irowband0\ltrrow\ts11\trqc\trgaph340\trleft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14315216 \rtlch\fcs1 \af0\afs20\alang1025 _x000d__x000a_\ltrch\fcs0 \fs24\lang2057\langfe2057\cgrid\langnp2057\langfenp2057 {\rtlch\fcs1 \af0 \ltrch\fcs0 \insrsid6317489\charrsid5511251 \cell }\pard\plain \ltrpar\ql \li0\ri0\widctlpar\intbl\wrapdefault\aspalpha\aspnum\faauto\adjustright\rin0\lin0 \rtlch\fcs1 _x000d__x000a_\af0\afs20\alang1025 \ltrch\fcs0 \fs24\lang2057\langfe2057\cgrid\langnp2057\langfenp2057 {\rtlch\fcs1 \af0 \ltrch\fcs0 \insrsid6317489\charrsid5511251 \trowd \irow0\irowband0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9752\clshdrawnil \cellx9752\row \ltrrow}\trowd \irow1\irowband1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5\qc \li0\ri0\sa240\keepn\nowidctlpar\intbl\wrapdefault\aspalpha\aspnum\faauto\adjustright\rin0\lin0\pararsid14315216 \rtlch\fcs1 \af0\afs20\alang1025 \ltrch\fcs0 \i\fs24\lang2057\langfe2057\cgrid\langnp2057\langfenp2057 {\rtlch\fcs1 \af0 \ltrch\fcs0 _x000d__x000a_\insrsid6317489\charrsid5511251 #}{\rtlch\fcs1 \af1 \ltrch\fcs0 \cs18\v\f1\fs20\cf15\insrsid6317489\charrsid5511251 MNU[OPTLEFTAMACT][LEFTPROP]@CHOICE@AMACTMNU}{\rtlch\fcs1 \af0 \ltrch\fcs0 \insrsid6317489\charrsid5511251 #\cell Amendment\cell _x000d__x000a_}\pard\plain \ltrpar\ql \li0\ri0\widctlpar\intbl\wrapdefault\aspalpha\aspnum\faauto\adjustright\rin0\lin0 \rtlch\fcs1 \af0\afs20\alang1025 \ltrch\fcs0 \fs24\lang2057\langfe2057\cgrid\langnp2057\langfenp2057 {\rtlch\fcs1 \af0 \ltrch\fcs0 _x000d__x000a_\insrsid6317489\charrsid5511251 \trowd \irow1\irowband1\ltrrow\ts11\trqc\trgaph340\trleft0\trftsWidth3\trwWidth9752\trftsWidthB3\trpaddl340\trpaddr340\trpaddfl3\trpaddft3\trpaddfb3\trpaddfr3\tblrsid2517430\tblind0\tblindtype3 \clvertalt\clbrdrt\brdrtbl _x000d__x000a_\clbrdrl\brdrtbl 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2517430 \rtlch\fcs1 \af0\afs20\alang1025 \ltrch\fcs0 \fs24\lang2057\langfe2057\cgrid\langnp2057\langfenp2057 {\rtlch\fcs1 \af0 _x000d__x000a_\ltrch\fcs0 \insrsid6317489\charrsid5511251 ##\cell ##}{\rtlch\fcs1 \af0\afs24 \ltrch\fcs0 \insrsid6317489\charrsid5511251 \cell }\pard\plain \ltrpar\ql \li0\ri0\widctlpar\intbl\wrapdefault\aspalpha\aspnum\faauto\adjustright\rin0\lin0 \rtlch\fcs1 _x000d__x000a_\af0\afs20\alang1025 \ltrch\fcs0 \fs24\lang2057\langfe2057\cgrid\langnp2057\langfenp2057 {\rtlch\fcs1 \af0 \ltrch\fcs0 \insrsid6317489\charrsid5511251 \trowd \irow2\irowband2\lastrow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6317489 \rtlch\fcs1 \af0\afs20\alang1025 \ltrch\fcs0 \fs24\lang2057\langfe2057\cgrid\langnp2057\langfenp2057 {\rtlch\fcs1 \af0 \ltrch\fcs0 _x000d__x000a_\insrsid6317489\charrsid5511251 Or. }{\rtlch\fcs1 \af0 \ltrch\fcs0 \cs17\v\fs20\cf9\lang1024\langfe1024\loch\af1\hich\af1\dbch\af31501\noproof\insrsid6317489\charrsid5511251 \hich\af1\dbch\af31501\loch\f1 &lt;Original&gt;}{\rtlch\fcs1 \af0 \ltrch\fcs0 _x000d__x000a_\insrsid6317489\charrsid5511251 #}{\rtlch\fcs1 \af1 \ltrch\fcs0 \cs18\v\f1\fs20\cf15\insrsid6317489\charrsid5511251 MNU[ORLANGONE][ORLANGMORE]@CHOICE@ORLANGMNU}{\rtlch\fcs1 \af0 \ltrch\fcs0 \insrsid6317489\charrsid5511251 #}{\rtlch\fcs1 \af0 \ltrch\fcs0 _x000d__x000a_\cs17\v\fs20\cf9\lang1024\langfe1024\loch\af1\hich\af1\dbch\af31501\noproof\insrsid6317489\charrsid5511251 \hich\af1\dbch\af31501\loch\f1 &lt;/Original&gt;}{\rtlch\fcs1 \af0 \ltrch\fcs0 \insrsid6317489\charrsid5511251 _x000d__x000a_\par }\pard\plain \ltrpar\s22\qc \li0\ri0\sb240\sa240\nowidctlpar\wrapdefault\aspalpha\aspnum\faauto\adjustright\rin0\lin0\itap0\pararsid6317489 \rtlch\fcs1 \af0\afs20\alang1025 \ltrch\fcs0 \i\fs24\lang2057\langfe2057\cgrid\langnp2057\langfenp2057 {_x000d__x000a_\rtlch\fcs1 \af0 \ltrch\fcs0 \cs17\i0\v\fs20\cf9\lang1024\langfe1024\loch\af1\hich\af1\dbch\af31501\noproof\insrsid6317489\charrsid5511251 \hich\af1\dbch\af31501\loch\f1 &lt;OptDel&gt;}{\rtlch\fcs1 \af0 \ltrch\fcs0 \insrsid6317489\charrsid5511251 #}{_x000d__x000a_\rtlch\fcs1 \af1 \ltrch\fcs0 \cs18\v\f1\fs20\cf15\insrsid6317489\charrsid5511251 MNU[CROSSREFNO][CROSSREFYES]@CHOICE@}{\rtlch\fcs1 \af0 \ltrch\fcs0 \insrsid6317489\charrsid5511251 #}{\rtlch\fcs1 \af0 \ltrch\fcs0 _x000d__x000a_\cs17\i0\v\fs20\cf9\lang1024\langfe1024\loch\af1\hich\af1\dbch\af31501\noproof\insrsid6317489\charrsid5511251 \hich\af1\dbch\af31501\loch\f1 &lt;/OptDel&gt;}{\rtlch\fcs1 \af0 \ltrch\fcs0 \insrsid6317489\charrsid5511251 _x000d__x000a_\par }\pard\plain \ltrpar\s23\qc \li0\ri0\sb240\sa240\keepn\nowidctlpar\wrapdefault\aspalpha\aspnum\faauto\adjustright\rin0\lin0\itap0\pararsid6317489 \rtlch\fcs1 \af0\afs20\alang1025 \ltrch\fcs0 \i\fs24\lang2057\langfe2057\cgrid\langnp2057\langfenp2057 {_x000d__x000a_\rtlch\fcs1 \af0 \ltrch\fcs0 \cs17\i0\v\fs20\cf9\lang1024\langfe1024\loch\af1\hich\af1\dbch\af31501\noproof\insrsid6317489\charrsid5511251 \hich\af1\dbch\af31501\loch\f1 &lt;TitreJust&gt;}{\rtlch\fcs1 \af0 \ltrch\fcs0 \insrsid6317489\charrsid5511251 _x000d__x000a_Justification}{\rtlch\fcs1 \af0 \ltrch\fcs0 \cs17\i0\v\fs20\cf9\lang1024\langfe1024\loch\af1\hich\af1\dbch\af31501\noproof\insrsid6317489\charrsid5511251 \hich\af1\dbch\af31501\loch\f1 &lt;/TitreJust&gt;}{\rtlch\fcs1 \af0 \ltrch\fcs0 _x000d__x000a_\insrsid6317489\charrsid5511251 _x000d__x000a_\par }\pard\plain \ltrpar\s21\ql \li0\ri0\sa240\nowidctlpar\wrapdefault\aspalpha\aspnum\faauto\adjustright\rin0\lin0\itap0\pararsid6317489 \rtlch\fcs1 \af0\afs20\alang1025 \ltrch\fcs0 \i\fs24\lang2057\langfe2057\cgrid\langnp2057\langfenp2057 {\rtlch\fcs1 \af0 _x000d__x000a_\ltrch\fcs0 \cs17\i0\v\fs20\cf9\lang1024\langfe1024\loch\af1\hich\af1\dbch\af31501\noproof\insrsid6317489\charrsid5511251 \hich\af1\dbch\af31501\loch\f1 &lt;OptDelPrev&gt;}{\rtlch\fcs1 \af0 \ltrch\fcs0 \insrsid6317489\charrsid5511251 #}{\rtlch\fcs1 \af1 _x000d__x000a_\ltrch\fcs0 \cs18\v\f1\fs20\cf15\insrsid6317489\charrsid5511251 MNU[TEXTJUSTYES][TEXTJUSTNO]@CHOICE@}{\rtlch\fcs1 \af0 \ltrch\fcs0 \insrsid6317489\charrsid5511251 #}{\rtlch\fcs1 \af0 \ltrch\fcs0 _x000d__x000a_\cs17\i0\v\fs20\cf9\lang1024\langfe1024\loch\af1\hich\af1\dbch\af31501\noproof\insrsid6317489\charrsid5511251 \hich\af1\dbch\af31501\loch\f1 &lt;/OptDelPrev&gt;}{\rtlch\fcs1 \af0 \ltrch\fcs0 \insrsid6317489\charrsid5511251 _x000d__x000a_\par }\pard\plain \ltrpar\ql \li0\ri0\widctlpar\wrapdefault\aspalpha\aspnum\faauto\adjustright\rin0\lin0\itap0\pararsid6317489 \rtlch\fcs1 \af0\afs20\alang1025 \ltrch\fcs0 \fs24\lang2057\langfe2057\cgrid\langnp2057\langfenp2057 {\rtlch\fcs1 \af0 \ltrch\fcs0 _x000d__x000a_\cs17\v\fs20\cf9\lang1024\langfe1024\loch\af1\hich\af1\dbch\af31501\noproof\insrsid6317489\charrsid5511251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f8_x000d__x000a_329d1e9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OD_1amCom"/>
    <w:docVar w:name="strSubDir" w:val="1280"/>
    <w:docVar w:name="TVTACTPART" w:val="xxx"/>
    <w:docVar w:name="TVTAMACTPART" w:val="Recital 2"/>
    <w:docVar w:name="TXTAUTHOR" w:val="Danuta Maria Hübner"/>
    <w:docVar w:name="TXTLANGUE" w:val="EN"/>
    <w:docVar w:name="TXTLANGUEMIN" w:val="en"/>
    <w:docVar w:name="TXTNRC" w:val="0411/2022"/>
    <w:docVar w:name="TXTNRCOD" w:val="2022/0404"/>
    <w:docVar w:name="TXTNRCOM" w:val="(2022)0698"/>
    <w:docVar w:name="TXTNRDIR" w:val="(EU) 36/2013"/>
    <w:docVar w:name="TXTNRFIRSTAM" w:val="1"/>
    <w:docVar w:name="TXTNRLASTAM" w:val="2"/>
    <w:docVar w:name="TXTNRPE" w:val="749.905"/>
    <w:docVar w:name="TXTPEorAP" w:val="PE"/>
    <w:docVar w:name="TXTROUTE" w:val="PR\1280612EN.docx"/>
    <w:docVar w:name="TXTTITLE" w:val="Amending Directives 2009/65/EU, 2013/36/EU and (EU) 2019/2034 as regards the treatment of concentration risk towards central counterparties and the counterparty risk on centrally cleared derivative transactions"/>
    <w:docVar w:name="TXTVERSION" w:val="01-00"/>
  </w:docVars>
  <w:rsids>
    <w:rsidRoot w:val="00541853"/>
    <w:rsid w:val="00002CFB"/>
    <w:rsid w:val="00011AAB"/>
    <w:rsid w:val="00012351"/>
    <w:rsid w:val="000139E5"/>
    <w:rsid w:val="00084DD2"/>
    <w:rsid w:val="00084E89"/>
    <w:rsid w:val="000B7489"/>
    <w:rsid w:val="000F1096"/>
    <w:rsid w:val="00120948"/>
    <w:rsid w:val="00123DD5"/>
    <w:rsid w:val="001277AE"/>
    <w:rsid w:val="00142215"/>
    <w:rsid w:val="001767E2"/>
    <w:rsid w:val="00187008"/>
    <w:rsid w:val="001B3829"/>
    <w:rsid w:val="001C5592"/>
    <w:rsid w:val="001C5B44"/>
    <w:rsid w:val="001C6FFC"/>
    <w:rsid w:val="001D6D78"/>
    <w:rsid w:val="001F7C7C"/>
    <w:rsid w:val="00212B84"/>
    <w:rsid w:val="002346B0"/>
    <w:rsid w:val="00242AB6"/>
    <w:rsid w:val="002667C3"/>
    <w:rsid w:val="002669B6"/>
    <w:rsid w:val="00290BED"/>
    <w:rsid w:val="002B43FA"/>
    <w:rsid w:val="002D13EE"/>
    <w:rsid w:val="002E33EE"/>
    <w:rsid w:val="002F40BB"/>
    <w:rsid w:val="002F4B02"/>
    <w:rsid w:val="00300ECF"/>
    <w:rsid w:val="00323EF8"/>
    <w:rsid w:val="003316DD"/>
    <w:rsid w:val="003506ED"/>
    <w:rsid w:val="00366A46"/>
    <w:rsid w:val="00370AC3"/>
    <w:rsid w:val="003824EE"/>
    <w:rsid w:val="003B4689"/>
    <w:rsid w:val="003C2068"/>
    <w:rsid w:val="003C37CF"/>
    <w:rsid w:val="004100B1"/>
    <w:rsid w:val="00426E47"/>
    <w:rsid w:val="00455743"/>
    <w:rsid w:val="00460B87"/>
    <w:rsid w:val="00461601"/>
    <w:rsid w:val="004C0915"/>
    <w:rsid w:val="004D424E"/>
    <w:rsid w:val="004E42C8"/>
    <w:rsid w:val="004E733D"/>
    <w:rsid w:val="004F3FA5"/>
    <w:rsid w:val="0051271F"/>
    <w:rsid w:val="00521F46"/>
    <w:rsid w:val="00541853"/>
    <w:rsid w:val="00551111"/>
    <w:rsid w:val="00551123"/>
    <w:rsid w:val="00570A6A"/>
    <w:rsid w:val="00586E50"/>
    <w:rsid w:val="0059583D"/>
    <w:rsid w:val="005A42D9"/>
    <w:rsid w:val="005C2BEF"/>
    <w:rsid w:val="005D1A99"/>
    <w:rsid w:val="005D7609"/>
    <w:rsid w:val="005D7EE8"/>
    <w:rsid w:val="00642325"/>
    <w:rsid w:val="006665AE"/>
    <w:rsid w:val="00683478"/>
    <w:rsid w:val="0069092A"/>
    <w:rsid w:val="006A2F5D"/>
    <w:rsid w:val="006E353E"/>
    <w:rsid w:val="006F7907"/>
    <w:rsid w:val="00716240"/>
    <w:rsid w:val="00743189"/>
    <w:rsid w:val="00743D33"/>
    <w:rsid w:val="007932B3"/>
    <w:rsid w:val="00793EA9"/>
    <w:rsid w:val="007C447B"/>
    <w:rsid w:val="007D6F68"/>
    <w:rsid w:val="0081060C"/>
    <w:rsid w:val="00823E6B"/>
    <w:rsid w:val="00826780"/>
    <w:rsid w:val="008370AE"/>
    <w:rsid w:val="00837CCD"/>
    <w:rsid w:val="008633CC"/>
    <w:rsid w:val="00865190"/>
    <w:rsid w:val="008719B9"/>
    <w:rsid w:val="00894923"/>
    <w:rsid w:val="00894ECE"/>
    <w:rsid w:val="00896BB4"/>
    <w:rsid w:val="008A7FB8"/>
    <w:rsid w:val="009022B8"/>
    <w:rsid w:val="00914537"/>
    <w:rsid w:val="00917CC4"/>
    <w:rsid w:val="009763DA"/>
    <w:rsid w:val="009975B3"/>
    <w:rsid w:val="009A216D"/>
    <w:rsid w:val="009B4B93"/>
    <w:rsid w:val="009F24BE"/>
    <w:rsid w:val="009F6C2F"/>
    <w:rsid w:val="009F767A"/>
    <w:rsid w:val="00A22533"/>
    <w:rsid w:val="00A26F46"/>
    <w:rsid w:val="00A34FD3"/>
    <w:rsid w:val="00A36929"/>
    <w:rsid w:val="00A50548"/>
    <w:rsid w:val="00A60EE7"/>
    <w:rsid w:val="00A910C9"/>
    <w:rsid w:val="00AA35B0"/>
    <w:rsid w:val="00AD18C8"/>
    <w:rsid w:val="00AD7FA6"/>
    <w:rsid w:val="00AE4643"/>
    <w:rsid w:val="00AF0416"/>
    <w:rsid w:val="00B10CB4"/>
    <w:rsid w:val="00B13D6F"/>
    <w:rsid w:val="00B23B72"/>
    <w:rsid w:val="00B42702"/>
    <w:rsid w:val="00B54EAF"/>
    <w:rsid w:val="00B57B8B"/>
    <w:rsid w:val="00B85407"/>
    <w:rsid w:val="00B95702"/>
    <w:rsid w:val="00BC6489"/>
    <w:rsid w:val="00BD480C"/>
    <w:rsid w:val="00BD728D"/>
    <w:rsid w:val="00C20954"/>
    <w:rsid w:val="00C23324"/>
    <w:rsid w:val="00C42A41"/>
    <w:rsid w:val="00C47E74"/>
    <w:rsid w:val="00C57A72"/>
    <w:rsid w:val="00C73602"/>
    <w:rsid w:val="00C85D0F"/>
    <w:rsid w:val="00CE1258"/>
    <w:rsid w:val="00CF60C8"/>
    <w:rsid w:val="00D06F68"/>
    <w:rsid w:val="00D30DE2"/>
    <w:rsid w:val="00D32924"/>
    <w:rsid w:val="00D503A3"/>
    <w:rsid w:val="00DA6ED0"/>
    <w:rsid w:val="00DC5011"/>
    <w:rsid w:val="00E171B6"/>
    <w:rsid w:val="00E72695"/>
    <w:rsid w:val="00EB1753"/>
    <w:rsid w:val="00EB6CFF"/>
    <w:rsid w:val="00EE3996"/>
    <w:rsid w:val="00F07062"/>
    <w:rsid w:val="00F23CFC"/>
    <w:rsid w:val="00F433E2"/>
    <w:rsid w:val="00F904AE"/>
    <w:rsid w:val="00F934F8"/>
    <w:rsid w:val="00FB52FE"/>
    <w:rsid w:val="00FC0A34"/>
    <w:rsid w:val="00FD1DEF"/>
    <w:rsid w:val="00FE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E6F7C9-EEB5-4E40-AC4E-BA1D27648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68347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8347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83478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BD728D"/>
    <w:rPr>
      <w:sz w:val="24"/>
      <w:lang w:val="sk-SK"/>
    </w:rPr>
  </w:style>
  <w:style w:type="paragraph" w:customStyle="1" w:styleId="Normal6">
    <w:name w:val="Normal6"/>
    <w:basedOn w:val="Normal"/>
    <w:link w:val="Normal6Char"/>
    <w:rsid w:val="00BD728D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BD728D"/>
    <w:rPr>
      <w:b/>
      <w:sz w:val="24"/>
    </w:rPr>
  </w:style>
  <w:style w:type="paragraph" w:customStyle="1" w:styleId="Normal12Italic">
    <w:name w:val="Normal12Italic"/>
    <w:basedOn w:val="Normal"/>
    <w:rsid w:val="00BD728D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BD728D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BD728D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BD728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BD728D"/>
    <w:pPr>
      <w:jc w:val="right"/>
    </w:pPr>
  </w:style>
  <w:style w:type="paragraph" w:styleId="Footer">
    <w:name w:val="footer"/>
    <w:basedOn w:val="Normal"/>
    <w:link w:val="FooterChar"/>
    <w:semiHidden/>
    <w:rsid w:val="00BD72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BD728D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6665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665A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CE1258"/>
    <w:rPr>
      <w:sz w:val="16"/>
      <w:szCs w:val="16"/>
    </w:rPr>
  </w:style>
  <w:style w:type="paragraph" w:styleId="CommentText">
    <w:name w:val="annotation text"/>
    <w:basedOn w:val="Normal"/>
    <w:link w:val="CommentTextChar"/>
    <w:rsid w:val="00CE125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E1258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E12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E12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3B1679-E0E6-4962-91FB-194F9818D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1536</Words>
  <Characters>9649</Characters>
  <Application>Microsoft Office Word</Application>
  <DocSecurity>0</DocSecurity>
  <Lines>311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11092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creator>TURLUI Emil-Gabriel</dc:creator>
  <cp:lastModifiedBy>DINGA-SUPOVA Lucia</cp:lastModifiedBy>
  <cp:revision>2</cp:revision>
  <cp:lastPrinted>2004-11-04T09:41:00Z</cp:lastPrinted>
  <dcterms:created xsi:type="dcterms:W3CDTF">2023-06-26T09:05:00Z</dcterms:created>
  <dcterms:modified xsi:type="dcterms:W3CDTF">2023-06-26T09:05:00Z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1280612</vt:lpwstr>
  </property>
  <property fmtid="{D5CDD505-2E9C-101B-9397-08002B2CF9AE}" pid="4" name="&lt;Model&gt;">
    <vt:lpwstr>PR_COD_1amCom</vt:lpwstr>
  </property>
  <property fmtid="{D5CDD505-2E9C-101B-9397-08002B2CF9AE}" pid="5" name="&lt;ModelCod&gt;">
    <vt:lpwstr>\\eiciBRUpr1\pdocep$\DocEP\DOCS\General\PR\PR_Leg\COD\COD_1st\PR_COD_1amCom.dotx(17/04/2020 19:27:09)</vt:lpwstr>
  </property>
  <property fmtid="{D5CDD505-2E9C-101B-9397-08002B2CF9AE}" pid="6" name="&lt;ModelTra&gt;">
    <vt:lpwstr>\\eiciBRUpr1\pdocep$\DocEP\TRANSFIL\EN\PR_COD_1amCom.EN(29/06/2022 10:21:37)</vt:lpwstr>
  </property>
  <property fmtid="{D5CDD505-2E9C-101B-9397-08002B2CF9AE}" pid="7" name="&lt;Type&gt;">
    <vt:lpwstr>PR</vt:lpwstr>
  </property>
  <property fmtid="{D5CDD505-2E9C-101B-9397-08002B2CF9AE}" pid="8" name="Created with">
    <vt:lpwstr>9.15.0 Build [20230501]</vt:lpwstr>
  </property>
  <property fmtid="{D5CDD505-2E9C-101B-9397-08002B2CF9AE}" pid="9" name="FooterPath">
    <vt:lpwstr>PR\1280612SK.docx</vt:lpwstr>
  </property>
  <property fmtid="{D5CDD505-2E9C-101B-9397-08002B2CF9AE}" pid="10" name="LastEdited with">
    <vt:lpwstr>9.15.0 Build [20230501]</vt:lpwstr>
  </property>
  <property fmtid="{D5CDD505-2E9C-101B-9397-08002B2CF9AE}" pid="11" name="PE number">
    <vt:lpwstr>749.905</vt:lpwstr>
  </property>
  <property fmtid="{D5CDD505-2E9C-101B-9397-08002B2CF9AE}" pid="12" name="SDLStudio">
    <vt:lpwstr/>
  </property>
  <property fmtid="{D5CDD505-2E9C-101B-9397-08002B2CF9AE}" pid="13" name="SendToEpades">
    <vt:lpwstr>OK - 2023/06/09 14:12</vt:lpwstr>
  </property>
  <property fmtid="{D5CDD505-2E9C-101B-9397-08002B2CF9AE}" pid="14" name="Bookout">
    <vt:lpwstr>OK - 2023/06/26 11:02</vt:lpwstr>
  </property>
</Properties>
</file>