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2461B" w:rsidRPr="00D7187F" w:rsidTr="00C85D0F">
        <w:trPr>
          <w:trHeight w:hRule="exact" w:val="1418"/>
        </w:trPr>
        <w:tc>
          <w:tcPr>
            <w:tcW w:w="6804" w:type="dxa"/>
            <w:shd w:val="clear" w:color="auto" w:fill="auto"/>
            <w:vAlign w:val="center"/>
          </w:tcPr>
          <w:p w:rsidR="00B13D6F" w:rsidRPr="00D7187F" w:rsidRDefault="005F2FA5" w:rsidP="00C85D0F">
            <w:pPr>
              <w:pStyle w:val="EPName"/>
            </w:pPr>
            <w:r w:rsidRPr="00D7187F">
              <w:t>Europaparlamentet</w:t>
            </w:r>
          </w:p>
          <w:p w:rsidR="00B13D6F" w:rsidRPr="00D7187F" w:rsidRDefault="005F2FA5" w:rsidP="00683478">
            <w:pPr>
              <w:pStyle w:val="EPTerm"/>
            </w:pPr>
            <w:r w:rsidRPr="00D7187F">
              <w:t>2019-2024</w:t>
            </w:r>
          </w:p>
        </w:tc>
        <w:tc>
          <w:tcPr>
            <w:tcW w:w="2268" w:type="dxa"/>
            <w:shd w:val="clear" w:color="auto" w:fill="auto"/>
          </w:tcPr>
          <w:p w:rsidR="00B13D6F" w:rsidRPr="00D7187F" w:rsidRDefault="005F2FA5" w:rsidP="00C85D0F">
            <w:pPr>
              <w:pStyle w:val="EPLogo"/>
            </w:pPr>
            <w:r w:rsidRPr="00D7187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D7187F" w:rsidRDefault="00461601" w:rsidP="00461601">
      <w:pPr>
        <w:pStyle w:val="LineTop"/>
      </w:pPr>
    </w:p>
    <w:p w:rsidR="00461601" w:rsidRPr="00D7187F" w:rsidRDefault="005F2FA5" w:rsidP="00461601">
      <w:pPr>
        <w:pStyle w:val="EPBody"/>
      </w:pPr>
      <w:r w:rsidRPr="00D7187F">
        <w:rPr>
          <w:rStyle w:val="HideTWBExt"/>
        </w:rPr>
        <w:t>&lt;</w:t>
      </w:r>
      <w:r w:rsidRPr="00D7187F">
        <w:rPr>
          <w:rStyle w:val="HideTWBExt"/>
          <w:i w:val="0"/>
        </w:rPr>
        <w:t>Commission</w:t>
      </w:r>
      <w:r w:rsidRPr="00D7187F">
        <w:rPr>
          <w:rStyle w:val="HideTWBExt"/>
        </w:rPr>
        <w:t>&gt;</w:t>
      </w:r>
      <w:r w:rsidRPr="00D7187F">
        <w:rPr>
          <w:rStyle w:val="HideTWBInt"/>
          <w:color w:val="auto"/>
        </w:rPr>
        <w:t>{ECON}</w:t>
      </w:r>
      <w:r w:rsidRPr="00D7187F">
        <w:t>Utskottet för ekonomi och valutafrågor</w:t>
      </w:r>
      <w:r w:rsidRPr="00D7187F">
        <w:rPr>
          <w:rStyle w:val="HideTWBExt"/>
        </w:rPr>
        <w:t>&lt;/</w:t>
      </w:r>
      <w:r w:rsidRPr="00D7187F">
        <w:rPr>
          <w:rStyle w:val="HideTWBExt"/>
          <w:i w:val="0"/>
        </w:rPr>
        <w:t>Commission</w:t>
      </w:r>
      <w:r w:rsidRPr="00D7187F">
        <w:rPr>
          <w:rStyle w:val="HideTWBExt"/>
        </w:rPr>
        <w:t>&gt;</w:t>
      </w:r>
    </w:p>
    <w:p w:rsidR="00461601" w:rsidRPr="00D7187F" w:rsidRDefault="00461601" w:rsidP="00461601">
      <w:pPr>
        <w:pStyle w:val="LineBottom"/>
      </w:pPr>
    </w:p>
    <w:p w:rsidR="00793EA9" w:rsidRPr="00D7187F" w:rsidRDefault="005F2FA5">
      <w:pPr>
        <w:pStyle w:val="CoverReference"/>
      </w:pPr>
      <w:r w:rsidRPr="00D7187F">
        <w:rPr>
          <w:rStyle w:val="HideTWBExt"/>
          <w:b w:val="0"/>
        </w:rPr>
        <w:t>&lt;RefProc&gt;</w:t>
      </w:r>
      <w:r w:rsidRPr="00D7187F">
        <w:t>2022/0404</w:t>
      </w:r>
      <w:r w:rsidRPr="00D7187F">
        <w:rPr>
          <w:rStyle w:val="HideTWBExt"/>
          <w:b w:val="0"/>
        </w:rPr>
        <w:t>&lt;/RefProc&gt;&lt;RefTypeProc&gt;</w:t>
      </w:r>
      <w:r w:rsidRPr="00D7187F">
        <w:t>(COD)</w:t>
      </w:r>
      <w:r w:rsidRPr="00D7187F">
        <w:rPr>
          <w:rStyle w:val="HideTWBExt"/>
          <w:b w:val="0"/>
        </w:rPr>
        <w:t>&lt;/RefTypeProc&gt;</w:t>
      </w:r>
    </w:p>
    <w:p w:rsidR="00793EA9" w:rsidRPr="00D7187F" w:rsidRDefault="005F2FA5">
      <w:pPr>
        <w:pStyle w:val="CoverDate"/>
      </w:pPr>
      <w:r w:rsidRPr="00D7187F">
        <w:rPr>
          <w:rStyle w:val="HideTWBExt"/>
        </w:rPr>
        <w:t>&lt;Date&gt;</w:t>
      </w:r>
      <w:r w:rsidRPr="00D7187F">
        <w:rPr>
          <w:rStyle w:val="HideTWBInt"/>
          <w:color w:val="auto"/>
        </w:rPr>
        <w:t>{09/06/2023}</w:t>
      </w:r>
      <w:r w:rsidRPr="00D7187F">
        <w:t>9.6.2023</w:t>
      </w:r>
      <w:r w:rsidRPr="00D7187F">
        <w:rPr>
          <w:rStyle w:val="HideTWBExt"/>
        </w:rPr>
        <w:t>&lt;/Date&gt;</w:t>
      </w:r>
    </w:p>
    <w:p w:rsidR="00793EA9" w:rsidRPr="00D7187F" w:rsidRDefault="005F2FA5">
      <w:pPr>
        <w:pStyle w:val="CoverDocType"/>
      </w:pPr>
      <w:r w:rsidRPr="00D7187F">
        <w:rPr>
          <w:rStyle w:val="HideTWBExt"/>
          <w:b w:val="0"/>
        </w:rPr>
        <w:t>&lt;RefProcLect&gt;</w:t>
      </w:r>
      <w:r w:rsidRPr="00D7187F">
        <w:t>***I</w:t>
      </w:r>
      <w:r w:rsidRPr="00D7187F">
        <w:rPr>
          <w:rStyle w:val="HideTWBExt"/>
          <w:b w:val="0"/>
        </w:rPr>
        <w:t>&lt;/RefProcLect&gt;</w:t>
      </w:r>
    </w:p>
    <w:p w:rsidR="00793EA9" w:rsidRPr="00D7187F" w:rsidRDefault="005F2FA5">
      <w:pPr>
        <w:pStyle w:val="CoverDocType24a"/>
      </w:pPr>
      <w:r w:rsidRPr="00D7187F">
        <w:rPr>
          <w:rStyle w:val="HideTWBExt"/>
          <w:b w:val="0"/>
        </w:rPr>
        <w:t>&lt;TitreType&gt;</w:t>
      </w:r>
      <w:r w:rsidRPr="00D7187F">
        <w:t xml:space="preserve">FÖRSLAG TILL </w:t>
      </w:r>
      <w:r w:rsidRPr="00D7187F">
        <w:t>BETÄNKANDE</w:t>
      </w:r>
      <w:r w:rsidRPr="00D7187F">
        <w:rPr>
          <w:rStyle w:val="HideTWBExt"/>
          <w:b w:val="0"/>
        </w:rPr>
        <w:t>&lt;/TitreType&gt;</w:t>
      </w:r>
    </w:p>
    <w:p w:rsidR="00793EA9" w:rsidRPr="00D7187F" w:rsidRDefault="005F2FA5">
      <w:pPr>
        <w:pStyle w:val="CoverNormal"/>
      </w:pPr>
      <w:r w:rsidRPr="00D7187F">
        <w:rPr>
          <w:rStyle w:val="HideTWBExt"/>
        </w:rPr>
        <w:t>&lt;Titre&gt;</w:t>
      </w:r>
      <w:r w:rsidRPr="00D7187F">
        <w:t>om förslaget till Europaparlamentets och rådets direktiv om ändring av direktiven 2009/65/EU, 2013/36/EU och (EU) 2019/2034 vad gäller behandlingen av koncentrationsrisk m</w:t>
      </w:r>
      <w:bookmarkStart w:id="0" w:name="_GoBack"/>
      <w:bookmarkEnd w:id="0"/>
      <w:r w:rsidRPr="00D7187F">
        <w:t>ot centrala motparter och motpartsrisk i centralt clear</w:t>
      </w:r>
      <w:r w:rsidRPr="00D7187F">
        <w:t>ade derivattransaktioner</w:t>
      </w:r>
      <w:r w:rsidRPr="00D7187F">
        <w:rPr>
          <w:rStyle w:val="HideTWBExt"/>
        </w:rPr>
        <w:t>&lt;/Titre&gt;</w:t>
      </w:r>
    </w:p>
    <w:p w:rsidR="00793EA9" w:rsidRPr="00D7187F" w:rsidRDefault="005F2FA5">
      <w:pPr>
        <w:pStyle w:val="CoverNormal24a"/>
      </w:pPr>
      <w:r w:rsidRPr="00D7187F">
        <w:rPr>
          <w:rStyle w:val="HideTWBExt"/>
        </w:rPr>
        <w:t>&lt;DocRef&gt;</w:t>
      </w:r>
      <w:r w:rsidRPr="00D7187F">
        <w:t>(COM(2022)0698 – C9</w:t>
      </w:r>
      <w:r w:rsidRPr="00D7187F">
        <w:noBreakHyphen/>
        <w:t>0411/2022 – 2022/0404(COD))</w:t>
      </w:r>
      <w:r w:rsidRPr="00D7187F">
        <w:rPr>
          <w:rStyle w:val="HideTWBExt"/>
        </w:rPr>
        <w:t>&lt;/DocRef&gt;</w:t>
      </w:r>
    </w:p>
    <w:p w:rsidR="00793EA9" w:rsidRPr="00D7187F" w:rsidRDefault="005F2FA5">
      <w:pPr>
        <w:pStyle w:val="CoverNormal24a"/>
      </w:pPr>
      <w:r w:rsidRPr="00D7187F">
        <w:rPr>
          <w:rStyle w:val="HideTWBExt"/>
        </w:rPr>
        <w:t>&lt;Commission&gt;</w:t>
      </w:r>
      <w:r w:rsidRPr="00D7187F">
        <w:rPr>
          <w:rStyle w:val="HideTWBInt"/>
          <w:color w:val="auto"/>
        </w:rPr>
        <w:t>{ECON}</w:t>
      </w:r>
      <w:r w:rsidRPr="00D7187F">
        <w:t>Utskottet för ekonomi och valutafrågor</w:t>
      </w:r>
      <w:r w:rsidRPr="00D7187F">
        <w:rPr>
          <w:rStyle w:val="HideTWBExt"/>
        </w:rPr>
        <w:t>&lt;/Commission&gt;</w:t>
      </w:r>
    </w:p>
    <w:p w:rsidR="00793EA9" w:rsidRPr="00D7187F" w:rsidRDefault="005F2FA5">
      <w:pPr>
        <w:pStyle w:val="CoverNormal24a"/>
      </w:pPr>
      <w:r w:rsidRPr="00D7187F">
        <w:t xml:space="preserve">Föredragande: </w:t>
      </w:r>
      <w:r w:rsidRPr="00D7187F">
        <w:rPr>
          <w:rStyle w:val="HideTWBExt"/>
        </w:rPr>
        <w:t>&lt;Depute&gt;</w:t>
      </w:r>
      <w:r w:rsidRPr="00D7187F">
        <w:t>Danuta Maria Hübner</w:t>
      </w:r>
      <w:r w:rsidRPr="00D7187F">
        <w:rPr>
          <w:rStyle w:val="HideTWBExt"/>
        </w:rPr>
        <w:t>&lt;/Depute&gt;</w:t>
      </w:r>
    </w:p>
    <w:p w:rsidR="001C5B44" w:rsidRPr="00D7187F" w:rsidRDefault="001C5B44" w:rsidP="001C5B44">
      <w:pPr>
        <w:pStyle w:val="CoverNormal"/>
      </w:pPr>
    </w:p>
    <w:p w:rsidR="00683478" w:rsidRPr="00D7187F" w:rsidRDefault="005F2FA5" w:rsidP="00894923">
      <w:r w:rsidRPr="00D7187F">
        <w:br w:type="page"/>
      </w:r>
      <w:fldSimple w:instr=" TITLE  \* MERGEFORMAT ">
        <w:r>
          <w:t>PR_COD_1amCom</w:t>
        </w:r>
      </w:fldSimple>
    </w:p>
    <w:p w:rsidR="00683478" w:rsidRPr="00D7187F" w:rsidRDefault="00683478" w:rsidP="00894923"/>
    <w:p w:rsidR="00683478" w:rsidRPr="00D7187F" w:rsidRDefault="00683478"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2461B" w:rsidRPr="00D7187F">
        <w:tc>
          <w:tcPr>
            <w:tcW w:w="5811" w:type="dxa"/>
          </w:tcPr>
          <w:p w:rsidR="00683478" w:rsidRPr="00D7187F" w:rsidRDefault="005F2FA5" w:rsidP="00894923">
            <w:pPr>
              <w:pStyle w:val="Lgendetitre"/>
            </w:pPr>
            <w:r w:rsidRPr="00D7187F">
              <w:t>Teckenförklaring</w:t>
            </w:r>
          </w:p>
        </w:tc>
      </w:tr>
      <w:tr w:rsidR="0052461B" w:rsidRPr="00D7187F" w:rsidTr="007452CB">
        <w:trPr>
          <w:cantSplit/>
          <w:trHeight w:val="1807"/>
        </w:trPr>
        <w:tc>
          <w:tcPr>
            <w:tcW w:w="5811" w:type="dxa"/>
            <w:tcBorders>
              <w:bottom w:val="single" w:sz="4" w:space="0" w:color="auto"/>
            </w:tcBorders>
          </w:tcPr>
          <w:p w:rsidR="00683478" w:rsidRPr="00D7187F" w:rsidRDefault="005F2FA5" w:rsidP="003506ED">
            <w:pPr>
              <w:pStyle w:val="Lgendesigne"/>
            </w:pPr>
            <w:r w:rsidRPr="00D7187F">
              <w:tab/>
              <w:t>*</w:t>
            </w:r>
            <w:r w:rsidRPr="00D7187F">
              <w:tab/>
              <w:t>Samrådsförfarande</w:t>
            </w:r>
          </w:p>
          <w:p w:rsidR="00683478" w:rsidRPr="00D7187F" w:rsidRDefault="005F2FA5" w:rsidP="003506ED">
            <w:pPr>
              <w:pStyle w:val="Lgendesigne"/>
            </w:pPr>
            <w:r w:rsidRPr="00D7187F">
              <w:tab/>
              <w:t>***</w:t>
            </w:r>
            <w:r w:rsidRPr="00D7187F">
              <w:tab/>
              <w:t>Godkännandeförfarande</w:t>
            </w:r>
          </w:p>
          <w:p w:rsidR="00683478" w:rsidRPr="00D7187F" w:rsidRDefault="005F2FA5" w:rsidP="003506ED">
            <w:pPr>
              <w:pStyle w:val="Lgendesigne"/>
            </w:pPr>
            <w:r w:rsidRPr="00D7187F">
              <w:tab/>
              <w:t>***I</w:t>
            </w:r>
            <w:r w:rsidRPr="00D7187F">
              <w:tab/>
              <w:t>Ordinarie lagstiftningsförfarande (första behandlingen)</w:t>
            </w:r>
          </w:p>
          <w:p w:rsidR="00683478" w:rsidRPr="00D7187F" w:rsidRDefault="005F2FA5" w:rsidP="003506ED">
            <w:pPr>
              <w:pStyle w:val="Lgendesigne"/>
            </w:pPr>
            <w:r w:rsidRPr="00D7187F">
              <w:tab/>
              <w:t>***II</w:t>
            </w:r>
            <w:r w:rsidRPr="00D7187F">
              <w:tab/>
              <w:t>Ordinarie lagstiftningsförfarande (andra behandlingen)</w:t>
            </w:r>
          </w:p>
          <w:p w:rsidR="00683478" w:rsidRPr="00D7187F" w:rsidRDefault="005F2FA5" w:rsidP="003506ED">
            <w:pPr>
              <w:pStyle w:val="Lgendesigne"/>
            </w:pPr>
            <w:r w:rsidRPr="00D7187F">
              <w:tab/>
              <w:t>***III</w:t>
            </w:r>
            <w:r w:rsidRPr="00D7187F">
              <w:tab/>
              <w:t>Ordinarie lagstiftningsförfarande (tred</w:t>
            </w:r>
            <w:r w:rsidRPr="00D7187F">
              <w:t>je behandlingen)</w:t>
            </w:r>
          </w:p>
          <w:p w:rsidR="00683478" w:rsidRPr="00D7187F" w:rsidRDefault="00683478" w:rsidP="003506ED">
            <w:pPr>
              <w:pStyle w:val="Lgendestandard"/>
            </w:pPr>
          </w:p>
          <w:p w:rsidR="00683478" w:rsidRPr="00D7187F" w:rsidRDefault="005F2FA5" w:rsidP="003506ED">
            <w:pPr>
              <w:pStyle w:val="Lgendestandard"/>
            </w:pPr>
            <w:r w:rsidRPr="00D7187F">
              <w:t>(Det angivna förfarandet baseras på den rättsliga grund som angetts i förslaget till akt.)</w:t>
            </w:r>
          </w:p>
          <w:p w:rsidR="00683478" w:rsidRPr="00D7187F" w:rsidRDefault="00683478" w:rsidP="00B54EAF">
            <w:pPr>
              <w:pStyle w:val="Lgendestandard"/>
            </w:pPr>
          </w:p>
        </w:tc>
      </w:tr>
    </w:tbl>
    <w:p w:rsidR="00683478" w:rsidRPr="00D7187F" w:rsidRDefault="00683478" w:rsidP="00894923"/>
    <w:p w:rsidR="00683478" w:rsidRPr="00D7187F" w:rsidRDefault="00683478" w:rsidP="00894923"/>
    <w:p w:rsidR="00683478" w:rsidRPr="00D7187F" w:rsidRDefault="00683478" w:rsidP="00894923"/>
    <w:p w:rsidR="00683478" w:rsidRPr="00D7187F" w:rsidRDefault="00683478"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2461B" w:rsidRPr="00D7187F">
        <w:tc>
          <w:tcPr>
            <w:tcW w:w="5811" w:type="dxa"/>
          </w:tcPr>
          <w:p w:rsidR="00683478" w:rsidRPr="00D7187F" w:rsidRDefault="005F2FA5" w:rsidP="00894923">
            <w:pPr>
              <w:pStyle w:val="Lgendetitre"/>
            </w:pPr>
            <w:r w:rsidRPr="00D7187F">
              <w:t>Ändringsförslag till ett förslag till akt</w:t>
            </w:r>
          </w:p>
        </w:tc>
      </w:tr>
      <w:tr w:rsidR="0052461B" w:rsidRPr="00D7187F" w:rsidTr="00554250">
        <w:trPr>
          <w:trHeight w:val="4496"/>
        </w:trPr>
        <w:tc>
          <w:tcPr>
            <w:tcW w:w="5811" w:type="dxa"/>
          </w:tcPr>
          <w:p w:rsidR="00683478" w:rsidRPr="00D7187F" w:rsidRDefault="005F2FA5" w:rsidP="003506ED">
            <w:pPr>
              <w:pStyle w:val="Lgendestandard"/>
              <w:rPr>
                <w:szCs w:val="24"/>
              </w:rPr>
            </w:pPr>
            <w:r w:rsidRPr="00D7187F">
              <w:rPr>
                <w:b/>
              </w:rPr>
              <w:t>När parlamentets ändringsförslag utformas i två spalter gäller följande:</w:t>
            </w:r>
          </w:p>
          <w:p w:rsidR="00683478" w:rsidRPr="00D7187F" w:rsidRDefault="00683478" w:rsidP="003506ED">
            <w:pPr>
              <w:pStyle w:val="Lgendestandard"/>
              <w:rPr>
                <w:szCs w:val="24"/>
              </w:rPr>
            </w:pPr>
          </w:p>
          <w:p w:rsidR="00683478" w:rsidRPr="00D7187F" w:rsidRDefault="005F2FA5" w:rsidP="003506ED">
            <w:pPr>
              <w:pStyle w:val="Lgendestandard"/>
              <w:rPr>
                <w:szCs w:val="24"/>
              </w:rPr>
            </w:pPr>
            <w:r w:rsidRPr="00D7187F">
              <w:t xml:space="preserve">Text som utgår markeras med </w:t>
            </w:r>
            <w:r w:rsidRPr="00D7187F">
              <w:rPr>
                <w:b/>
                <w:bCs/>
                <w:i/>
                <w:iCs/>
              </w:rPr>
              <w:t>fetkursiv stil</w:t>
            </w:r>
            <w:r w:rsidRPr="00D7187F">
              <w:t xml:space="preserve"> i vänsterspalten. Text som ersätts markeras med </w:t>
            </w:r>
            <w:r w:rsidRPr="00D7187F">
              <w:rPr>
                <w:b/>
                <w:bCs/>
                <w:i/>
                <w:iCs/>
              </w:rPr>
              <w:t>fetkursiv stil</w:t>
            </w:r>
            <w:r w:rsidRPr="00D7187F">
              <w:t xml:space="preserve"> i båda spalterna. Ny text markeras med </w:t>
            </w:r>
            <w:r w:rsidRPr="00D7187F">
              <w:rPr>
                <w:b/>
                <w:bCs/>
                <w:i/>
                <w:iCs/>
              </w:rPr>
              <w:t>fetkursiv stil</w:t>
            </w:r>
            <w:r w:rsidRPr="00D7187F">
              <w:t xml:space="preserve"> i högerspalten.</w:t>
            </w:r>
          </w:p>
          <w:p w:rsidR="00683478" w:rsidRPr="00D7187F" w:rsidRDefault="00683478" w:rsidP="003506ED">
            <w:pPr>
              <w:pStyle w:val="Lgendestandard"/>
              <w:rPr>
                <w:szCs w:val="24"/>
              </w:rPr>
            </w:pPr>
          </w:p>
          <w:p w:rsidR="00683478" w:rsidRPr="00D7187F" w:rsidRDefault="005F2FA5" w:rsidP="003506ED">
            <w:pPr>
              <w:pStyle w:val="Lgendestandard"/>
              <w:rPr>
                <w:szCs w:val="24"/>
              </w:rPr>
            </w:pPr>
            <w:r w:rsidRPr="00D7187F">
              <w:t>De två första raderna i hänvisningen ovanför varje ändringsförslag anger vilket</w:t>
            </w:r>
            <w:r w:rsidRPr="00D7187F">
              <w:t xml:space="preserve"> textavsnitt som avses i det förslag till akt som behandlas. Om ett ändringsförslag avser en befintlig akt som förslaget till akt är avsett att ändra innehåller hänvisningen även en tredje och en fjärde rad. Den tredje raden anger den befintliga akten och </w:t>
            </w:r>
            <w:r w:rsidRPr="00D7187F">
              <w:t>den fjärde vilken bestämmelse i denna akt som ändringsförslaget avser.</w:t>
            </w:r>
          </w:p>
          <w:p w:rsidR="00683478" w:rsidRPr="00D7187F" w:rsidRDefault="00683478" w:rsidP="003506ED">
            <w:pPr>
              <w:pStyle w:val="Lgendestandard"/>
              <w:rPr>
                <w:szCs w:val="24"/>
              </w:rPr>
            </w:pPr>
          </w:p>
          <w:p w:rsidR="00683478" w:rsidRPr="00D7187F" w:rsidRDefault="005F2FA5" w:rsidP="003506ED">
            <w:pPr>
              <w:pStyle w:val="Lgendestandard"/>
              <w:rPr>
                <w:b/>
                <w:szCs w:val="24"/>
              </w:rPr>
            </w:pPr>
            <w:r w:rsidRPr="00D7187F">
              <w:rPr>
                <w:b/>
              </w:rPr>
              <w:t>När parlamentets ändringsförslag utformas som en konsoliderad text gäller följande:</w:t>
            </w:r>
          </w:p>
          <w:p w:rsidR="00683478" w:rsidRPr="00D7187F" w:rsidRDefault="00683478" w:rsidP="003506ED">
            <w:pPr>
              <w:pStyle w:val="Lgendestandard"/>
              <w:rPr>
                <w:szCs w:val="24"/>
              </w:rPr>
            </w:pPr>
          </w:p>
          <w:p w:rsidR="00683478" w:rsidRPr="00D7187F" w:rsidRDefault="005F2FA5" w:rsidP="003506ED">
            <w:pPr>
              <w:pStyle w:val="Lgendestandard"/>
              <w:rPr>
                <w:szCs w:val="24"/>
              </w:rPr>
            </w:pPr>
            <w:r w:rsidRPr="00D7187F">
              <w:t xml:space="preserve">Nya textdelar markeras med </w:t>
            </w:r>
            <w:r w:rsidRPr="00D7187F">
              <w:rPr>
                <w:b/>
                <w:bCs/>
                <w:i/>
                <w:iCs/>
              </w:rPr>
              <w:t>fetkursiv stil</w:t>
            </w:r>
            <w:r w:rsidRPr="00D7187F">
              <w:t>. Textdelar som utgår markeras med symbolen ▌eller med gen</w:t>
            </w:r>
            <w:r w:rsidRPr="00D7187F">
              <w:t xml:space="preserve">omstrykning. Textdelar som ersätts anges genom att ny text markeras med </w:t>
            </w:r>
            <w:r w:rsidRPr="00D7187F">
              <w:rPr>
                <w:b/>
                <w:bCs/>
                <w:i/>
                <w:iCs/>
              </w:rPr>
              <w:t>fetkursiv stil</w:t>
            </w:r>
            <w:r w:rsidRPr="00D7187F">
              <w:t xml:space="preserve"> och text som utgår stryks eller markeras med genomstrykning. </w:t>
            </w:r>
          </w:p>
          <w:p w:rsidR="00683478" w:rsidRPr="00D7187F" w:rsidRDefault="005F2FA5" w:rsidP="003506ED">
            <w:pPr>
              <w:pStyle w:val="Lgendestandard"/>
            </w:pPr>
            <w:r w:rsidRPr="00D7187F">
              <w:t xml:space="preserve">Sådana ändringar som endast är tekniska och som gjorts av de berörda avdelningarna vid färdigställandet av </w:t>
            </w:r>
            <w:r w:rsidRPr="00D7187F">
              <w:t>den slutliga texten markeras däremot inte.</w:t>
            </w:r>
          </w:p>
          <w:p w:rsidR="00683478" w:rsidRPr="00D7187F" w:rsidRDefault="00683478" w:rsidP="0069092A">
            <w:pPr>
              <w:pStyle w:val="Lgendestandard"/>
            </w:pPr>
          </w:p>
        </w:tc>
      </w:tr>
    </w:tbl>
    <w:p w:rsidR="00683478" w:rsidRPr="00D7187F" w:rsidRDefault="00683478" w:rsidP="00894923"/>
    <w:p w:rsidR="00793EA9" w:rsidRPr="00D7187F" w:rsidRDefault="00793EA9" w:rsidP="00012351">
      <w:pPr>
        <w:widowControl/>
        <w:tabs>
          <w:tab w:val="center" w:pos="4677"/>
        </w:tabs>
      </w:pPr>
    </w:p>
    <w:p w:rsidR="00793EA9" w:rsidRPr="00D7187F" w:rsidRDefault="005F2FA5">
      <w:pPr>
        <w:pStyle w:val="TOCHeading"/>
      </w:pPr>
      <w:r w:rsidRPr="00D7187F">
        <w:br w:type="page"/>
      </w:r>
      <w:r w:rsidRPr="00D7187F">
        <w:lastRenderedPageBreak/>
        <w:t>INNEHÅLL</w:t>
      </w:r>
    </w:p>
    <w:p w:rsidR="00793EA9" w:rsidRPr="00D7187F" w:rsidRDefault="005F2FA5">
      <w:pPr>
        <w:pStyle w:val="TOCPage"/>
      </w:pPr>
      <w:r w:rsidRPr="00D7187F">
        <w:t>Sida</w:t>
      </w:r>
    </w:p>
    <w:p w:rsidR="005F2FA5" w:rsidRDefault="005F2FA5">
      <w:pPr>
        <w:pStyle w:val="TOC1"/>
        <w:tabs>
          <w:tab w:val="right" w:leader="dot" w:pos="9060"/>
        </w:tabs>
        <w:rPr>
          <w:rFonts w:asciiTheme="minorHAnsi" w:eastAsiaTheme="minorEastAsia" w:hAnsiTheme="minorHAnsi" w:cstheme="minorBidi"/>
          <w:noProof/>
          <w:sz w:val="22"/>
          <w:szCs w:val="22"/>
          <w:lang w:val="en-GB"/>
        </w:rPr>
      </w:pPr>
      <w:r w:rsidRPr="00D7187F">
        <w:rPr>
          <w:b/>
        </w:rPr>
        <w:fldChar w:fldCharType="begin"/>
      </w:r>
      <w:r w:rsidRPr="00D7187F">
        <w:rPr>
          <w:b/>
        </w:rPr>
        <w:instrText xml:space="preserve"> TOC \t "PageHeading</w:instrText>
      </w:r>
      <w:r w:rsidR="00242AB6" w:rsidRPr="00D7187F">
        <w:rPr>
          <w:b/>
        </w:rPr>
        <w:instrText>;</w:instrText>
      </w:r>
      <w:r w:rsidRPr="00D7187F">
        <w:rPr>
          <w:b/>
        </w:rPr>
        <w:instrText xml:space="preserve">1" </w:instrText>
      </w:r>
      <w:r w:rsidRPr="00D7187F">
        <w:rPr>
          <w:b/>
        </w:rPr>
        <w:fldChar w:fldCharType="separate"/>
      </w:r>
      <w:r>
        <w:rPr>
          <w:noProof/>
        </w:rPr>
        <w:t>FÖRSLAG TILL EUROPAPARLAMENTETS LAGSTIFTNINGSRESOLUTION</w:t>
      </w:r>
      <w:r>
        <w:rPr>
          <w:noProof/>
        </w:rPr>
        <w:tab/>
      </w:r>
      <w:r>
        <w:rPr>
          <w:noProof/>
        </w:rPr>
        <w:fldChar w:fldCharType="begin"/>
      </w:r>
      <w:r>
        <w:rPr>
          <w:noProof/>
        </w:rPr>
        <w:instrText xml:space="preserve"> PAGEREF _Toc138154209 \h </w:instrText>
      </w:r>
      <w:r>
        <w:rPr>
          <w:noProof/>
        </w:rPr>
      </w:r>
      <w:r>
        <w:rPr>
          <w:noProof/>
        </w:rPr>
        <w:fldChar w:fldCharType="separate"/>
      </w:r>
      <w:r>
        <w:rPr>
          <w:noProof/>
        </w:rPr>
        <w:t>5</w:t>
      </w:r>
      <w:r>
        <w:rPr>
          <w:noProof/>
        </w:rPr>
        <w:fldChar w:fldCharType="end"/>
      </w:r>
    </w:p>
    <w:p w:rsidR="002346B0" w:rsidRPr="00D7187F" w:rsidRDefault="005F2FA5" w:rsidP="00C23324">
      <w:r w:rsidRPr="00D7187F">
        <w:rPr>
          <w:b/>
        </w:rPr>
        <w:fldChar w:fldCharType="end"/>
      </w:r>
    </w:p>
    <w:p w:rsidR="00793EA9" w:rsidRPr="00D7187F" w:rsidRDefault="005F2FA5">
      <w:pPr>
        <w:pStyle w:val="PageHeading"/>
      </w:pPr>
      <w:r w:rsidRPr="00D7187F">
        <w:br w:type="page"/>
      </w:r>
      <w:r w:rsidRPr="00D7187F">
        <w:lastRenderedPageBreak/>
        <w:br w:type="page"/>
      </w:r>
      <w:bookmarkStart w:id="1" w:name="_Toc138154209"/>
      <w:r w:rsidRPr="00D7187F">
        <w:lastRenderedPageBreak/>
        <w:t>FÖRSLAG TILL EUROPAPARLAMENTETS LAGSTIFTNINGSRESOLUTION</w:t>
      </w:r>
      <w:bookmarkEnd w:id="1"/>
    </w:p>
    <w:p w:rsidR="00793EA9" w:rsidRPr="00D7187F" w:rsidRDefault="005F2FA5" w:rsidP="006665AE">
      <w:pPr>
        <w:pStyle w:val="NormalBold"/>
      </w:pPr>
      <w:r w:rsidRPr="00D7187F">
        <w:t>om förslaget till Europaparlamentets och rådets direktiv om ändring av direktiven</w:t>
      </w:r>
      <w:r>
        <w:t> </w:t>
      </w:r>
      <w:r w:rsidRPr="00D7187F">
        <w:t xml:space="preserve">2009/65/EU, 2013/36/EU och (EU) 2019/2034 vad </w:t>
      </w:r>
      <w:r w:rsidRPr="00D7187F">
        <w:t>gäller behandlingen av koncentrationsrisk mot centrala motparter och motpartsrisk i centralt clearade derivattransaktioner</w:t>
      </w:r>
    </w:p>
    <w:p w:rsidR="00793EA9" w:rsidRPr="00D7187F" w:rsidRDefault="005F2FA5">
      <w:pPr>
        <w:pStyle w:val="NormalBold12a"/>
      </w:pPr>
      <w:r w:rsidRPr="00D7187F">
        <w:t>(COM(2022)0698 – C9</w:t>
      </w:r>
      <w:r w:rsidRPr="00D7187F">
        <w:noBreakHyphen/>
        <w:t>0411/2022 – 2022/0404(COD))</w:t>
      </w:r>
    </w:p>
    <w:p w:rsidR="00793EA9" w:rsidRPr="00D7187F" w:rsidRDefault="005F2FA5" w:rsidP="00A910C9">
      <w:pPr>
        <w:pStyle w:val="NormalBold"/>
      </w:pPr>
      <w:r w:rsidRPr="00D7187F">
        <w:t>(Ordinarie lagstiftningsförfarande: första behandlingen)</w:t>
      </w:r>
    </w:p>
    <w:p w:rsidR="00793EA9" w:rsidRPr="00D7187F" w:rsidRDefault="005F2FA5" w:rsidP="00A910C9">
      <w:pPr>
        <w:pStyle w:val="EPComma"/>
      </w:pPr>
      <w:r w:rsidRPr="00D7187F">
        <w:rPr>
          <w:i/>
        </w:rPr>
        <w:t>Europaparlamentet utfärdar d</w:t>
      </w:r>
      <w:r w:rsidRPr="00D7187F">
        <w:rPr>
          <w:i/>
        </w:rPr>
        <w:t>enna resolution</w:t>
      </w:r>
    </w:p>
    <w:p w:rsidR="00793EA9" w:rsidRPr="00D7187F" w:rsidRDefault="005F2FA5">
      <w:pPr>
        <w:pStyle w:val="NormalHanging12a"/>
      </w:pPr>
      <w:r w:rsidRPr="00D7187F">
        <w:t>–</w:t>
      </w:r>
      <w:r w:rsidRPr="00D7187F">
        <w:tab/>
        <w:t>med beaktande av kommissionens förslag till Europaparlamentet och rådet (COM(2022)0698),</w:t>
      </w:r>
    </w:p>
    <w:p w:rsidR="00793EA9" w:rsidRPr="00D7187F" w:rsidRDefault="005F2FA5" w:rsidP="00002CFB">
      <w:pPr>
        <w:pStyle w:val="NormalHanging12a"/>
      </w:pPr>
      <w:r w:rsidRPr="00D7187F">
        <w:t>–</w:t>
      </w:r>
      <w:r w:rsidRPr="00D7187F">
        <w:tab/>
        <w:t>med beaktande av artiklarna 294.2 och 53.1 i fördraget om Europeiska unionens funktionssätt, i enlighet med vilka kommissionen har lagt fram sitt f</w:t>
      </w:r>
      <w:r w:rsidRPr="00D7187F">
        <w:t>örslag för parlamentet (C9</w:t>
      </w:r>
      <w:r w:rsidRPr="00D7187F">
        <w:noBreakHyphen/>
        <w:t>0411/2022),</w:t>
      </w:r>
    </w:p>
    <w:p w:rsidR="00A26F46" w:rsidRPr="00D7187F" w:rsidRDefault="005F2FA5" w:rsidP="00A26F46">
      <w:pPr>
        <w:pStyle w:val="NormalHanging12a"/>
      </w:pPr>
      <w:r w:rsidRPr="00D7187F">
        <w:t>–</w:t>
      </w:r>
      <w:r w:rsidRPr="00D7187F">
        <w:tab/>
        <w:t>med beaktande av artikel 294.3 i fördraget om Europeiska unionens funktionssätt,</w:t>
      </w:r>
    </w:p>
    <w:p w:rsidR="00793EA9" w:rsidRPr="00D7187F" w:rsidRDefault="005F2FA5">
      <w:pPr>
        <w:pStyle w:val="NormalHanging12a"/>
      </w:pPr>
      <w:r w:rsidRPr="00D7187F">
        <w:t>–</w:t>
      </w:r>
      <w:r w:rsidRPr="00D7187F">
        <w:tab/>
        <w:t>med beaktande av artikel 59 i arbetsordningen,</w:t>
      </w:r>
    </w:p>
    <w:p w:rsidR="006A2F5D" w:rsidRPr="00D7187F" w:rsidRDefault="005F2FA5" w:rsidP="006A2F5D">
      <w:pPr>
        <w:pStyle w:val="NormalHanging12a"/>
      </w:pPr>
      <w:r w:rsidRPr="00D7187F">
        <w:t>–</w:t>
      </w:r>
      <w:r w:rsidRPr="00D7187F">
        <w:tab/>
        <w:t>med beaktande av betänkandet från utskottet för ekonomi och valutafrågor (A9</w:t>
      </w:r>
      <w:r w:rsidRPr="00D7187F">
        <w:noBreakHyphen/>
        <w:t>0000/2</w:t>
      </w:r>
      <w:r w:rsidRPr="00D7187F">
        <w:t>023),</w:t>
      </w:r>
    </w:p>
    <w:p w:rsidR="009F6C2F" w:rsidRPr="00D7187F" w:rsidRDefault="005F2FA5" w:rsidP="009F6C2F">
      <w:pPr>
        <w:pStyle w:val="NormalHanging12a"/>
      </w:pPr>
      <w:r w:rsidRPr="00D7187F">
        <w:t>1.</w:t>
      </w:r>
      <w:r w:rsidRPr="00D7187F">
        <w:tab/>
        <w:t>Europaparlamentet antar nedanstående ståndpunkt vid första behandlingen.</w:t>
      </w:r>
    </w:p>
    <w:p w:rsidR="009F6C2F" w:rsidRPr="00D7187F" w:rsidRDefault="005F2FA5" w:rsidP="009F6C2F">
      <w:pPr>
        <w:pStyle w:val="NormalHanging12a"/>
      </w:pPr>
      <w:r w:rsidRPr="00D7187F">
        <w:t>2.</w:t>
      </w:r>
      <w:r w:rsidRPr="00D7187F">
        <w:tab/>
        <w:t>Europaparlamentet uppmanar kommissionen att på nytt lägga fram ärendet för parlamentet om den ersätter, väsentligt ändrar eller har för avsikt att väsentligt ändra sitt fö</w:t>
      </w:r>
      <w:r w:rsidRPr="00D7187F">
        <w:t>rslag.</w:t>
      </w:r>
    </w:p>
    <w:p w:rsidR="009F6C2F" w:rsidRPr="00D7187F" w:rsidRDefault="005F2FA5" w:rsidP="009F6C2F">
      <w:pPr>
        <w:pStyle w:val="NormalHanging12a"/>
      </w:pPr>
      <w:r w:rsidRPr="00D7187F">
        <w:t>3.</w:t>
      </w:r>
      <w:r w:rsidRPr="00D7187F">
        <w:tab/>
        <w:t>Europaparlamentet uppdrar åt talmannen att översända parlamentets ståndpunkt till rådet, kommissionen och de nationella parlamenten.</w:t>
      </w:r>
    </w:p>
    <w:p w:rsidR="00D30DE2" w:rsidRPr="00D7187F" w:rsidRDefault="00D30DE2" w:rsidP="00D30DE2"/>
    <w:p w:rsidR="00BD728D" w:rsidRPr="00D7187F" w:rsidRDefault="005F2FA5" w:rsidP="00BD728D">
      <w:pPr>
        <w:pStyle w:val="AMNumberTabs0"/>
        <w:keepNext/>
      </w:pPr>
      <w:r w:rsidRPr="00D7187F">
        <w:rPr>
          <w:rStyle w:val="HideTWBExt"/>
          <w:b w:val="0"/>
        </w:rPr>
        <w:t>&lt;RepeatBlock-Amend&gt;&lt;Amend&gt;</w:t>
      </w:r>
      <w:r w:rsidRPr="00D7187F">
        <w:t>Ändringsförslag</w:t>
      </w:r>
      <w:r w:rsidRPr="00D7187F">
        <w:tab/>
      </w:r>
      <w:r w:rsidRPr="00D7187F">
        <w:tab/>
      </w:r>
      <w:r w:rsidRPr="00D7187F">
        <w:rPr>
          <w:rStyle w:val="HideTWBExt"/>
          <w:b w:val="0"/>
        </w:rPr>
        <w:t>&lt;NumAm&gt;</w:t>
      </w:r>
      <w:r w:rsidRPr="00D7187F">
        <w:t>1</w:t>
      </w:r>
      <w:r w:rsidRPr="00D7187F">
        <w:rPr>
          <w:rStyle w:val="HideTWBExt"/>
          <w:b w:val="0"/>
        </w:rPr>
        <w:t>&lt;/NumAm&gt;</w:t>
      </w:r>
    </w:p>
    <w:p w:rsidR="00BD728D" w:rsidRPr="00D7187F" w:rsidRDefault="005F2FA5" w:rsidP="00BD728D">
      <w:pPr>
        <w:pStyle w:val="NormalBold12b"/>
        <w:keepNext/>
      </w:pPr>
      <w:r w:rsidRPr="00D7187F">
        <w:rPr>
          <w:rStyle w:val="HideTWBExt"/>
          <w:b w:val="0"/>
        </w:rPr>
        <w:t>&lt;DocAmend&gt;</w:t>
      </w:r>
      <w:r w:rsidRPr="00D7187F">
        <w:t>Förslag till direktiv</w:t>
      </w:r>
      <w:r w:rsidRPr="00D7187F">
        <w:rPr>
          <w:rStyle w:val="HideTWBExt"/>
          <w:b w:val="0"/>
        </w:rPr>
        <w:t>&lt;/DocAmend&gt;</w:t>
      </w:r>
    </w:p>
    <w:p w:rsidR="00BD728D" w:rsidRPr="00D7187F" w:rsidRDefault="005F2FA5" w:rsidP="00BD728D">
      <w:pPr>
        <w:pStyle w:val="NormalBold"/>
      </w:pPr>
      <w:r w:rsidRPr="00D7187F">
        <w:rPr>
          <w:rStyle w:val="HideTWBExt"/>
          <w:b w:val="0"/>
        </w:rPr>
        <w:t>&lt;Article&gt;</w:t>
      </w:r>
      <w:r w:rsidRPr="00D7187F">
        <w:t>Skäl 2</w:t>
      </w:r>
      <w:r w:rsidRPr="00D718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461B" w:rsidRPr="00D7187F" w:rsidTr="00BD728D">
        <w:trPr>
          <w:jc w:val="center"/>
        </w:trPr>
        <w:tc>
          <w:tcPr>
            <w:tcW w:w="9752" w:type="dxa"/>
            <w:gridSpan w:val="2"/>
          </w:tcPr>
          <w:p w:rsidR="00BD728D" w:rsidRPr="00D7187F" w:rsidRDefault="00BD728D">
            <w:pPr>
              <w:keepNext/>
            </w:pPr>
          </w:p>
        </w:tc>
      </w:tr>
      <w:tr w:rsidR="0052461B" w:rsidRPr="00D7187F" w:rsidTr="00BD728D">
        <w:trPr>
          <w:jc w:val="center"/>
        </w:trPr>
        <w:tc>
          <w:tcPr>
            <w:tcW w:w="4876" w:type="dxa"/>
            <w:hideMark/>
          </w:tcPr>
          <w:p w:rsidR="00BD728D" w:rsidRPr="00D7187F" w:rsidRDefault="005F2FA5">
            <w:pPr>
              <w:pStyle w:val="ColumnHeading"/>
              <w:keepNext/>
            </w:pPr>
            <w:r w:rsidRPr="00D7187F">
              <w:t>Kommissionens förslag</w:t>
            </w:r>
          </w:p>
        </w:tc>
        <w:tc>
          <w:tcPr>
            <w:tcW w:w="4876" w:type="dxa"/>
            <w:hideMark/>
          </w:tcPr>
          <w:p w:rsidR="00BD728D" w:rsidRPr="00D7187F" w:rsidRDefault="005F2FA5">
            <w:pPr>
              <w:pStyle w:val="ColumnHeading"/>
              <w:keepNext/>
            </w:pPr>
            <w:r w:rsidRPr="00D7187F">
              <w:t>Ändringsförslag</w:t>
            </w:r>
          </w:p>
        </w:tc>
      </w:tr>
      <w:tr w:rsidR="0052461B" w:rsidRPr="00D7187F" w:rsidTr="00BD728D">
        <w:trPr>
          <w:jc w:val="center"/>
        </w:trPr>
        <w:tc>
          <w:tcPr>
            <w:tcW w:w="4876" w:type="dxa"/>
            <w:hideMark/>
          </w:tcPr>
          <w:p w:rsidR="00BD728D" w:rsidRPr="00D7187F" w:rsidRDefault="005F2FA5">
            <w:pPr>
              <w:pStyle w:val="Normal6"/>
            </w:pPr>
            <w:r w:rsidRPr="00D7187F">
              <w:t>(2)</w:t>
            </w:r>
            <w:r w:rsidRPr="00D7187F">
              <w:tab/>
              <w:t xml:space="preserve">För att bidra till kapitalmarknadsunionens mål och göra det möjligt att använda centrala motparter på ett effektivt sätt är det nödvändigt att undanröja vissa hinder för central clearing i </w:t>
            </w:r>
            <w:r w:rsidRPr="00D7187F">
              <w:lastRenderedPageBreak/>
              <w:t>direktiv 2009/65/EU och göra vissa förtydliganden i direktiven 2013/36/EU och (EU) 2019/2034. Unionens finansiella system är alltför beroende av systemviktiga centrala motparter i tredjeland (centrala motparter i kategori 2). Detta kan ge upphov till riske</w:t>
            </w:r>
            <w:r w:rsidRPr="00D7187F">
              <w:t>r för den finansiella stabiliteten som måste hanteras på lämpligt sätt. För att säkerställa unionens finansiella stabilitet och i tillräcklig grad begränsa risken för spridning i unionens finansiella system bör lämpliga åtgärder därför införas för att göra</w:t>
            </w:r>
            <w:r w:rsidRPr="00D7187F">
              <w:t xml:space="preserve"> det lättare att identifiera, hantera och övervaka koncentrationsrisk som är en följd av exponeringar mot centrala motparter. I detta sammanhang bör direktiven 2013/36/EU och (EU) 2019/2034 ändras för att uppmuntra institut och värdepappersföretag att anpa</w:t>
            </w:r>
            <w:r w:rsidRPr="00D7187F">
              <w:t xml:space="preserve">ssa sina affärsmodeller så att de uppfyller de nya clearingkrav som införs genom översynen av förordning (EU) nr 648/2012 och att överhuvudtaget stärka sina riskhanteringsrutiner med hänsyn till verksamhetens art, omfattning och komplexitet. Behöriga </w:t>
            </w:r>
            <w:r w:rsidRPr="00D7187F">
              <w:rPr>
                <w:b/>
                <w:i/>
              </w:rPr>
              <w:t>myndi</w:t>
            </w:r>
            <w:r w:rsidRPr="00D7187F">
              <w:rPr>
                <w:b/>
                <w:i/>
              </w:rPr>
              <w:t>gheter</w:t>
            </w:r>
            <w:r w:rsidRPr="00D7187F">
              <w:t xml:space="preserve"> kan </w:t>
            </w:r>
            <w:r w:rsidRPr="00D7187F">
              <w:rPr>
                <w:b/>
                <w:i/>
              </w:rPr>
              <w:t>redan nu införa krav på ytterligare kapitalbas för risker</w:t>
            </w:r>
            <w:r w:rsidRPr="00D7187F">
              <w:t xml:space="preserve"> som </w:t>
            </w:r>
            <w:r w:rsidRPr="00D7187F">
              <w:rPr>
                <w:b/>
                <w:i/>
              </w:rPr>
              <w:t>inte omfattas</w:t>
            </w:r>
            <w:r w:rsidRPr="00D7187F">
              <w:t xml:space="preserve">, eller </w:t>
            </w:r>
            <w:r w:rsidRPr="00D7187F">
              <w:rPr>
                <w:b/>
                <w:i/>
              </w:rPr>
              <w:t>inte omfattas i tillräcklig grad</w:t>
            </w:r>
            <w:r w:rsidRPr="00D7187F">
              <w:t xml:space="preserve">, av </w:t>
            </w:r>
            <w:r w:rsidRPr="00D7187F">
              <w:rPr>
                <w:b/>
                <w:i/>
              </w:rPr>
              <w:t>de befintliga kapitalkraven, men</w:t>
            </w:r>
            <w:r w:rsidRPr="00D7187F">
              <w:t xml:space="preserve"> de </w:t>
            </w:r>
            <w:r w:rsidRPr="00D7187F">
              <w:rPr>
                <w:b/>
                <w:i/>
              </w:rPr>
              <w:t>bör</w:t>
            </w:r>
            <w:r w:rsidRPr="00D7187F">
              <w:t xml:space="preserve"> få ytterligare verktyg och befogenheter inom den andra pelaren för att mer på detaljnivå kunna vidta lämpliga</w:t>
            </w:r>
            <w:r w:rsidRPr="00D7187F">
              <w:rPr>
                <w:b/>
                <w:i/>
              </w:rPr>
              <w:t xml:space="preserve"> och beslutsamma</w:t>
            </w:r>
            <w:r w:rsidRPr="00D7187F">
              <w:t xml:space="preserve"> åtgärder på grundval av slutsatserna av sina tillsynsbedömningar.</w:t>
            </w:r>
          </w:p>
        </w:tc>
        <w:tc>
          <w:tcPr>
            <w:tcW w:w="4876" w:type="dxa"/>
            <w:hideMark/>
          </w:tcPr>
          <w:p w:rsidR="00BD728D" w:rsidRPr="00D7187F" w:rsidRDefault="005F2FA5" w:rsidP="005F2FA5">
            <w:pPr>
              <w:pStyle w:val="Normal6"/>
              <w:rPr>
                <w:szCs w:val="24"/>
              </w:rPr>
            </w:pPr>
            <w:r w:rsidRPr="00D7187F">
              <w:lastRenderedPageBreak/>
              <w:t>(2)</w:t>
            </w:r>
            <w:r w:rsidRPr="00D7187F">
              <w:tab/>
              <w:t>För att bidra till kapitalmarknadsunionens mål och göra det</w:t>
            </w:r>
            <w:r w:rsidRPr="00D7187F">
              <w:t xml:space="preserve"> möjligt att använda centrala motparter på ett effektivt sätt är det nödvändigt att undanröja vissa hinder för central clearing i </w:t>
            </w:r>
            <w:r w:rsidRPr="00D7187F">
              <w:lastRenderedPageBreak/>
              <w:t>direktiv 2009/65/EU och göra vissa förtydliganden i direktiven 2013/36/EU och (EU) 2019/2034. Unionens finansiella system är a</w:t>
            </w:r>
            <w:r w:rsidRPr="00D7187F">
              <w:t>lltför beroende av systemviktiga centrala motparter i tredjeland (centrala motparter i kategori 2). Detta kan ge upphov till risker för den finansiella stabiliteten som måste hanteras på lämpligt sätt. För att säkerställa unionens finansiella stabilitet oc</w:t>
            </w:r>
            <w:r w:rsidRPr="00D7187F">
              <w:t xml:space="preserve">h i tillräcklig grad begränsa risken för spridning i unionens finansiella system bör lämpliga åtgärder därför införas för att göra det lättare att identifiera, hantera och övervaka koncentrationsrisk som är en följd av exponeringar mot centrala motparter. </w:t>
            </w:r>
            <w:r w:rsidRPr="00D7187F">
              <w:t>I detta sammanhang bör direktiven 2013/36/EU och (EU)</w:t>
            </w:r>
            <w:r>
              <w:t> </w:t>
            </w:r>
            <w:r w:rsidRPr="00D7187F">
              <w:t>2019/2034 ändras för att uppmuntra institut och värdepappersföretag att anpassa sina affärsmodeller så att de uppfyller de nya clearingkrav som införs genom översynen av förordning (EU)</w:t>
            </w:r>
            <w:r>
              <w:t> </w:t>
            </w:r>
            <w:r w:rsidRPr="00D7187F">
              <w:t xml:space="preserve">nr 648/2012 och </w:t>
            </w:r>
            <w:r w:rsidRPr="00D7187F">
              <w:t xml:space="preserve">att överhuvudtaget stärka sina riskhanteringsrutiner med hänsyn till verksamhetens art, omfattning och komplexitet. </w:t>
            </w:r>
            <w:r w:rsidRPr="00D7187F">
              <w:rPr>
                <w:b/>
                <w:i/>
              </w:rPr>
              <w:t xml:space="preserve">Direktiven 2013/36/EU och (EU) 2019/2034 bör också ändras för att ytterligare klargöra de </w:t>
            </w:r>
            <w:r w:rsidRPr="00D7187F">
              <w:t xml:space="preserve">behöriga </w:t>
            </w:r>
            <w:r w:rsidRPr="00D7187F">
              <w:rPr>
                <w:b/>
                <w:i/>
              </w:rPr>
              <w:t>myndigheternas roll när det gäller att ha</w:t>
            </w:r>
            <w:r w:rsidRPr="00D7187F">
              <w:rPr>
                <w:b/>
                <w:i/>
              </w:rPr>
              <w:t>ntera eventuella alltför stora koncentrationsrisker som</w:t>
            </w:r>
            <w:r w:rsidRPr="00D7187F">
              <w:t xml:space="preserve"> kan </w:t>
            </w:r>
            <w:r w:rsidRPr="00D7187F">
              <w:rPr>
                <w:b/>
                <w:i/>
              </w:rPr>
              <w:t>uppstå till följd av exponeringar från kreditinstitut och värdepappersföretag</w:t>
            </w:r>
            <w:r w:rsidRPr="00D7187F">
              <w:t xml:space="preserve"> som </w:t>
            </w:r>
            <w:r w:rsidRPr="00D7187F">
              <w:rPr>
                <w:b/>
                <w:i/>
              </w:rPr>
              <w:t>står under deras tillsyn mot centrala motparter</w:t>
            </w:r>
            <w:r w:rsidRPr="00D7187F">
              <w:t xml:space="preserve">, </w:t>
            </w:r>
            <w:r w:rsidRPr="00D7187F">
              <w:rPr>
                <w:b/>
                <w:i/>
              </w:rPr>
              <w:t>särskilt centrala motparter från tredjeland som är av stor system</w:t>
            </w:r>
            <w:r w:rsidRPr="00D7187F">
              <w:rPr>
                <w:b/>
                <w:i/>
              </w:rPr>
              <w:t xml:space="preserve">vikt för unionen </w:t>
            </w:r>
            <w:r w:rsidRPr="00D7187F">
              <w:t xml:space="preserve">eller </w:t>
            </w:r>
            <w:r w:rsidRPr="00D7187F">
              <w:rPr>
                <w:b/>
                <w:i/>
              </w:rPr>
              <w:t>en eller flera av dess medlemsstater och som erbjuder tjänster som av Europeiska tillsynsmyndigheten (Europeiska värdepappers- och marknadsmyndigheten) (Esma), inrättad genom Europaparlamentets och rådets förordning (EU) nr 1095/2010</w:t>
            </w:r>
            <w:r w:rsidRPr="00D7187F">
              <w:rPr>
                <w:b/>
                <w:i/>
                <w:vertAlign w:val="superscript"/>
              </w:rPr>
              <w:t>1a</w:t>
            </w:r>
            <w:r w:rsidRPr="00D7187F">
              <w:t xml:space="preserve">, </w:t>
            </w:r>
            <w:r w:rsidRPr="00D7187F">
              <w:rPr>
                <w:b/>
                <w:i/>
              </w:rPr>
              <w:t xml:space="preserve">anses vara </w:t>
            </w:r>
            <w:r w:rsidRPr="00D7187F">
              <w:t xml:space="preserve">av </w:t>
            </w:r>
            <w:r w:rsidRPr="00D7187F">
              <w:rPr>
                <w:b/>
                <w:i/>
              </w:rPr>
              <w:t>stor systemvikt. Dessutom bör</w:t>
            </w:r>
            <w:r w:rsidRPr="00D7187F">
              <w:t xml:space="preserve"> de </w:t>
            </w:r>
            <w:r w:rsidRPr="00D7187F">
              <w:rPr>
                <w:b/>
                <w:i/>
              </w:rPr>
              <w:t>behöriga myndigheterna</w:t>
            </w:r>
            <w:r w:rsidRPr="00D7187F">
              <w:t xml:space="preserve"> få ytterligare verktyg och befogenheter inom den andra pelaren för att mer på detaljnivå kunna vidta lämpliga åtgärder på grundval av </w:t>
            </w:r>
            <w:r w:rsidRPr="00D7187F">
              <w:lastRenderedPageBreak/>
              <w:t>slutsatserna av sina tillsynsbedömningar.</w:t>
            </w:r>
          </w:p>
        </w:tc>
      </w:tr>
      <w:tr w:rsidR="0052461B" w:rsidRPr="00D7187F" w:rsidTr="00BD728D">
        <w:trPr>
          <w:jc w:val="center"/>
        </w:trPr>
        <w:tc>
          <w:tcPr>
            <w:tcW w:w="4876" w:type="dxa"/>
          </w:tcPr>
          <w:p w:rsidR="002B43FA" w:rsidRPr="00D7187F" w:rsidRDefault="002B43FA">
            <w:pPr>
              <w:pStyle w:val="Normal6"/>
            </w:pPr>
          </w:p>
        </w:tc>
        <w:tc>
          <w:tcPr>
            <w:tcW w:w="4876" w:type="dxa"/>
          </w:tcPr>
          <w:p w:rsidR="002B43FA" w:rsidRPr="00D7187F" w:rsidRDefault="005F2FA5" w:rsidP="00CE1258">
            <w:pPr>
              <w:pStyle w:val="Normal6"/>
              <w:rPr>
                <w:b/>
                <w:bCs/>
                <w:i/>
                <w:iCs/>
              </w:rPr>
            </w:pPr>
            <w:r w:rsidRPr="00D7187F">
              <w:rPr>
                <w:b/>
                <w:i/>
              </w:rPr>
              <w:t>____</w:t>
            </w:r>
            <w:r w:rsidRPr="00D7187F">
              <w:rPr>
                <w:b/>
                <w:i/>
              </w:rPr>
              <w:t>_________________</w:t>
            </w:r>
          </w:p>
        </w:tc>
      </w:tr>
      <w:tr w:rsidR="0052461B" w:rsidRPr="00D7187F" w:rsidTr="00BD728D">
        <w:trPr>
          <w:jc w:val="center"/>
        </w:trPr>
        <w:tc>
          <w:tcPr>
            <w:tcW w:w="4876" w:type="dxa"/>
          </w:tcPr>
          <w:p w:rsidR="00CE1258" w:rsidRPr="00D7187F" w:rsidRDefault="00CE1258">
            <w:pPr>
              <w:pStyle w:val="Normal6"/>
            </w:pPr>
          </w:p>
        </w:tc>
        <w:tc>
          <w:tcPr>
            <w:tcW w:w="4876" w:type="dxa"/>
          </w:tcPr>
          <w:p w:rsidR="00CE1258" w:rsidRPr="00D7187F" w:rsidRDefault="005F2FA5" w:rsidP="005F2FA5">
            <w:pPr>
              <w:pStyle w:val="Normal6"/>
              <w:rPr>
                <w:b/>
                <w:bCs/>
                <w:i/>
                <w:iCs/>
              </w:rPr>
            </w:pPr>
            <w:r w:rsidRPr="00D7187F">
              <w:rPr>
                <w:b/>
                <w:i/>
                <w:vertAlign w:val="superscript"/>
              </w:rPr>
              <w:t>1a</w:t>
            </w:r>
            <w:r w:rsidRPr="00D7187F">
              <w:rPr>
                <w:b/>
                <w:i/>
              </w:rPr>
              <w:t xml:space="preserve"> Europaparlamentets och rådets förordning (EU) nr 1095/2010 av den</w:t>
            </w:r>
            <w:r>
              <w:rPr>
                <w:b/>
                <w:i/>
              </w:rPr>
              <w:t> </w:t>
            </w:r>
            <w:r w:rsidRPr="00D7187F">
              <w:rPr>
                <w:b/>
                <w:i/>
              </w:rPr>
              <w:t>24</w:t>
            </w:r>
            <w:r>
              <w:rPr>
                <w:b/>
                <w:i/>
              </w:rPr>
              <w:t> </w:t>
            </w:r>
            <w:r w:rsidRPr="00D7187F">
              <w:rPr>
                <w:b/>
                <w:i/>
              </w:rPr>
              <w:t>november 2010 om inrättande av en europeisk tillsynsmyndighet (Europeiska värdepappers- och marknadsmyndigheten), om ändring av beslut nr 716/2009/EG och om upphävande av kommissionens b</w:t>
            </w:r>
            <w:r w:rsidRPr="00D7187F">
              <w:rPr>
                <w:b/>
                <w:i/>
              </w:rPr>
              <w:t>eslut 2009/77/EG (EUT L 331, 15.12.2010, s. 84).</w:t>
            </w:r>
          </w:p>
        </w:tc>
      </w:tr>
    </w:tbl>
    <w:p w:rsidR="00BD728D" w:rsidRPr="00D7187F" w:rsidRDefault="005F2FA5" w:rsidP="00BD728D">
      <w:pPr>
        <w:pStyle w:val="Olang"/>
        <w:rPr>
          <w:sz w:val="24"/>
          <w:szCs w:val="24"/>
        </w:rPr>
      </w:pPr>
      <w:r w:rsidRPr="00D7187F">
        <w:rPr>
          <w:sz w:val="24"/>
          <w:szCs w:val="24"/>
        </w:rPr>
        <w:t xml:space="preserve">Or. </w:t>
      </w:r>
      <w:r w:rsidRPr="00D7187F">
        <w:rPr>
          <w:rStyle w:val="HideTWBExt"/>
        </w:rPr>
        <w:t>&lt;Original&gt;</w:t>
      </w:r>
      <w:r w:rsidRPr="00D7187F">
        <w:rPr>
          <w:rStyle w:val="HideTWBInt"/>
          <w:sz w:val="24"/>
          <w:szCs w:val="24"/>
        </w:rPr>
        <w:t>{EN}</w:t>
      </w:r>
      <w:r w:rsidRPr="00D7187F">
        <w:rPr>
          <w:sz w:val="24"/>
          <w:szCs w:val="24"/>
        </w:rPr>
        <w:t>en</w:t>
      </w:r>
      <w:r w:rsidRPr="00D7187F">
        <w:rPr>
          <w:rStyle w:val="HideTWBExt"/>
        </w:rPr>
        <w:t>&lt;/Original&gt;</w:t>
      </w:r>
    </w:p>
    <w:p w:rsidR="00BD728D" w:rsidRPr="00D7187F" w:rsidRDefault="005F2FA5" w:rsidP="00BD728D">
      <w:pPr>
        <w:pStyle w:val="JustificationTitle"/>
        <w:rPr>
          <w:noProof w:val="0"/>
        </w:rPr>
      </w:pPr>
      <w:r w:rsidRPr="00D7187F">
        <w:rPr>
          <w:rStyle w:val="HideTWBExt"/>
          <w:i w:val="0"/>
        </w:rPr>
        <w:t>&lt;TitreJust&gt;</w:t>
      </w:r>
      <w:r w:rsidRPr="00D7187F">
        <w:t>Motivering</w:t>
      </w:r>
      <w:r w:rsidRPr="00D7187F">
        <w:rPr>
          <w:rStyle w:val="HideTWBExt"/>
          <w:i w:val="0"/>
        </w:rPr>
        <w:t>&lt;/TitreJust&gt;</w:t>
      </w:r>
    </w:p>
    <w:p w:rsidR="00BD728D" w:rsidRPr="00D7187F" w:rsidRDefault="005F2FA5" w:rsidP="00BD728D">
      <w:pPr>
        <w:pStyle w:val="Normal12Italic"/>
        <w:rPr>
          <w:noProof w:val="0"/>
        </w:rPr>
      </w:pPr>
      <w:r w:rsidRPr="00D7187F">
        <w:t xml:space="preserve">I artikel 104 i direktiv 2013/36/EU föreskrivs en tillsynsverktygslåda för behöriga myndigheter som inte är begränsad till införandet av </w:t>
      </w:r>
      <w:r w:rsidRPr="00D7187F">
        <w:t>ytterligare kapitalkrav. Hänvisningen till verktygen och befogenheterna inom pelare 2 i detta skäl bör förbli bred, eftersom det inte är lämpligt att på förhand avgöra vilka av dessa verktyg och befogenheter som skulle vara lämpliga för att hantera alltför</w:t>
      </w:r>
      <w:r w:rsidRPr="00D7187F">
        <w:t xml:space="preserve"> stora koncentrationsrisker i detta sammanhang.</w:t>
      </w:r>
    </w:p>
    <w:p w:rsidR="00BD728D" w:rsidRPr="00D7187F" w:rsidRDefault="005F2FA5" w:rsidP="00BD728D">
      <w:r w:rsidRPr="00D7187F">
        <w:rPr>
          <w:rStyle w:val="HideTWBExt"/>
        </w:rPr>
        <w:t>&lt;/Amend&gt;</w:t>
      </w:r>
    </w:p>
    <w:p w:rsidR="00BD728D" w:rsidRPr="00D7187F" w:rsidRDefault="005F2FA5" w:rsidP="00BD728D">
      <w:pPr>
        <w:pStyle w:val="AMNumberTabs0"/>
        <w:keepNext/>
      </w:pPr>
      <w:r w:rsidRPr="00D7187F">
        <w:rPr>
          <w:rStyle w:val="HideTWBExt"/>
          <w:b w:val="0"/>
        </w:rPr>
        <w:t>&lt;Amend&gt;</w:t>
      </w:r>
      <w:r w:rsidRPr="00D7187F">
        <w:t>Ändringsförslag</w:t>
      </w:r>
      <w:r w:rsidRPr="00D7187F">
        <w:tab/>
      </w:r>
      <w:r w:rsidRPr="00D7187F">
        <w:tab/>
      </w:r>
      <w:r w:rsidRPr="00D7187F">
        <w:rPr>
          <w:rStyle w:val="HideTWBExt"/>
          <w:b w:val="0"/>
        </w:rPr>
        <w:t>&lt;NumAm&gt;</w:t>
      </w:r>
      <w:r w:rsidRPr="00D7187F">
        <w:t>2</w:t>
      </w:r>
      <w:r w:rsidRPr="00D7187F">
        <w:rPr>
          <w:rStyle w:val="HideTWBExt"/>
          <w:b w:val="0"/>
        </w:rPr>
        <w:t>&lt;/NumAm&gt;</w:t>
      </w:r>
    </w:p>
    <w:p w:rsidR="00BD728D" w:rsidRPr="00D7187F" w:rsidRDefault="005F2FA5" w:rsidP="00BD728D">
      <w:pPr>
        <w:pStyle w:val="NormalBold12b"/>
        <w:keepNext/>
      </w:pPr>
      <w:r w:rsidRPr="00D7187F">
        <w:rPr>
          <w:rStyle w:val="HideTWBExt"/>
          <w:b w:val="0"/>
        </w:rPr>
        <w:t>&lt;DocAmend&gt;</w:t>
      </w:r>
      <w:r w:rsidRPr="00D7187F">
        <w:t>Förslag till direktiv</w:t>
      </w:r>
      <w:r w:rsidRPr="00D7187F">
        <w:rPr>
          <w:rStyle w:val="HideTWBExt"/>
          <w:b w:val="0"/>
        </w:rPr>
        <w:t>&lt;/DocAmend&gt;</w:t>
      </w:r>
    </w:p>
    <w:p w:rsidR="00BD728D" w:rsidRPr="00D7187F" w:rsidRDefault="005F2FA5" w:rsidP="00BD728D">
      <w:pPr>
        <w:pStyle w:val="NormalBold"/>
      </w:pPr>
      <w:r w:rsidRPr="00D7187F">
        <w:rPr>
          <w:rStyle w:val="HideTWBExt"/>
          <w:b w:val="0"/>
        </w:rPr>
        <w:t>&lt;Article&gt;</w:t>
      </w:r>
      <w:r w:rsidRPr="00D7187F">
        <w:t>Skäl 2a (nytt)</w:t>
      </w:r>
      <w:r w:rsidRPr="00D718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461B" w:rsidRPr="00D7187F" w:rsidTr="00BD728D">
        <w:trPr>
          <w:jc w:val="center"/>
        </w:trPr>
        <w:tc>
          <w:tcPr>
            <w:tcW w:w="9752" w:type="dxa"/>
            <w:gridSpan w:val="2"/>
          </w:tcPr>
          <w:p w:rsidR="00BD728D" w:rsidRPr="00D7187F" w:rsidRDefault="00BD728D">
            <w:pPr>
              <w:keepNext/>
            </w:pPr>
          </w:p>
        </w:tc>
      </w:tr>
      <w:tr w:rsidR="0052461B" w:rsidRPr="00D7187F" w:rsidTr="00BD728D">
        <w:trPr>
          <w:jc w:val="center"/>
        </w:trPr>
        <w:tc>
          <w:tcPr>
            <w:tcW w:w="4876" w:type="dxa"/>
            <w:hideMark/>
          </w:tcPr>
          <w:p w:rsidR="00BD728D" w:rsidRPr="00D7187F" w:rsidRDefault="005F2FA5">
            <w:pPr>
              <w:pStyle w:val="ColumnHeading"/>
              <w:keepNext/>
            </w:pPr>
            <w:r w:rsidRPr="00D7187F">
              <w:t>Kommissionens förslag</w:t>
            </w:r>
          </w:p>
        </w:tc>
        <w:tc>
          <w:tcPr>
            <w:tcW w:w="4876" w:type="dxa"/>
            <w:hideMark/>
          </w:tcPr>
          <w:p w:rsidR="00BD728D" w:rsidRPr="00D7187F" w:rsidRDefault="005F2FA5">
            <w:pPr>
              <w:pStyle w:val="ColumnHeading"/>
              <w:keepNext/>
            </w:pPr>
            <w:r w:rsidRPr="00D7187F">
              <w:t>Ändringsförslag</w:t>
            </w:r>
          </w:p>
        </w:tc>
      </w:tr>
      <w:tr w:rsidR="0052461B" w:rsidRPr="00D7187F" w:rsidTr="00BD728D">
        <w:trPr>
          <w:jc w:val="center"/>
        </w:trPr>
        <w:tc>
          <w:tcPr>
            <w:tcW w:w="4876" w:type="dxa"/>
          </w:tcPr>
          <w:p w:rsidR="00BD728D" w:rsidRPr="00D7187F" w:rsidRDefault="00BD728D">
            <w:pPr>
              <w:pStyle w:val="Normal6"/>
            </w:pPr>
          </w:p>
        </w:tc>
        <w:tc>
          <w:tcPr>
            <w:tcW w:w="4876" w:type="dxa"/>
            <w:hideMark/>
          </w:tcPr>
          <w:p w:rsidR="00BD728D" w:rsidRPr="00D7187F" w:rsidRDefault="005F2FA5" w:rsidP="005F2FA5">
            <w:pPr>
              <w:pStyle w:val="Normal6"/>
              <w:rPr>
                <w:szCs w:val="24"/>
              </w:rPr>
            </w:pPr>
            <w:r w:rsidRPr="00D7187F">
              <w:rPr>
                <w:b/>
                <w:i/>
              </w:rPr>
              <w:t>(2a)</w:t>
            </w:r>
            <w:r w:rsidRPr="00D7187F">
              <w:rPr>
                <w:b/>
                <w:i/>
              </w:rPr>
              <w:tab/>
              <w:t xml:space="preserve">De behöriga myndigheterna bör ges </w:t>
            </w:r>
            <w:r w:rsidRPr="00D7187F">
              <w:rPr>
                <w:b/>
                <w:i/>
              </w:rPr>
              <w:t>befogenhet att se över de planer som kreditinstitut och värdepappersföretag är skyldiga att utarbeta, med beaktande av metoden för kalibrering av kravet på aktivt konto. För att på lämpligt sätt se över sådana planer bör de behöriga myndigheterna ha tillgå</w:t>
            </w:r>
            <w:r w:rsidRPr="00D7187F">
              <w:rPr>
                <w:b/>
                <w:i/>
              </w:rPr>
              <w:t>ng till närmare uppgifter om nivån på de clearingtjänster som fastställts vara av stor systemvikt och som finansiella och icke-finansiella motparter som omfattas av clearingkravet enligt artikel 7a.5 i förordning (EU)</w:t>
            </w:r>
            <w:r>
              <w:rPr>
                <w:b/>
                <w:i/>
              </w:rPr>
              <w:t> </w:t>
            </w:r>
            <w:r w:rsidRPr="00D7187F">
              <w:rPr>
                <w:b/>
                <w:i/>
              </w:rPr>
              <w:t>nr 648/2012 ska upprätthålla på aktiva</w:t>
            </w:r>
            <w:r w:rsidRPr="00D7187F">
              <w:rPr>
                <w:b/>
                <w:i/>
              </w:rPr>
              <w:t xml:space="preserve"> konton hos centrala motparter i unionen.</w:t>
            </w:r>
          </w:p>
        </w:tc>
      </w:tr>
    </w:tbl>
    <w:p w:rsidR="00BD728D" w:rsidRPr="00D7187F" w:rsidRDefault="005F2FA5" w:rsidP="00BD728D">
      <w:pPr>
        <w:pStyle w:val="Olang"/>
        <w:rPr>
          <w:sz w:val="24"/>
          <w:szCs w:val="24"/>
        </w:rPr>
      </w:pPr>
      <w:r w:rsidRPr="00D7187F">
        <w:rPr>
          <w:sz w:val="24"/>
          <w:szCs w:val="24"/>
        </w:rPr>
        <w:t xml:space="preserve">Or. </w:t>
      </w:r>
      <w:r w:rsidRPr="00D7187F">
        <w:rPr>
          <w:rStyle w:val="HideTWBExt"/>
        </w:rPr>
        <w:t>&lt;Original&gt;</w:t>
      </w:r>
      <w:r w:rsidRPr="00D7187F">
        <w:rPr>
          <w:rStyle w:val="HideTWBInt"/>
          <w:sz w:val="24"/>
          <w:szCs w:val="24"/>
        </w:rPr>
        <w:t>{EN}</w:t>
      </w:r>
      <w:r w:rsidRPr="00D7187F">
        <w:rPr>
          <w:sz w:val="24"/>
          <w:szCs w:val="24"/>
        </w:rPr>
        <w:t>en</w:t>
      </w:r>
      <w:r w:rsidRPr="00D7187F">
        <w:rPr>
          <w:rStyle w:val="HideTWBExt"/>
        </w:rPr>
        <w:t>&lt;/Original&gt;</w:t>
      </w:r>
    </w:p>
    <w:p w:rsidR="00BD728D" w:rsidRPr="00D7187F" w:rsidRDefault="005F2FA5" w:rsidP="00BD728D">
      <w:pPr>
        <w:pStyle w:val="JustificationTitle"/>
        <w:rPr>
          <w:noProof w:val="0"/>
        </w:rPr>
      </w:pPr>
      <w:r w:rsidRPr="00D7187F">
        <w:rPr>
          <w:rStyle w:val="HideTWBExt"/>
          <w:i w:val="0"/>
        </w:rPr>
        <w:lastRenderedPageBreak/>
        <w:t>&lt;TitreJust&gt;</w:t>
      </w:r>
      <w:r w:rsidRPr="00D7187F">
        <w:t>Motivering</w:t>
      </w:r>
      <w:r w:rsidRPr="00D7187F">
        <w:rPr>
          <w:rStyle w:val="HideTWBExt"/>
          <w:i w:val="0"/>
        </w:rPr>
        <w:t>&lt;/TitreJust&gt;</w:t>
      </w:r>
    </w:p>
    <w:p w:rsidR="00BD728D" w:rsidRPr="00D7187F" w:rsidRDefault="005F2FA5" w:rsidP="00BD728D">
      <w:pPr>
        <w:pStyle w:val="Normal12Italic"/>
        <w:rPr>
          <w:noProof w:val="0"/>
        </w:rPr>
      </w:pPr>
      <w:r w:rsidRPr="00D7187F">
        <w:t>Tillämpningen av den föreslagna ramen för pelare 2 är underställt kravet på aktivt konto. På grundval av detta kan de behöriga myndigheterna endast</w:t>
      </w:r>
      <w:r w:rsidRPr="00D7187F">
        <w:t xml:space="preserve"> genomföra de föreslagna tillsynsbefogenheterna för de enheter som står under tillsyn om full insyn i kalibreringen av det aktiva kontot uppnås genom offentliggörande och godkännande av Esmas förslag till tekniska standarder för tillsyn (enligt den föresla</w:t>
      </w:r>
      <w:r w:rsidRPr="00D7187F">
        <w:t>gna artikel 7a.5 i Emir).</w:t>
      </w:r>
    </w:p>
    <w:p w:rsidR="00BD728D" w:rsidRPr="00D7187F" w:rsidRDefault="005F2FA5" w:rsidP="00BD728D">
      <w:r w:rsidRPr="00D7187F">
        <w:rPr>
          <w:rStyle w:val="HideTWBExt"/>
        </w:rPr>
        <w:t>&lt;/Amend&gt;</w:t>
      </w:r>
    </w:p>
    <w:p w:rsidR="00BD728D" w:rsidRPr="00D7187F" w:rsidRDefault="005F2FA5" w:rsidP="00BD728D">
      <w:pPr>
        <w:pStyle w:val="AMNumberTabs0"/>
        <w:keepNext/>
      </w:pPr>
      <w:r w:rsidRPr="00D7187F">
        <w:rPr>
          <w:rStyle w:val="HideTWBExt"/>
          <w:b w:val="0"/>
        </w:rPr>
        <w:t>&lt;Amend&gt;</w:t>
      </w:r>
      <w:r w:rsidRPr="00D7187F">
        <w:t>Ändringsförslag</w:t>
      </w:r>
      <w:r w:rsidRPr="00D7187F">
        <w:tab/>
      </w:r>
      <w:r w:rsidRPr="00D7187F">
        <w:tab/>
      </w:r>
      <w:r w:rsidRPr="00D7187F">
        <w:rPr>
          <w:rStyle w:val="HideTWBExt"/>
          <w:b w:val="0"/>
        </w:rPr>
        <w:t>&lt;NumAm&gt;</w:t>
      </w:r>
      <w:r w:rsidRPr="00D7187F">
        <w:t>3</w:t>
      </w:r>
      <w:r w:rsidRPr="00D7187F">
        <w:rPr>
          <w:rStyle w:val="HideTWBExt"/>
          <w:b w:val="0"/>
        </w:rPr>
        <w:t>&lt;/NumAm&gt;</w:t>
      </w:r>
    </w:p>
    <w:p w:rsidR="00BD728D" w:rsidRPr="00D7187F" w:rsidRDefault="005F2FA5" w:rsidP="00BD728D">
      <w:pPr>
        <w:pStyle w:val="NormalBold12b"/>
        <w:keepNext/>
      </w:pPr>
      <w:r w:rsidRPr="00D7187F">
        <w:rPr>
          <w:rStyle w:val="HideTWBExt"/>
          <w:b w:val="0"/>
        </w:rPr>
        <w:t>&lt;DocAmend&gt;</w:t>
      </w:r>
      <w:r w:rsidRPr="00D7187F">
        <w:t>Förslag till direktiv</w:t>
      </w:r>
      <w:r w:rsidRPr="00D7187F">
        <w:rPr>
          <w:rStyle w:val="HideTWBExt"/>
          <w:b w:val="0"/>
        </w:rPr>
        <w:t>&lt;/DocAmend&gt;</w:t>
      </w:r>
    </w:p>
    <w:p w:rsidR="00BD728D" w:rsidRPr="00D7187F" w:rsidRDefault="005F2FA5" w:rsidP="00BD728D">
      <w:pPr>
        <w:pStyle w:val="NormalBold"/>
      </w:pPr>
      <w:r w:rsidRPr="00D7187F">
        <w:rPr>
          <w:rStyle w:val="HideTWBExt"/>
          <w:b w:val="0"/>
        </w:rPr>
        <w:t>&lt;Article&gt;</w:t>
      </w:r>
      <w:r w:rsidRPr="00D7187F">
        <w:t>Artikel 2 – led 3</w:t>
      </w:r>
      <w:r w:rsidRPr="00D7187F">
        <w:rPr>
          <w:rStyle w:val="HideTWBExt"/>
          <w:b w:val="0"/>
        </w:rPr>
        <w:t>&lt;/Article&gt;</w:t>
      </w:r>
    </w:p>
    <w:p w:rsidR="00BD728D" w:rsidRPr="00D7187F" w:rsidRDefault="005F2FA5" w:rsidP="00BD728D">
      <w:pPr>
        <w:keepNext/>
      </w:pPr>
      <w:r w:rsidRPr="00D7187F">
        <w:rPr>
          <w:rStyle w:val="HideTWBExt"/>
        </w:rPr>
        <w:t>&lt;DocAmend2&gt;</w:t>
      </w:r>
      <w:r w:rsidRPr="00D7187F">
        <w:t>Direktiv 2013/36/EU</w:t>
      </w:r>
      <w:r w:rsidRPr="00D7187F">
        <w:rPr>
          <w:rStyle w:val="HideTWBExt"/>
        </w:rPr>
        <w:t>&lt;/DocAmend2&gt;</w:t>
      </w:r>
    </w:p>
    <w:p w:rsidR="00BD728D" w:rsidRPr="00D7187F" w:rsidRDefault="005F2FA5" w:rsidP="00BD728D">
      <w:r w:rsidRPr="00D7187F">
        <w:rPr>
          <w:rStyle w:val="HideTWBExt"/>
        </w:rPr>
        <w:t>&lt;Article2&gt;</w:t>
      </w:r>
      <w:r w:rsidRPr="00D7187F">
        <w:t>Artikel 81</w:t>
      </w:r>
      <w:r w:rsidRPr="00D7187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461B" w:rsidRPr="00D7187F" w:rsidTr="00BD728D">
        <w:trPr>
          <w:jc w:val="center"/>
        </w:trPr>
        <w:tc>
          <w:tcPr>
            <w:tcW w:w="9752" w:type="dxa"/>
            <w:gridSpan w:val="2"/>
          </w:tcPr>
          <w:p w:rsidR="00BD728D" w:rsidRPr="00D7187F" w:rsidRDefault="00BD728D">
            <w:pPr>
              <w:keepNext/>
            </w:pPr>
          </w:p>
        </w:tc>
      </w:tr>
      <w:tr w:rsidR="0052461B" w:rsidRPr="00D7187F" w:rsidTr="00BD728D">
        <w:trPr>
          <w:jc w:val="center"/>
        </w:trPr>
        <w:tc>
          <w:tcPr>
            <w:tcW w:w="4876" w:type="dxa"/>
            <w:hideMark/>
          </w:tcPr>
          <w:p w:rsidR="00BD728D" w:rsidRPr="00D7187F" w:rsidRDefault="005F2FA5">
            <w:pPr>
              <w:pStyle w:val="ColumnHeading"/>
              <w:keepNext/>
            </w:pPr>
            <w:r w:rsidRPr="00D7187F">
              <w:t>Kommissionens förslag</w:t>
            </w:r>
          </w:p>
        </w:tc>
        <w:tc>
          <w:tcPr>
            <w:tcW w:w="4876" w:type="dxa"/>
            <w:hideMark/>
          </w:tcPr>
          <w:p w:rsidR="00BD728D" w:rsidRPr="00D7187F" w:rsidRDefault="005F2FA5">
            <w:pPr>
              <w:pStyle w:val="ColumnHeading"/>
              <w:keepNext/>
            </w:pPr>
            <w:r w:rsidRPr="00D7187F">
              <w:t>Ändringsförslag</w:t>
            </w:r>
          </w:p>
        </w:tc>
      </w:tr>
      <w:tr w:rsidR="0052461B" w:rsidRPr="00D7187F" w:rsidTr="00BD728D">
        <w:trPr>
          <w:jc w:val="center"/>
        </w:trPr>
        <w:tc>
          <w:tcPr>
            <w:tcW w:w="4876" w:type="dxa"/>
            <w:hideMark/>
          </w:tcPr>
          <w:p w:rsidR="00BD728D" w:rsidRPr="00D7187F" w:rsidRDefault="005F2FA5">
            <w:pPr>
              <w:pStyle w:val="Normal6"/>
            </w:pPr>
            <w:r w:rsidRPr="00D7187F">
              <w:t xml:space="preserve">De behöriga myndigheterna ska bedöma och övervaka utvecklingen när det gäller institutens metoder för att hantera koncentrationsrisk som är en följd av exponeringar mot centrala motparter, inklusive de planer som utarbetas i enlighet med </w:t>
            </w:r>
            <w:r w:rsidRPr="00D7187F">
              <w:t>artikel 76.2 i detta direktiv</w:t>
            </w:r>
            <w:r w:rsidRPr="00D7187F">
              <w:rPr>
                <w:b/>
                <w:i/>
              </w:rPr>
              <w:t xml:space="preserve"> samt de framsteg som instituten gör för att anpassa sina affärsmodeller till unionens relevanta politiska mål, varvid hänsyn ska tas till kraven</w:t>
            </w:r>
            <w:r w:rsidRPr="00D7187F">
              <w:t xml:space="preserve"> i artikel </w:t>
            </w:r>
            <w:r w:rsidRPr="00D7187F">
              <w:rPr>
                <w:b/>
                <w:i/>
              </w:rPr>
              <w:t>7a</w:t>
            </w:r>
            <w:r w:rsidRPr="00D7187F">
              <w:t xml:space="preserve"> i förordning (EU) nr 648/2012.</w:t>
            </w:r>
          </w:p>
        </w:tc>
        <w:tc>
          <w:tcPr>
            <w:tcW w:w="4876" w:type="dxa"/>
            <w:hideMark/>
          </w:tcPr>
          <w:p w:rsidR="00BD728D" w:rsidRPr="00D7187F" w:rsidRDefault="005F2FA5" w:rsidP="008370AE">
            <w:pPr>
              <w:pStyle w:val="Normal6"/>
              <w:rPr>
                <w:szCs w:val="24"/>
              </w:rPr>
            </w:pPr>
            <w:r w:rsidRPr="00D7187F">
              <w:t xml:space="preserve">De behöriga myndigheterna ska bedöma </w:t>
            </w:r>
            <w:r w:rsidRPr="00D7187F">
              <w:t>och övervaka utvecklingen när det gäller institutens metoder för att hantera koncentrationsrisk som är en följd av exponeringar mot centrala motparter, inklusive de planer som utarbetas i enlighet med artikel 76.2 i detta direktiv</w:t>
            </w:r>
            <w:r w:rsidRPr="00D7187F">
              <w:rPr>
                <w:b/>
                <w:i/>
              </w:rPr>
              <w:t>, varvid hänsyn ska tas ti</w:t>
            </w:r>
            <w:r w:rsidRPr="00D7187F">
              <w:rPr>
                <w:b/>
                <w:i/>
              </w:rPr>
              <w:t>ll kraven i artikel 7a och all relevant information som tillhandahålls via den gemensamma övervakningsmekanism som avses</w:t>
            </w:r>
            <w:r w:rsidRPr="00D7187F">
              <w:t xml:space="preserve"> i artikel </w:t>
            </w:r>
            <w:r w:rsidRPr="00D7187F">
              <w:rPr>
                <w:b/>
                <w:i/>
              </w:rPr>
              <w:t>23c</w:t>
            </w:r>
            <w:r w:rsidRPr="00D7187F">
              <w:t xml:space="preserve"> i förordning (EU) nr 648/2012.</w:t>
            </w:r>
            <w:r w:rsidRPr="00D7187F">
              <w:rPr>
                <w:b/>
                <w:i/>
              </w:rPr>
              <w:t xml:space="preserve"> </w:t>
            </w:r>
          </w:p>
        </w:tc>
      </w:tr>
    </w:tbl>
    <w:p w:rsidR="00BD728D" w:rsidRPr="00D7187F" w:rsidRDefault="005F2FA5" w:rsidP="00BD728D">
      <w:pPr>
        <w:pStyle w:val="Olang"/>
        <w:rPr>
          <w:sz w:val="24"/>
          <w:szCs w:val="24"/>
        </w:rPr>
      </w:pPr>
      <w:r w:rsidRPr="00D7187F">
        <w:rPr>
          <w:sz w:val="24"/>
          <w:szCs w:val="24"/>
        </w:rPr>
        <w:t xml:space="preserve">Or. </w:t>
      </w:r>
      <w:r w:rsidRPr="00D7187F">
        <w:rPr>
          <w:rStyle w:val="HideTWBExt"/>
        </w:rPr>
        <w:t>&lt;Original&gt;</w:t>
      </w:r>
      <w:r w:rsidRPr="00D7187F">
        <w:rPr>
          <w:rStyle w:val="HideTWBInt"/>
          <w:sz w:val="24"/>
          <w:szCs w:val="24"/>
        </w:rPr>
        <w:t>{EN}</w:t>
      </w:r>
      <w:r w:rsidRPr="00D7187F">
        <w:rPr>
          <w:sz w:val="24"/>
          <w:szCs w:val="24"/>
        </w:rPr>
        <w:t>en</w:t>
      </w:r>
      <w:r w:rsidRPr="00D7187F">
        <w:rPr>
          <w:rStyle w:val="HideTWBExt"/>
        </w:rPr>
        <w:t>&lt;/Original&gt;</w:t>
      </w:r>
    </w:p>
    <w:p w:rsidR="00BD728D" w:rsidRPr="00D7187F" w:rsidRDefault="005F2FA5" w:rsidP="00BD728D">
      <w:pPr>
        <w:pStyle w:val="JustificationTitle"/>
        <w:rPr>
          <w:noProof w:val="0"/>
        </w:rPr>
      </w:pPr>
      <w:r w:rsidRPr="00D7187F">
        <w:rPr>
          <w:rStyle w:val="HideTWBExt"/>
          <w:i w:val="0"/>
        </w:rPr>
        <w:t>&lt;TitreJust&gt;</w:t>
      </w:r>
      <w:r w:rsidRPr="00D7187F">
        <w:t>Motivering</w:t>
      </w:r>
      <w:r w:rsidRPr="00D7187F">
        <w:rPr>
          <w:rStyle w:val="HideTWBExt"/>
          <w:i w:val="0"/>
        </w:rPr>
        <w:t>&lt;/TitreJust&gt;</w:t>
      </w:r>
    </w:p>
    <w:p w:rsidR="00BD728D" w:rsidRPr="00D7187F" w:rsidRDefault="005F2FA5" w:rsidP="00BD728D">
      <w:pPr>
        <w:pStyle w:val="Normal12Italic"/>
        <w:rPr>
          <w:noProof w:val="0"/>
        </w:rPr>
      </w:pPr>
      <w:r w:rsidRPr="00D7187F">
        <w:t>Om resultaten av den g</w:t>
      </w:r>
      <w:r w:rsidRPr="00D7187F">
        <w:t>emensamma mekanismens övervakning beaktas skulle de behöriga myndigheternas bedömning av de institut för koncentrationsrisk som står under deras tillsyn kunna förbättras när det gäller tjänster av stor systemvikt som tillhandahålls av centrala motparter fr</w:t>
      </w:r>
      <w:r w:rsidRPr="00D7187F">
        <w:t>ån tredjeland. Även om bedömningen av koncentrationsrisker som kan påverka säkerheten och sundheten hos ett enskilt institut ligger inom den behöriga myndighetens ansvarsområde, omfattar detta ansvarsområde inte en justering av affärsplanerna för att anpas</w:t>
      </w:r>
      <w:r w:rsidRPr="00D7187F">
        <w:t>sa dem till unionens bredare politiska mål.</w:t>
      </w:r>
    </w:p>
    <w:p w:rsidR="00BD728D" w:rsidRPr="00D7187F" w:rsidRDefault="005F2FA5" w:rsidP="00BD728D">
      <w:r w:rsidRPr="00D7187F">
        <w:rPr>
          <w:rStyle w:val="HideTWBExt"/>
        </w:rPr>
        <w:t>&lt;/Amend&gt;&lt;/RepeatBlock-Amend&gt;</w:t>
      </w:r>
    </w:p>
    <w:p w:rsidR="002669B6" w:rsidRPr="00D7187F" w:rsidRDefault="002669B6" w:rsidP="002669B6"/>
    <w:sectPr w:rsidR="002669B6" w:rsidRPr="00D7187F" w:rsidSect="00D7187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7187F" w:rsidRDefault="005F2FA5">
      <w:r w:rsidRPr="00D7187F">
        <w:separator/>
      </w:r>
    </w:p>
  </w:endnote>
  <w:endnote w:type="continuationSeparator" w:id="0">
    <w:p w:rsidR="00000000" w:rsidRPr="00D7187F" w:rsidRDefault="005F2FA5">
      <w:r w:rsidRPr="00D718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87F" w:rsidRPr="00D7187F" w:rsidRDefault="00D7187F" w:rsidP="00D7187F">
    <w:pPr>
      <w:pStyle w:val="EPFooter"/>
    </w:pPr>
    <w:r w:rsidRPr="00D7187F">
      <w:t>PE</w:t>
    </w:r>
    <w:r w:rsidRPr="00D7187F">
      <w:rPr>
        <w:rStyle w:val="HideTWBExt"/>
      </w:rPr>
      <w:t>&lt;NoPE&gt;</w:t>
    </w:r>
    <w:r w:rsidRPr="00D7187F">
      <w:t>749.905</w:t>
    </w:r>
    <w:r w:rsidRPr="00D7187F">
      <w:rPr>
        <w:rStyle w:val="HideTWBExt"/>
      </w:rPr>
      <w:t>&lt;/NoPE&gt;&lt;Version&gt;</w:t>
    </w:r>
    <w:r w:rsidRPr="00D7187F">
      <w:t>v01-00</w:t>
    </w:r>
    <w:r w:rsidRPr="00D7187F">
      <w:rPr>
        <w:rStyle w:val="HideTWBExt"/>
      </w:rPr>
      <w:t>&lt;/Version&gt;</w:t>
    </w:r>
    <w:r w:rsidRPr="00D7187F">
      <w:tab/>
    </w:r>
    <w:r w:rsidRPr="00D7187F">
      <w:fldChar w:fldCharType="begin"/>
    </w:r>
    <w:r w:rsidRPr="00D7187F">
      <w:instrText xml:space="preserve"> PAGE  \* MERGEFORMAT </w:instrText>
    </w:r>
    <w:r w:rsidRPr="00D7187F">
      <w:fldChar w:fldCharType="separate"/>
    </w:r>
    <w:r w:rsidR="005F2FA5">
      <w:rPr>
        <w:noProof/>
      </w:rPr>
      <w:t>2</w:t>
    </w:r>
    <w:r w:rsidRPr="00D7187F">
      <w:fldChar w:fldCharType="end"/>
    </w:r>
    <w:r w:rsidRPr="00D7187F">
      <w:t>/</w:t>
    </w:r>
    <w:fldSimple w:instr=" NUMPAGES  \* MERGEFORMAT ">
      <w:r w:rsidR="005F2FA5">
        <w:rPr>
          <w:noProof/>
        </w:rPr>
        <w:t>8</w:t>
      </w:r>
    </w:fldSimple>
    <w:r w:rsidRPr="00D7187F">
      <w:tab/>
    </w:r>
    <w:r w:rsidRPr="00D7187F">
      <w:rPr>
        <w:rStyle w:val="HideTWBExt"/>
      </w:rPr>
      <w:t>&lt;PathFdR&gt;</w:t>
    </w:r>
    <w:r w:rsidRPr="00D7187F">
      <w:t>PR\1280612SV.docx</w:t>
    </w:r>
    <w:r w:rsidRPr="00D7187F">
      <w:rPr>
        <w:rStyle w:val="HideTWBExt"/>
      </w:rPr>
      <w:t>&lt;/PathFdR&gt;</w:t>
    </w:r>
  </w:p>
  <w:p w:rsidR="00FB52FE" w:rsidRPr="00D7187F" w:rsidRDefault="00D7187F" w:rsidP="00D7187F">
    <w:pPr>
      <w:pStyle w:val="EPFooter2"/>
    </w:pPr>
    <w:r w:rsidRPr="00D7187F">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87F" w:rsidRPr="00D7187F" w:rsidRDefault="00D7187F" w:rsidP="00D7187F">
    <w:pPr>
      <w:pStyle w:val="EPFooter"/>
    </w:pPr>
    <w:r w:rsidRPr="00D7187F">
      <w:rPr>
        <w:rStyle w:val="HideTWBExt"/>
      </w:rPr>
      <w:t>&lt;PathFdR&gt;</w:t>
    </w:r>
    <w:r w:rsidRPr="00D7187F">
      <w:t>PR\1280612SV.docx</w:t>
    </w:r>
    <w:r w:rsidRPr="00D7187F">
      <w:rPr>
        <w:rStyle w:val="HideTWBExt"/>
      </w:rPr>
      <w:t>&lt;/PathFdR&gt;</w:t>
    </w:r>
    <w:r w:rsidRPr="00D7187F">
      <w:tab/>
    </w:r>
    <w:r w:rsidRPr="00D7187F">
      <w:fldChar w:fldCharType="begin"/>
    </w:r>
    <w:r w:rsidRPr="00D7187F">
      <w:instrText xml:space="preserve"> PAGE  \* MERGEFORMAT </w:instrText>
    </w:r>
    <w:r w:rsidRPr="00D7187F">
      <w:fldChar w:fldCharType="separate"/>
    </w:r>
    <w:r w:rsidR="005F2FA5">
      <w:rPr>
        <w:noProof/>
      </w:rPr>
      <w:t>3</w:t>
    </w:r>
    <w:r w:rsidRPr="00D7187F">
      <w:fldChar w:fldCharType="end"/>
    </w:r>
    <w:r w:rsidRPr="00D7187F">
      <w:t>/</w:t>
    </w:r>
    <w:fldSimple w:instr=" NUMPAGES  \* MERGEFORMAT ">
      <w:r w:rsidR="005F2FA5">
        <w:rPr>
          <w:noProof/>
        </w:rPr>
        <w:t>8</w:t>
      </w:r>
    </w:fldSimple>
    <w:r w:rsidRPr="00D7187F">
      <w:tab/>
      <w:t>PE</w:t>
    </w:r>
    <w:r w:rsidRPr="00D7187F">
      <w:rPr>
        <w:rStyle w:val="HideTWBExt"/>
      </w:rPr>
      <w:t>&lt;NoPE&gt;</w:t>
    </w:r>
    <w:r w:rsidRPr="00D7187F">
      <w:t>749.905</w:t>
    </w:r>
    <w:r w:rsidRPr="00D7187F">
      <w:rPr>
        <w:rStyle w:val="HideTWBExt"/>
      </w:rPr>
      <w:t>&lt;/NoPE&gt;&lt;Version&gt;</w:t>
    </w:r>
    <w:r w:rsidRPr="00D7187F">
      <w:t>v01-00</w:t>
    </w:r>
    <w:r w:rsidRPr="00D7187F">
      <w:rPr>
        <w:rStyle w:val="HideTWBExt"/>
      </w:rPr>
      <w:t>&lt;/Version&gt;</w:t>
    </w:r>
  </w:p>
  <w:p w:rsidR="00FB52FE" w:rsidRPr="00D7187F" w:rsidRDefault="00D7187F" w:rsidP="00D7187F">
    <w:pPr>
      <w:pStyle w:val="EPFooter2"/>
    </w:pPr>
    <w:r w:rsidRPr="00D7187F">
      <w:tab/>
    </w:r>
    <w:r w:rsidRPr="00D7187F">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87F" w:rsidRPr="00D7187F" w:rsidRDefault="00D7187F" w:rsidP="00D7187F">
    <w:pPr>
      <w:pStyle w:val="EPFooter"/>
    </w:pPr>
    <w:r w:rsidRPr="00D7187F">
      <w:rPr>
        <w:rStyle w:val="HideTWBExt"/>
      </w:rPr>
      <w:t>&lt;PathFdR&gt;</w:t>
    </w:r>
    <w:r w:rsidRPr="00D7187F">
      <w:t>PR\1280612SV.docx</w:t>
    </w:r>
    <w:r w:rsidRPr="00D7187F">
      <w:rPr>
        <w:rStyle w:val="HideTWBExt"/>
      </w:rPr>
      <w:t>&lt;/PathFdR&gt;</w:t>
    </w:r>
    <w:r w:rsidRPr="00D7187F">
      <w:tab/>
    </w:r>
    <w:r w:rsidRPr="00D7187F">
      <w:tab/>
      <w:t>PE</w:t>
    </w:r>
    <w:r w:rsidRPr="00D7187F">
      <w:rPr>
        <w:rStyle w:val="HideTWBExt"/>
      </w:rPr>
      <w:t>&lt;NoPE&gt;</w:t>
    </w:r>
    <w:r w:rsidRPr="00D7187F">
      <w:t>749.905</w:t>
    </w:r>
    <w:r w:rsidRPr="00D7187F">
      <w:rPr>
        <w:rStyle w:val="HideTWBExt"/>
      </w:rPr>
      <w:t>&lt;/NoPE&gt;&lt;Version&gt;</w:t>
    </w:r>
    <w:r w:rsidRPr="00D7187F">
      <w:t>v01-00</w:t>
    </w:r>
    <w:r w:rsidRPr="00D7187F">
      <w:rPr>
        <w:rStyle w:val="HideTWBExt"/>
      </w:rPr>
      <w:t>&lt;/Version&gt;</w:t>
    </w:r>
  </w:p>
  <w:p w:rsidR="00FB52FE" w:rsidRPr="00D7187F" w:rsidRDefault="00D7187F" w:rsidP="00D7187F">
    <w:pPr>
      <w:pStyle w:val="EPFooter2"/>
    </w:pPr>
    <w:r w:rsidRPr="00D7187F">
      <w:t>SV</w:t>
    </w:r>
    <w:r w:rsidRPr="00D7187F">
      <w:tab/>
    </w:r>
    <w:r w:rsidRPr="00D7187F">
      <w:rPr>
        <w:b w:val="0"/>
        <w:i/>
        <w:color w:val="C0C0C0"/>
        <w:sz w:val="22"/>
      </w:rPr>
      <w:t>Förenade i mångfalden</w:t>
    </w:r>
    <w:r w:rsidRPr="00D7187F">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D7187F" w:rsidRDefault="005F2FA5">
      <w:r w:rsidRPr="00D7187F">
        <w:separator/>
      </w:r>
    </w:p>
  </w:footnote>
  <w:footnote w:type="continuationSeparator" w:id="0">
    <w:p w:rsidR="00000000" w:rsidRPr="00D7187F" w:rsidRDefault="005F2FA5">
      <w:r w:rsidRPr="00D718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FA5" w:rsidRDefault="005F2F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FA5" w:rsidRDefault="005F2F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FA5" w:rsidRDefault="005F2F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CJMNU" w:val="1"/>
    <w:docVar w:name="COMKEY" w:val="ECON"/>
    <w:docVar w:name="CopyToNetwork" w:val="-1"/>
    <w:docVar w:name="CVar" w:val="2"/>
    <w:docVar w:name="DOCMNU" w:val=" 2"/>
    <w:docVar w:name="EPOJMNU" w:val=" 3"/>
    <w:docVar w:name="EPSTATMNU" w:val=" 1"/>
    <w:docVar w:name="EPSTATPLURMNU" w:val=" 1"/>
    <w:docVar w:name="iNoAmend" w:val="2"/>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317489 HideTWBExt;}{\*\cs18 \additive \v\f1\fs20\cf15 _x000d__x000a_\spriority0 \styrsid6317489 HideTWBInt;}{\s19\ql \li0\ri0\sa120\nowidctlpar\wrapdefault\aspalpha\aspnum\faauto\adjustright\rin0\lin0\itap0 \rtlch\fcs1 \af0\afs20\alang1025 \ltrch\fcs0 \fs24\lang2057\langfe2057\cgrid\langnp2057\langfenp2057 _x000d__x000a_\sbasedon0 \snext19 \spriority0 \styrsid6317489 Normal6a;}{\s20\ql \li0\ri0\nowidctlpar\wrapdefault\aspalpha\aspnum\faauto\adjustright\rin0\lin0\itap0 \rtlch\fcs1 \af0\afs20\alang1025 \ltrch\fcs0 \b\fs24\lang2057\langfe2057\cgrid\langnp2057\langfenp2057 _x000d__x000a_\sbasedon0 \snext20 \spriority0 \styrsid6317489 NormalBold;}{\s21\ql \li0\ri0\sa240\nowidctlpar\wrapdefault\aspalpha\aspnum\faauto\adjustright\rin0\lin0\itap0 \rtlch\fcs1 \af0\afs20\alang1025 \ltrch\fcs0 _x000d__x000a_\i\fs24\lang2057\langfe2057\cgrid\langnp2057\langfenp2057 \sbasedon0 \snext21 \spriority0 \styrsid6317489 AmJustText;}{\s22\qc \li0\ri0\sb240\sa240\nowidctlpar\wrapdefault\aspalpha\aspnum\faauto\adjustright\rin0\lin0\itap0 \rtlch\fcs1 _x000d__x000a_\af0\afs20\alang1025 \ltrch\fcs0 \i\fs24\lang2057\langfe2057\cgrid\langnp2057\langfenp2057 \sbasedon0 \snext22 \spriority0 \styrsid6317489 AmCrossRef;}{_x000d__x000a_\s23\qc \li0\ri0\sb240\sa240\keepn\nowidctlpar\wrapdefault\aspalpha\aspnum\faauto\adjustright\rin0\lin0\itap0 \rtlch\fcs1 \af0\afs20\alang1025 \ltrch\fcs0 \i\fs24\lang2057\langfe2057\cgrid\langnp2057\langfenp2057 _x000d__x000a_\sbasedon0 \snext21 \spriority0 \styrsid6317489 AmJustTitle;}{\s24\qr \li0\ri0\sb240\sa240\nowidctlpar\wrapdefault\aspalpha\aspnum\faauto\adjustright\rin0\lin0\itap0 \rtlch\fcs1 \af0\afs20\alang1025 \ltrch\fcs0 _x000d__x000a_\fs24\lang2057\langfe2057\cgrid\langnp2057\langfenp2057 \sbasedon0 \snext24 \spriority0 \styrsid6317489 AmOrLang;}{\s25\qc \li0\ri0\sa240\nowidctlpar\wrapdefault\aspalpha\aspnum\faauto\adjustright\rin0\lin0\itap0 \rtlch\fcs1 \af0\afs20\alang1025 _x000d__x000a_\ltrch\fcs0 \i\fs24\lang2057\langfe2057\cgrid\langnp2057\langfenp2057 \sbasedon0 \snext25 \spriority0 \styrsid631748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317489 AmNumberTabs;}{\s27\ql \li0\ri0\sb240\nowidctlpar\wrapdefault\aspalpha\aspnum\faauto\adjustright\rin0\lin0\itap0 \rtlch\fcs1 _x000d__x000a_\af0\afs20\alang1025 \ltrch\fcs0 \b\fs24\lang2057\langfe2057\cgrid\langnp2057\langfenp2057 \sbasedon0 \snext27 \spriority0 \styrsid6317489 NormalBold12b;}}{\*\rsidtbl \rsid24658\rsid223860\rsid735077\rsid1718133\rsid2892074\rsid3565327\rsid4666813_x000d__x000a_\rsid4737206\rsid6317489\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TURLUI Emil-Gabriel}{\operator TURLUI Emil-Gabriel}{\creatim\yr2023\mo6\dy8\hr17\min33}{\revtim\yr2023\mo6\dy8\hr17\min33}{\version1}{\edmins0}_x000d__x000a_{\nofpages1}{\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317489\newtblstyruls\nogrowautofit\usenormstyforlist\noindnmbrts\felnbrelev\nocxsptable\indrlsweleven\noafcnsttbl\afelev\utinl\hwelev\spltpgpar\notcvasp\notbrkcnstfrctbl\notvatxbx\krnprsnet\cachedcolbal _x000d__x000a_\nouicompat \fet0{\*\wgrffmtfilter 013f}\nofeaturethrottle1\ilfomacatclnup0{\*\template C:\\Users\\gturlui\\AppData\\Local\\Temp\\Blank1.dotx}{\*\ftnsep \ltrpar \pard\plain \ltrpar_x000d__x000a_\ql \li0\ri0\widctlpar\wrapdefault\aspalpha\aspnum\faauto\adjustright\rin0\lin0\itap0 \rtlch\fcs1 \af0\afs20\alang1025 \ltrch\fcs0 \fs24\lang2057\langfe2057\cgrid\langnp2057\langfenp2057 {\rtlch\fcs1 \af0 \ltrch\fcs0 \insrsid4737206 \chftnsep _x000d__x000a_\par }}{\*\ftnsepc \ltrpar \pard\plain \ltrpar\ql \li0\ri0\widctlpar\wrapdefault\aspalpha\aspnum\faauto\adjustright\rin0\lin0\itap0 \rtlch\fcs1 \af0\afs20\alang1025 \ltrch\fcs0 \fs24\lang2057\langfe2057\cgrid\langnp2057\langfenp2057 {\rtlch\fcs1 \af0 _x000d__x000a_\ltrch\fcs0 \insrsid4737206 \chftnsepc _x000d__x000a_\par }}{\*\aftnsep \ltrpar \pard\plain \ltrpar\ql \li0\ri0\widctlpar\wrapdefault\aspalpha\aspnum\faauto\adjustright\rin0\lin0\itap0 \rtlch\fcs1 \af0\afs20\alang1025 \ltrch\fcs0 \fs24\lang2057\langfe2057\cgrid\langnp2057\langfenp2057 {\rtlch\fcs1 \af0 _x000d__x000a_\ltrch\fcs0 \insrsid4737206 \chftnsep _x000d__x000a_\par }}{\*\aftnsepc \ltrpar \pard\plain \ltrpar\ql \li0\ri0\widctlpar\wrapdefault\aspalpha\aspnum\faauto\adjustright\rin0\lin0\itap0 \rtlch\fcs1 \af0\afs20\alang1025 \ltrch\fcs0 \fs24\lang2057\langfe2057\cgrid\langnp2057\langfenp2057 {\rtlch\fcs1 \af0 _x000d__x000a_\ltrch\fcs0 \insrsid47372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317489 \rtlch\fcs1 _x000d__x000a_\af0\afs20\alang1025 \ltrch\fcs0 \b\fs24\lang2057\langfe2057\cgrid\langnp2057\langfenp2057 {\rtlch\fcs1 \af0 \ltrch\fcs0 \cs17\b0\v\fs20\cf9\lang1024\langfe1024\loch\af1\hich\af1\dbch\af31501\noproof\insrsid6317489\charrsid5511251 {\*\bkmkstart restart}_x000d__x000a_\hich\af1\dbch\af31501\loch\f1 &lt;Amend&gt;}{\rtlch\fcs1 \af0 \ltrch\fcs0 \insrsid6317489\charrsid5511251 Amendment\tab \tab }{\rtlch\fcs1 \af0 \ltrch\fcs0 _x000d__x000a_\cs17\b0\v\fs20\cf9\lang1024\langfe1024\loch\af1\hich\af1\dbch\af31501\noproof\insrsid6317489\charrsid5511251 \hich\af1\dbch\af31501\loch\f1 &lt;NumAm&gt;}{\rtlch\fcs1 \af0 \ltrch\fcs0 \insrsid6317489\charrsid5511251 #}{\rtlch\fcs1 \af1 \ltrch\fcs0 _x000d__x000a_\cs18\v\f1\fs20\cf15\insrsid6317489\charrsid5511251 ENMIENDA@NRAM@}{\rtlch\fcs1 \af0 \ltrch\fcs0 \insrsid6317489\charrsid5511251 #}{\rtlch\fcs1 \af0 \ltrch\fcs0 _x000d__x000a_\cs17\b0\v\fs20\cf9\lang1024\langfe1024\loch\af1\hich\af1\dbch\af31501\noproof\insrsid6317489\charrsid5511251 \hich\af1\dbch\af31501\loch\f1 &lt;/NumAm&gt;}{\rtlch\fcs1 \af0 \ltrch\fcs0 \insrsid6317489\charrsid5511251 _x000d__x000a_\par }\pard\plain \ltrpar\s27\ql \li0\ri0\sb240\keepn\nowidctlpar\wrapdefault\aspalpha\aspnum\faauto\adjustright\rin0\lin0\itap0\pararsid6317489 \rtlch\fcs1 \af0\afs20\alang1025 \ltrch\fcs0 \b\fs24\lang2057\langfe2057\cgrid\langnp2057\langfenp2057 {_x000d__x000a_\rtlch\fcs1 \af0 \ltrch\fcs0 \cs17\b0\v\fs20\cf9\lang1024\langfe1024\loch\af1\hich\af1\dbch\af31501\noproof\insrsid6317489\charrsid5511251 \hich\af1\dbch\af31501\loch\f1 &lt;DocAmend&gt;}{\rtlch\fcs1 \af0 \ltrch\fcs0 \insrsid6317489\charrsid5511251 _x000d__x000a_Proposal for a #}{\rtlch\fcs1 \af1 \ltrch\fcs0 \cs18\v\f1\fs20\cf15\insrsid6317489\charrsid5511251 MNU[DOC1][DOC2][DOC3]@DOCMSG@DOCMNU}{\rtlch\fcs1 \af0 \ltrch\fcs0 \insrsid6317489\charrsid5511251 ##}{\rtlch\fcs1 \af1 \ltrch\fcs0 _x000d__x000a_\cs18\v\f1\fs20\cf15\insrsid6317489\charrsid5511251 MNU[AMACTYES][NOTAPP]@CHOICE@AMACTMNU}{\rtlch\fcs1 \af0 \ltrch\fcs0 \insrsid6317489\charrsid5511251 #}{\rtlch\fcs1 \af0 \ltrch\fcs0 _x000d__x000a_\cs17\b0\v\fs20\cf9\lang1024\langfe1024\loch\af1\hich\af1\dbch\af31501\noproof\insrsid6317489\charrsid5511251 \hich\af1\dbch\af31501\loch\f1 &lt;/DocAmend&gt;}{\rtlch\fcs1 \af0 \ltrch\fcs0 \insrsid6317489\charrsid5511251 _x000d__x000a_\par }\pard\plain \ltrpar\s20\ql \li0\ri0\keepn\nowidctlpar\wrapdefault\aspalpha\aspnum\faauto\adjustright\rin0\lin0\itap0\pararsid6317489 \rtlch\fcs1 \af0\afs20\alang1025 \ltrch\fcs0 \b\fs24\lang2057\langfe2057\cgrid\langnp2057\langfenp2057 {\rtlch\fcs1 \af0 _x000d__x000a_\ltrch\fcs0 \cs17\b0\v\fs20\cf9\lang1024\langfe1024\loch\af1\hich\af1\dbch\af31501\noproof\insrsid6317489\charrsid5511251 \hich\af1\dbch\af31501\loch\f1 &lt;Article&gt;}{\rtlch\fcs1 \af0 \ltrch\fcs0 \insrsid6317489\charrsid5511251 #}{\rtlch\fcs1 \af1 _x000d__x000a_\ltrch\fcs0 \cs18\v\f1\fs20\cf15\insrsid6317489\charrsid5511251 MNU[AMACTPARTYES][AMACTPARTNO]@CHOICE@AMACTMNU}{\rtlch\fcs1 \af0 \ltrch\fcs0 \insrsid6317489\charrsid5511251 #}{\rtlch\fcs1 \af0 \ltrch\fcs0 _x000d__x000a_\cs17\b0\v\fs20\cf9\lang1024\langfe1024\loch\af1\hich\af1\dbch\af31501\noproof\insrsid6317489\charrsid5511251 \hich\af1\dbch\af31501\loch\f1 &lt;/Article&gt;}{\rtlch\fcs1 \af0 \ltrch\fcs0 \insrsid6317489\charrsid5511251 _x000d__x000a_\par }\pard\plain \ltrpar\ql \li0\ri0\keepn\widctlpar\wrapdefault\aspalpha\aspnum\faauto\adjustright\rin0\lin0\itap0\pararsid6317489 \rtlch\fcs1 \af0\afs20\alang1025 \ltrch\fcs0 \fs24\lang2057\langfe2057\cgrid\langnp2057\langfenp2057 {\rtlch\fcs1 \af0 _x000d__x000a_\ltrch\fcs0 \cs17\v\fs20\cf9\lang1024\langfe1024\loch\af1\hich\af1\dbch\af31501\noproof\insrsid6317489\charrsid5511251 \hich\af1\dbch\af31501\loch\f1 &lt;DocAmend2&gt;&lt;OptDel&gt;}{\rtlch\fcs1 \af0 \ltrch\fcs0 \insrsid6317489\charrsid5511251 #}{\rtlch\fcs1 \af1 _x000d__x000a_\ltrch\fcs0 \cs18\v\f1\fs20\cf15\insrsid6317489\charrsid5511251 MNU[OPTNRACTYES][NOTAPP]@CHOICE@AMACTMNU}{\rtlch\fcs1 \af0 \ltrch\fcs0 \insrsid6317489\charrsid5511251 #}{\rtlch\fcs1 \af0 \ltrch\fcs0 _x000d__x000a_\cs17\v\fs20\cf9\lang1024\langfe1024\loch\af1\hich\af1\dbch\af31501\noproof\insrsid6317489\charrsid5511251 \hich\af1\dbch\af31501\loch\f1 &lt;/OptDel&gt;&lt;/DocAmend2&gt;}{\rtlch\fcs1 \af0 \ltrch\fcs0 \insrsid6317489\charrsid5511251 _x000d__x000a_\par }\pard \ltrpar\ql \li0\ri0\widctlpar\wrapdefault\aspalpha\aspnum\faauto\adjustright\rin0\lin0\itap0\pararsid6317489 {\rtlch\fcs1 \af0 \ltrch\fcs0 \cs17\v\fs20\cf9\lang1024\langfe1024\loch\af1\hich\af1\dbch\af31501\noproof\insrsid6317489\charrsid5511251 _x000d__x000a_\hich\af1\dbch\af31501\loch\f1 &lt;Article2&gt;&lt;OptDel&gt;}{\rtlch\fcs1 \af0 \ltrch\fcs0 \insrsid6317489\charrsid5511251 #}{\rtlch\fcs1 \af1 \ltrch\fcs0 \cs18\v\f1\fs20\cf15\insrsid6317489\charrsid5511251 MNU[OPTACTPARTYES][NOTAPP]@CHOICE@AMACTMNU}{\rtlch\fcs1 _x000d__x000a_\af0 \ltrch\fcs0 \insrsid6317489\charrsid5511251 #}{\rtlch\fcs1 \af0 \ltrch\fcs0 \cs17\v\fs20\cf9\lang1024\langfe1024\loch\af1\hich\af1\dbch\af31501\noproof\insrsid6317489\charrsid5511251 \hich\af1\dbch\af31501\loch\f1 &lt;/OptDel&gt;&lt;/Article2&gt;}{\rtlch\fcs1 _x000d__x000a_\af0 \ltrch\fcs0 \insrsid6317489\charrsid5511251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6317489\charrsid5511251 \cell }\pard\plain \ltrpar\ql \li0\ri0\widctlpar\intbl\wrapdefault\aspalpha\aspnum\faauto\adjustright\rin0\lin0 \rtlch\fcs1 _x000d__x000a_\af0\afs20\alang1025 \ltrch\fcs0 \fs24\lang2057\langfe2057\cgrid\langnp2057\langfenp2057 {\rtlch\fcs1 \af0 \ltrch\fcs0 \insrsid6317489\charrsid5511251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6317489\charrsid5511251 #}{\rtlch\fcs1 \af1 \ltrch\fcs0 \cs18\v\f1\fs20\cf15\insrsid6317489\charrsid5511251 MNU[OPTLEFTAMACT][LEFTPROP]@CHOICE@AMACTMNU}{\rtlch\fcs1 \af0 \ltrch\fcs0 \insrsid6317489\charrsid5511251 #\cell Amendment\cell _x000d__x000a_}\pard\plain \ltrpar\ql \li0\ri0\widctlpar\intbl\wrapdefault\aspalpha\aspnum\faauto\adjustright\rin0\lin0 \rtlch\fcs1 \af0\afs20\alang1025 \ltrch\fcs0 \fs24\lang2057\langfe2057\cgrid\langnp2057\langfenp2057 {\rtlch\fcs1 \af0 \ltrch\fcs0 _x000d__x000a_\insrsid6317489\charrsid5511251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6317489\charrsid5511251 ##\cell ##}{\rtlch\fcs1 \af0\afs24 \ltrch\fcs0 \insrsid6317489\charrsid5511251 \cell }\pard\plain \ltrpar\ql \li0\ri0\widctlpar\intbl\wrapdefault\aspalpha\aspnum\faauto\adjustright\rin0\lin0 \rtlch\fcs1 _x000d__x000a_\af0\afs20\alang1025 \ltrch\fcs0 \fs24\lang2057\langfe2057\cgrid\langnp2057\langfenp2057 {\rtlch\fcs1 \af0 \ltrch\fcs0 \insrsid6317489\charrsid5511251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6317489 \rtlch\fcs1 \af0\afs20\alang1025 \ltrch\fcs0 \fs24\lang2057\langfe2057\cgrid\langnp2057\langfenp2057 {\rtlch\fcs1 \af0 \ltrch\fcs0 _x000d__x000a_\insrsid6317489\charrsid5511251 Or. }{\rtlch\fcs1 \af0 \ltrch\fcs0 \cs17\v\fs20\cf9\lang1024\langfe1024\loch\af1\hich\af1\dbch\af31501\noproof\insrsid6317489\charrsid5511251 \hich\af1\dbch\af31501\loch\f1 &lt;Original&gt;}{\rtlch\fcs1 \af0 \ltrch\fcs0 _x000d__x000a_\insrsid6317489\charrsid5511251 #}{\rtlch\fcs1 \af1 \ltrch\fcs0 \cs18\v\f1\fs20\cf15\insrsid6317489\charrsid5511251 MNU[ORLANGONE][ORLANGMORE]@CHOICE@ORLANGMNU}{\rtlch\fcs1 \af0 \ltrch\fcs0 \insrsid6317489\charrsid5511251 #}{\rtlch\fcs1 \af0 \ltrch\fcs0 _x000d__x000a_\cs17\v\fs20\cf9\lang1024\langfe1024\loch\af1\hich\af1\dbch\af31501\noproof\insrsid6317489\charrsid5511251 \hich\af1\dbch\af31501\loch\f1 &lt;/Original&gt;}{\rtlch\fcs1 \af0 \ltrch\fcs0 \insrsid6317489\charrsid5511251 _x000d__x000a_\par }\pard\plain \ltrpar\s22\qc \li0\ri0\sb240\sa240\nowidctlpar\wrapdefault\aspalpha\aspnum\faauto\adjustright\rin0\lin0\itap0\pararsid6317489 \rtlch\fcs1 \af0\afs20\alang1025 \ltrch\fcs0 \i\fs24\lang2057\langfe2057\cgrid\langnp2057\langfenp2057 {_x000d__x000a_\rtlch\fcs1 \af0 \ltrch\fcs0 \cs17\i0\v\fs20\cf9\lang1024\langfe1024\loch\af1\hich\af1\dbch\af31501\noproof\insrsid6317489\charrsid5511251 \hich\af1\dbch\af31501\loch\f1 &lt;OptDel&gt;}{\rtlch\fcs1 \af0 \ltrch\fcs0 \insrsid6317489\charrsid5511251 #}{_x000d__x000a_\rtlch\fcs1 \af1 \ltrch\fcs0 \cs18\v\f1\fs20\cf15\insrsid6317489\charrsid5511251 MNU[CROSSREFNO][CROSSREFYES]@CHOICE@}{\rtlch\fcs1 \af0 \ltrch\fcs0 \insrsid6317489\charrsid5511251 #}{\rtlch\fcs1 \af0 \ltrch\fcs0 _x000d__x000a_\cs17\i0\v\fs20\cf9\lang1024\langfe1024\loch\af1\hich\af1\dbch\af31501\noproof\insrsid6317489\charrsid5511251 \hich\af1\dbch\af31501\loch\f1 &lt;/OptDel&gt;}{\rtlch\fcs1 \af0 \ltrch\fcs0 \insrsid6317489\charrsid5511251 _x000d__x000a_\par }\pard\plain \ltrpar\s23\qc \li0\ri0\sb240\sa240\keepn\nowidctlpar\wrapdefault\aspalpha\aspnum\faauto\adjustright\rin0\lin0\itap0\pararsid6317489 \rtlch\fcs1 \af0\afs20\alang1025 \ltrch\fcs0 \i\fs24\lang2057\langfe2057\cgrid\langnp2057\langfenp2057 {_x000d__x000a_\rtlch\fcs1 \af0 \ltrch\fcs0 \cs17\i0\v\fs20\cf9\lang1024\langfe1024\loch\af1\hich\af1\dbch\af31501\noproof\insrsid6317489\charrsid5511251 \hich\af1\dbch\af31501\loch\f1 &lt;TitreJust&gt;}{\rtlch\fcs1 \af0 \ltrch\fcs0 \insrsid6317489\charrsid5511251 _x000d__x000a_Justification}{\rtlch\fcs1 \af0 \ltrch\fcs0 \cs17\i0\v\fs20\cf9\lang1024\langfe1024\loch\af1\hich\af1\dbch\af31501\noproof\insrsid6317489\charrsid5511251 \hich\af1\dbch\af31501\loch\f1 &lt;/TitreJust&gt;}{\rtlch\fcs1 \af0 \ltrch\fcs0 _x000d__x000a_\insrsid6317489\charrsid5511251 _x000d__x000a_\par }\pard\plain \ltrpar\s21\ql \li0\ri0\sa240\nowidctlpar\wrapdefault\aspalpha\aspnum\faauto\adjustright\rin0\lin0\itap0\pararsid6317489 \rtlch\fcs1 \af0\afs20\alang1025 \ltrch\fcs0 \i\fs24\lang2057\langfe2057\cgrid\langnp2057\langfenp2057 {\rtlch\fcs1 \af0 _x000d__x000a_\ltrch\fcs0 \cs17\i0\v\fs20\cf9\lang1024\langfe1024\loch\af1\hich\af1\dbch\af31501\noproof\insrsid6317489\charrsid5511251 \hich\af1\dbch\af31501\loch\f1 &lt;OptDelPrev&gt;}{\rtlch\fcs1 \af0 \ltrch\fcs0 \insrsid6317489\charrsid5511251 #}{\rtlch\fcs1 \af1 _x000d__x000a_\ltrch\fcs0 \cs18\v\f1\fs20\cf15\insrsid6317489\charrsid5511251 MNU[TEXTJUSTYES][TEXTJUSTNO]@CHOICE@}{\rtlch\fcs1 \af0 \ltrch\fcs0 \insrsid6317489\charrsid5511251 #}{\rtlch\fcs1 \af0 \ltrch\fcs0 _x000d__x000a_\cs17\i0\v\fs20\cf9\lang1024\langfe1024\loch\af1\hich\af1\dbch\af31501\noproof\insrsid6317489\charrsid5511251 \hich\af1\dbch\af31501\loch\f1 &lt;/OptDelPrev&gt;}{\rtlch\fcs1 \af0 \ltrch\fcs0 \insrsid6317489\charrsid5511251 _x000d__x000a_\par }\pard\plain \ltrpar\ql \li0\ri0\widctlpar\wrapdefault\aspalpha\aspnum\faauto\adjustright\rin0\lin0\itap0\pararsid6317489 \rtlch\fcs1 \af0\afs20\alang1025 \ltrch\fcs0 \fs24\lang2057\langfe2057\cgrid\langnp2057\langfenp2057 {\rtlch\fcs1 \af0 \ltrch\fcs0 _x000d__x000a_\cs17\v\fs20\cf9\lang1024\langfe1024\loch\af1\hich\af1\dbch\af31501\noproof\insrsid6317489\charrsid551125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8_x000d__x000a_329d1e9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0"/>
    <w:docVar w:name="TVTACTPART" w:val="xxx"/>
    <w:docVar w:name="TVTAMACTPART" w:val="Recital 2"/>
    <w:docVar w:name="TXTAUTHOR" w:val="Danuta Maria Hübner"/>
    <w:docVar w:name="TXTLANGUE" w:val="EN"/>
    <w:docVar w:name="TXTLANGUEMIN" w:val="en"/>
    <w:docVar w:name="TXTNRC" w:val="0411/2022"/>
    <w:docVar w:name="TXTNRCOD" w:val="2022/0404"/>
    <w:docVar w:name="TXTNRCOM" w:val="(2022)0698"/>
    <w:docVar w:name="TXTNRDIR" w:val="(EU) 36/2013"/>
    <w:docVar w:name="TXTNRFIRSTAM" w:val="1"/>
    <w:docVar w:name="TXTNRLASTAM" w:val="2"/>
    <w:docVar w:name="TXTNRPE" w:val="749.905"/>
    <w:docVar w:name="TXTPEorAP" w:val="PE"/>
    <w:docVar w:name="TXTROUTE" w:val="PR\1280612EN.docx"/>
    <w:docVar w:name="TXTTITLE" w:val="Amending Directives 2009/65/EU, 2013/36/EU and (EU) 2019/2034 as regards the treatment of concentration risk towards central counterparties and the counterparty risk on centrally cleared derivative transactions"/>
    <w:docVar w:name="TXTVERSION" w:val="01-00"/>
  </w:docVars>
  <w:rsids>
    <w:rsidRoot w:val="00541853"/>
    <w:rsid w:val="00002CFB"/>
    <w:rsid w:val="00011AAB"/>
    <w:rsid w:val="00012351"/>
    <w:rsid w:val="000139E5"/>
    <w:rsid w:val="00084DD2"/>
    <w:rsid w:val="00084E89"/>
    <w:rsid w:val="000B7489"/>
    <w:rsid w:val="000F1096"/>
    <w:rsid w:val="00120948"/>
    <w:rsid w:val="00123DD5"/>
    <w:rsid w:val="001277AE"/>
    <w:rsid w:val="00142215"/>
    <w:rsid w:val="001767E2"/>
    <w:rsid w:val="00187008"/>
    <w:rsid w:val="001B3829"/>
    <w:rsid w:val="001C5592"/>
    <w:rsid w:val="001C5B44"/>
    <w:rsid w:val="001C6FFC"/>
    <w:rsid w:val="001D6D78"/>
    <w:rsid w:val="001F7C7C"/>
    <w:rsid w:val="00212B84"/>
    <w:rsid w:val="002346B0"/>
    <w:rsid w:val="00242AB6"/>
    <w:rsid w:val="002667C3"/>
    <w:rsid w:val="002669B6"/>
    <w:rsid w:val="00290BED"/>
    <w:rsid w:val="002B43FA"/>
    <w:rsid w:val="002D13EE"/>
    <w:rsid w:val="002E33EE"/>
    <w:rsid w:val="002F40BB"/>
    <w:rsid w:val="002F4B02"/>
    <w:rsid w:val="00300ECF"/>
    <w:rsid w:val="00323EF8"/>
    <w:rsid w:val="003316DD"/>
    <w:rsid w:val="003506ED"/>
    <w:rsid w:val="00366A46"/>
    <w:rsid w:val="00370AC3"/>
    <w:rsid w:val="003824EE"/>
    <w:rsid w:val="003B4689"/>
    <w:rsid w:val="003C2068"/>
    <w:rsid w:val="003C37CF"/>
    <w:rsid w:val="004100B1"/>
    <w:rsid w:val="00426E47"/>
    <w:rsid w:val="00455743"/>
    <w:rsid w:val="00460B87"/>
    <w:rsid w:val="00461601"/>
    <w:rsid w:val="004C0915"/>
    <w:rsid w:val="004D424E"/>
    <w:rsid w:val="004E42C8"/>
    <w:rsid w:val="004E733D"/>
    <w:rsid w:val="004F3FA5"/>
    <w:rsid w:val="0051271F"/>
    <w:rsid w:val="00521F46"/>
    <w:rsid w:val="0052461B"/>
    <w:rsid w:val="00541853"/>
    <w:rsid w:val="00551111"/>
    <w:rsid w:val="00551123"/>
    <w:rsid w:val="00570A6A"/>
    <w:rsid w:val="00586E50"/>
    <w:rsid w:val="0059583D"/>
    <w:rsid w:val="005A42D9"/>
    <w:rsid w:val="005C2BEF"/>
    <w:rsid w:val="005D1A99"/>
    <w:rsid w:val="005D7609"/>
    <w:rsid w:val="005D7EE8"/>
    <w:rsid w:val="005F2FA5"/>
    <w:rsid w:val="00642325"/>
    <w:rsid w:val="006665AE"/>
    <w:rsid w:val="00683478"/>
    <w:rsid w:val="0069092A"/>
    <w:rsid w:val="006A2F5D"/>
    <w:rsid w:val="006E353E"/>
    <w:rsid w:val="006F7907"/>
    <w:rsid w:val="00743189"/>
    <w:rsid w:val="00743D33"/>
    <w:rsid w:val="007932B3"/>
    <w:rsid w:val="00793EA9"/>
    <w:rsid w:val="007D6F68"/>
    <w:rsid w:val="00823E6B"/>
    <w:rsid w:val="00826780"/>
    <w:rsid w:val="008370AE"/>
    <w:rsid w:val="00837CCD"/>
    <w:rsid w:val="008633CC"/>
    <w:rsid w:val="00865190"/>
    <w:rsid w:val="008719B9"/>
    <w:rsid w:val="00894923"/>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4EAF"/>
    <w:rsid w:val="00B57B8B"/>
    <w:rsid w:val="00B85407"/>
    <w:rsid w:val="00B95702"/>
    <w:rsid w:val="00BC6489"/>
    <w:rsid w:val="00BD480C"/>
    <w:rsid w:val="00BD728D"/>
    <w:rsid w:val="00C20954"/>
    <w:rsid w:val="00C23324"/>
    <w:rsid w:val="00C42A41"/>
    <w:rsid w:val="00C47E74"/>
    <w:rsid w:val="00C57A72"/>
    <w:rsid w:val="00C73602"/>
    <w:rsid w:val="00C85D0F"/>
    <w:rsid w:val="00CE1258"/>
    <w:rsid w:val="00CF60C8"/>
    <w:rsid w:val="00D06F68"/>
    <w:rsid w:val="00D30DE2"/>
    <w:rsid w:val="00D32924"/>
    <w:rsid w:val="00D503A3"/>
    <w:rsid w:val="00D7187F"/>
    <w:rsid w:val="00DA6ED0"/>
    <w:rsid w:val="00DC5011"/>
    <w:rsid w:val="00E171B6"/>
    <w:rsid w:val="00E72695"/>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B71883"/>
  <w15:chartTrackingRefBased/>
  <w15:docId w15:val="{E7E6F7C9-EEB5-4E40-AC4E-BA1D27648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683478"/>
    <w:pPr>
      <w:tabs>
        <w:tab w:val="right" w:pos="454"/>
        <w:tab w:val="left" w:pos="737"/>
      </w:tabs>
      <w:ind w:left="737" w:hanging="737"/>
    </w:pPr>
    <w:rPr>
      <w:snapToGrid w:val="0"/>
      <w:sz w:val="18"/>
      <w:lang w:eastAsia="en-US"/>
    </w:rPr>
  </w:style>
  <w:style w:type="paragraph" w:customStyle="1" w:styleId="Lgendetitre">
    <w:name w:val="Légende titre"/>
    <w:basedOn w:val="Normal"/>
    <w:rsid w:val="00683478"/>
    <w:pPr>
      <w:spacing w:before="240" w:after="240"/>
    </w:pPr>
    <w:rPr>
      <w:b/>
      <w:i/>
      <w:snapToGrid w:val="0"/>
      <w:lang w:eastAsia="en-US"/>
    </w:rPr>
  </w:style>
  <w:style w:type="paragraph" w:customStyle="1" w:styleId="Lgendestandard">
    <w:name w:val="Légende standard"/>
    <w:basedOn w:val="Normal"/>
    <w:rsid w:val="00683478"/>
    <w:rPr>
      <w:sz w:val="18"/>
    </w:rPr>
  </w:style>
  <w:style w:type="character" w:customStyle="1" w:styleId="Normal6Char">
    <w:name w:val="Normal6 Char"/>
    <w:basedOn w:val="DefaultParagraphFont"/>
    <w:link w:val="Normal6"/>
    <w:locked/>
    <w:rsid w:val="00BD728D"/>
    <w:rPr>
      <w:sz w:val="24"/>
      <w:lang w:val="sv-SE"/>
    </w:rPr>
  </w:style>
  <w:style w:type="paragraph" w:customStyle="1" w:styleId="Normal6">
    <w:name w:val="Normal6"/>
    <w:basedOn w:val="Normal"/>
    <w:link w:val="Normal6Char"/>
    <w:rsid w:val="00BD728D"/>
    <w:pPr>
      <w:spacing w:after="120"/>
    </w:pPr>
  </w:style>
  <w:style w:type="character" w:customStyle="1" w:styleId="NormalBoldChar">
    <w:name w:val="NormalBold Char"/>
    <w:basedOn w:val="DefaultParagraphFont"/>
    <w:link w:val="NormalBold"/>
    <w:locked/>
    <w:rsid w:val="00BD728D"/>
    <w:rPr>
      <w:b/>
      <w:sz w:val="24"/>
    </w:rPr>
  </w:style>
  <w:style w:type="paragraph" w:customStyle="1" w:styleId="Normal12Italic">
    <w:name w:val="Normal12Italic"/>
    <w:basedOn w:val="Normal"/>
    <w:rsid w:val="00BD728D"/>
    <w:pPr>
      <w:spacing w:after="240"/>
    </w:pPr>
    <w:rPr>
      <w:i/>
      <w:noProof/>
    </w:rPr>
  </w:style>
  <w:style w:type="paragraph" w:customStyle="1" w:styleId="JustificationTitle">
    <w:name w:val="JustificationTitle"/>
    <w:basedOn w:val="Normal"/>
    <w:next w:val="Normal"/>
    <w:rsid w:val="00BD728D"/>
    <w:pPr>
      <w:keepNext/>
      <w:spacing w:before="240" w:after="240"/>
      <w:jc w:val="center"/>
    </w:pPr>
    <w:rPr>
      <w:i/>
      <w:noProof/>
    </w:rPr>
  </w:style>
  <w:style w:type="paragraph" w:customStyle="1" w:styleId="ColumnHeading">
    <w:name w:val="ColumnHeading"/>
    <w:basedOn w:val="Normal"/>
    <w:rsid w:val="00BD728D"/>
    <w:pPr>
      <w:spacing w:after="240"/>
      <w:jc w:val="center"/>
    </w:pPr>
    <w:rPr>
      <w:i/>
    </w:rPr>
  </w:style>
  <w:style w:type="paragraph" w:customStyle="1" w:styleId="AMNumberTabs0">
    <w:name w:val="AMNumberTabs"/>
    <w:basedOn w:val="Normal"/>
    <w:rsid w:val="00BD72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D728D"/>
    <w:pPr>
      <w:jc w:val="right"/>
    </w:pPr>
  </w:style>
  <w:style w:type="paragraph" w:styleId="Footer">
    <w:name w:val="footer"/>
    <w:basedOn w:val="Normal"/>
    <w:link w:val="FooterChar"/>
    <w:semiHidden/>
    <w:rsid w:val="00BD728D"/>
    <w:pPr>
      <w:tabs>
        <w:tab w:val="center" w:pos="4513"/>
        <w:tab w:val="right" w:pos="9026"/>
      </w:tabs>
    </w:pPr>
  </w:style>
  <w:style w:type="character" w:customStyle="1" w:styleId="FooterChar">
    <w:name w:val="Footer Char"/>
    <w:basedOn w:val="DefaultParagraphFont"/>
    <w:link w:val="Footer"/>
    <w:semiHidden/>
    <w:rsid w:val="00BD728D"/>
    <w:rPr>
      <w:sz w:val="24"/>
    </w:rPr>
  </w:style>
  <w:style w:type="paragraph" w:styleId="BalloonText">
    <w:name w:val="Balloon Text"/>
    <w:basedOn w:val="Normal"/>
    <w:link w:val="BalloonTextChar"/>
    <w:semiHidden/>
    <w:unhideWhenUsed/>
    <w:rsid w:val="006665AE"/>
    <w:rPr>
      <w:rFonts w:ascii="Segoe UI" w:hAnsi="Segoe UI" w:cs="Segoe UI"/>
      <w:sz w:val="18"/>
      <w:szCs w:val="18"/>
    </w:rPr>
  </w:style>
  <w:style w:type="character" w:customStyle="1" w:styleId="BalloonTextChar">
    <w:name w:val="Balloon Text Char"/>
    <w:basedOn w:val="DefaultParagraphFont"/>
    <w:link w:val="BalloonText"/>
    <w:semiHidden/>
    <w:rsid w:val="006665AE"/>
    <w:rPr>
      <w:rFonts w:ascii="Segoe UI" w:hAnsi="Segoe UI" w:cs="Segoe UI"/>
      <w:sz w:val="18"/>
      <w:szCs w:val="18"/>
    </w:rPr>
  </w:style>
  <w:style w:type="character" w:styleId="CommentReference">
    <w:name w:val="annotation reference"/>
    <w:basedOn w:val="DefaultParagraphFont"/>
    <w:rsid w:val="00CE1258"/>
    <w:rPr>
      <w:sz w:val="16"/>
      <w:szCs w:val="16"/>
    </w:rPr>
  </w:style>
  <w:style w:type="paragraph" w:styleId="CommentText">
    <w:name w:val="annotation text"/>
    <w:basedOn w:val="Normal"/>
    <w:link w:val="CommentTextChar"/>
    <w:rsid w:val="00CE1258"/>
    <w:rPr>
      <w:sz w:val="20"/>
    </w:rPr>
  </w:style>
  <w:style w:type="character" w:customStyle="1" w:styleId="CommentTextChar">
    <w:name w:val="Comment Text Char"/>
    <w:basedOn w:val="DefaultParagraphFont"/>
    <w:link w:val="CommentText"/>
    <w:rsid w:val="00CE1258"/>
  </w:style>
  <w:style w:type="paragraph" w:styleId="CommentSubject">
    <w:name w:val="annotation subject"/>
    <w:basedOn w:val="CommentText"/>
    <w:next w:val="CommentText"/>
    <w:link w:val="CommentSubjectChar"/>
    <w:semiHidden/>
    <w:unhideWhenUsed/>
    <w:rsid w:val="00CE1258"/>
    <w:rPr>
      <w:b/>
      <w:bCs/>
    </w:rPr>
  </w:style>
  <w:style w:type="character" w:customStyle="1" w:styleId="CommentSubjectChar">
    <w:name w:val="Comment Subject Char"/>
    <w:basedOn w:val="CommentTextChar"/>
    <w:link w:val="CommentSubject"/>
    <w:semiHidden/>
    <w:rsid w:val="00CE12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5DDE1-6B29-4E70-92BA-01EDA906E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1570</Words>
  <Characters>10020</Characters>
  <Application>Microsoft Office Word</Application>
  <DocSecurity>0</DocSecurity>
  <Lines>313</Lines>
  <Paragraphs>92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TURLUI Emil-Gabriel</dc:creator>
  <cp:lastModifiedBy>MAGNUSSON Malin</cp:lastModifiedBy>
  <cp:revision>2</cp:revision>
  <cp:lastPrinted>2004-11-04T09:41:00Z</cp:lastPrinted>
  <dcterms:created xsi:type="dcterms:W3CDTF">2023-06-20T09:50:00Z</dcterms:created>
  <dcterms:modified xsi:type="dcterms:W3CDTF">2023-06-20T09:50:00Z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1280612</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9.15.0 Build [20230501]</vt:lpwstr>
  </property>
  <property fmtid="{D5CDD505-2E9C-101B-9397-08002B2CF9AE}" pid="9" name="FooterPath">
    <vt:lpwstr>PR\1280612SV.docx</vt:lpwstr>
  </property>
  <property fmtid="{D5CDD505-2E9C-101B-9397-08002B2CF9AE}" pid="10" name="LastEdited with">
    <vt:lpwstr>9.15.0 Build [20230501]</vt:lpwstr>
  </property>
  <property fmtid="{D5CDD505-2E9C-101B-9397-08002B2CF9AE}" pid="11" name="PE number">
    <vt:lpwstr>749.905</vt:lpwstr>
  </property>
  <property fmtid="{D5CDD505-2E9C-101B-9397-08002B2CF9AE}" pid="12" name="SDLStudio">
    <vt:lpwstr/>
  </property>
  <property fmtid="{D5CDD505-2E9C-101B-9397-08002B2CF9AE}" pid="13" name="SendToEpades">
    <vt:lpwstr>OK - 2023/06/09 14:12</vt:lpwstr>
  </property>
  <property fmtid="{D5CDD505-2E9C-101B-9397-08002B2CF9AE}" pid="14" name="Bookout">
    <vt:lpwstr>OK - 2023/06/20 11:49</vt:lpwstr>
  </property>
</Properties>
</file>