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94FDC" w:rsidTr="00C85D0F">
        <w:trPr>
          <w:trHeight w:hRule="exact" w:val="1418"/>
        </w:trPr>
        <w:tc>
          <w:tcPr>
            <w:tcW w:w="6804" w:type="dxa"/>
            <w:shd w:val="clear" w:color="auto" w:fill="auto"/>
            <w:vAlign w:val="center"/>
          </w:tcPr>
          <w:p w:rsidR="00B13D6F" w:rsidRPr="0030050B" w:rsidRDefault="006F21B3" w:rsidP="00C85D0F">
            <w:pPr>
              <w:pStyle w:val="EPName"/>
            </w:pPr>
            <w:bookmarkStart w:id="0" w:name="_GoBack"/>
            <w:bookmarkEnd w:id="0"/>
            <w:r>
              <w:t>Evropský parlament</w:t>
            </w:r>
          </w:p>
          <w:p w:rsidR="00B13D6F" w:rsidRPr="00615424" w:rsidRDefault="006F21B3" w:rsidP="00615424">
            <w:pPr>
              <w:pStyle w:val="EPTerm"/>
            </w:pPr>
            <w:r>
              <w:t>2019-2024</w:t>
            </w:r>
          </w:p>
        </w:tc>
        <w:tc>
          <w:tcPr>
            <w:tcW w:w="2268" w:type="dxa"/>
            <w:shd w:val="clear" w:color="auto" w:fill="auto"/>
          </w:tcPr>
          <w:p w:rsidR="00B13D6F" w:rsidRPr="0030050B" w:rsidRDefault="006F21B3" w:rsidP="00C85D0F">
            <w:pPr>
              <w:pStyle w:val="EPLogo"/>
            </w:pPr>
            <w:r w:rsidRPr="0030050B">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30050B" w:rsidRDefault="00461601" w:rsidP="00461601">
      <w:pPr>
        <w:pStyle w:val="LineTop"/>
      </w:pPr>
    </w:p>
    <w:p w:rsidR="00461601" w:rsidRPr="0030050B" w:rsidRDefault="006F21B3" w:rsidP="00461601">
      <w:pPr>
        <w:pStyle w:val="EPBody"/>
      </w:pPr>
      <w:r>
        <w:rPr>
          <w:rStyle w:val="HideTWBExt"/>
        </w:rPr>
        <w:t>&lt;</w:t>
      </w:r>
      <w:r>
        <w:rPr>
          <w:rStyle w:val="HideTWBExt"/>
          <w:i w:val="0"/>
        </w:rPr>
        <w:t>Commission</w:t>
      </w:r>
      <w:r>
        <w:rPr>
          <w:rStyle w:val="HideTWBExt"/>
        </w:rPr>
        <w:t>&gt;</w:t>
      </w:r>
      <w:r>
        <w:rPr>
          <w:rStyle w:val="HideTWBInt"/>
          <w:color w:val="auto"/>
        </w:rPr>
        <w:t>{ECON}</w:t>
      </w:r>
      <w:r>
        <w:t>Hospodářský a měnový výbor</w:t>
      </w:r>
      <w:r>
        <w:rPr>
          <w:rStyle w:val="HideTWBExt"/>
        </w:rPr>
        <w:t>&lt;/</w:t>
      </w:r>
      <w:r>
        <w:rPr>
          <w:rStyle w:val="HideTWBExt"/>
          <w:i w:val="0"/>
        </w:rPr>
        <w:t>Commission</w:t>
      </w:r>
      <w:r>
        <w:rPr>
          <w:rStyle w:val="HideTWBExt"/>
        </w:rPr>
        <w:t>&gt;</w:t>
      </w:r>
    </w:p>
    <w:p w:rsidR="00461601" w:rsidRPr="0030050B" w:rsidRDefault="00461601" w:rsidP="00461601">
      <w:pPr>
        <w:pStyle w:val="LineBottom"/>
      </w:pPr>
    </w:p>
    <w:p w:rsidR="00793EA9" w:rsidRPr="0030050B" w:rsidRDefault="006F21B3">
      <w:pPr>
        <w:pStyle w:val="CoverReference"/>
      </w:pPr>
      <w:r>
        <w:rPr>
          <w:rStyle w:val="HideTWBExt"/>
          <w:b w:val="0"/>
        </w:rPr>
        <w:t>&lt;RefProc&gt;</w:t>
      </w:r>
      <w:r>
        <w:t>2023/0113</w:t>
      </w:r>
      <w:r>
        <w:rPr>
          <w:rStyle w:val="HideTWBExt"/>
          <w:b w:val="0"/>
        </w:rPr>
        <w:t>&lt;/RefProc&gt;&lt;RefTypeProc&gt;</w:t>
      </w:r>
      <w:r>
        <w:t>(COD)</w:t>
      </w:r>
      <w:r>
        <w:rPr>
          <w:rStyle w:val="HideTWBExt"/>
          <w:b w:val="0"/>
        </w:rPr>
        <w:t>&lt;/RefTypeProc&gt;</w:t>
      </w:r>
    </w:p>
    <w:p w:rsidR="00793EA9" w:rsidRPr="0030050B" w:rsidRDefault="006F21B3">
      <w:pPr>
        <w:pStyle w:val="CoverDate"/>
      </w:pPr>
      <w:r>
        <w:rPr>
          <w:rStyle w:val="HideTWBExt"/>
        </w:rPr>
        <w:t>&lt;Date&gt;</w:t>
      </w:r>
      <w:r>
        <w:rPr>
          <w:rStyle w:val="HideTWBInt"/>
          <w:color w:val="auto"/>
        </w:rPr>
        <w:t>{11/09/2023}</w:t>
      </w:r>
      <w:r>
        <w:t>11.9.2023</w:t>
      </w:r>
      <w:r>
        <w:rPr>
          <w:rStyle w:val="HideTWBExt"/>
        </w:rPr>
        <w:t>&lt;/Date&gt;</w:t>
      </w:r>
    </w:p>
    <w:p w:rsidR="00793EA9" w:rsidRPr="0030050B" w:rsidRDefault="006F21B3">
      <w:pPr>
        <w:pStyle w:val="CoverDocType"/>
      </w:pPr>
      <w:r>
        <w:rPr>
          <w:rStyle w:val="HideTWBExt"/>
          <w:b w:val="0"/>
        </w:rPr>
        <w:t>&lt;RefProcLect&gt;</w:t>
      </w:r>
      <w:r>
        <w:t>***I</w:t>
      </w:r>
      <w:r>
        <w:rPr>
          <w:rStyle w:val="HideTWBExt"/>
          <w:b w:val="0"/>
        </w:rPr>
        <w:t>&lt;/RefProcLect&gt;</w:t>
      </w:r>
    </w:p>
    <w:p w:rsidR="00793EA9" w:rsidRPr="0030050B" w:rsidRDefault="006F21B3">
      <w:pPr>
        <w:pStyle w:val="CoverDocType24a"/>
      </w:pPr>
      <w:r>
        <w:rPr>
          <w:rStyle w:val="HideTWBExt"/>
          <w:b w:val="0"/>
        </w:rPr>
        <w:t>&lt;TitreType&gt;</w:t>
      </w:r>
      <w:r>
        <w:t>NÁVRH ZPRÁVY</w:t>
      </w:r>
      <w:r>
        <w:rPr>
          <w:rStyle w:val="HideTWBExt"/>
          <w:b w:val="0"/>
        </w:rPr>
        <w:t>&lt;/TitreType&gt;</w:t>
      </w:r>
    </w:p>
    <w:p w:rsidR="00793EA9" w:rsidRPr="0030050B" w:rsidRDefault="006F21B3">
      <w:pPr>
        <w:pStyle w:val="CoverNormal"/>
      </w:pPr>
      <w:r>
        <w:rPr>
          <w:rStyle w:val="HideTWBExt"/>
        </w:rPr>
        <w:t>&lt;Titre&gt;</w:t>
      </w:r>
      <w:r>
        <w:t>o návrhu směrnice Evropského parlamentu a Rady, kterou se mění směrnice 2014/59/EU a nařízení (EU) č. 806/2014, pokud jde o některé aspekty minimálního požadavku na kapitál a způsobilé závazky</w:t>
      </w:r>
      <w:r>
        <w:rPr>
          <w:rStyle w:val="HideTWBExt"/>
        </w:rPr>
        <w:t>&lt;/Titre&gt;</w:t>
      </w:r>
    </w:p>
    <w:p w:rsidR="00793EA9" w:rsidRPr="0030050B" w:rsidRDefault="006F21B3">
      <w:pPr>
        <w:pStyle w:val="CoverNormal24a"/>
      </w:pPr>
      <w:r>
        <w:rPr>
          <w:rStyle w:val="HideTWBExt"/>
          <w:lang w:val="pt-PT"/>
        </w:rPr>
        <w:t>&lt;DocRef&gt;</w:t>
      </w:r>
      <w:r>
        <w:t>(COM(2023)0229 – C9</w:t>
      </w:r>
      <w:r>
        <w:noBreakHyphen/>
        <w:t>0134/2023 – 2023/0113(COD))</w:t>
      </w:r>
      <w:r>
        <w:rPr>
          <w:rStyle w:val="HideTWBExt"/>
          <w:lang w:val="pt-PT"/>
        </w:rPr>
        <w:t>&lt;/DocRef&gt;</w:t>
      </w:r>
    </w:p>
    <w:p w:rsidR="00793EA9" w:rsidRPr="0030050B" w:rsidRDefault="006F21B3">
      <w:pPr>
        <w:pStyle w:val="CoverNormal24a"/>
      </w:pPr>
      <w:r>
        <w:rPr>
          <w:rStyle w:val="HideTWBExt"/>
        </w:rPr>
        <w:t>&lt;Commission&gt;</w:t>
      </w:r>
      <w:r>
        <w:rPr>
          <w:rStyle w:val="HideTWBInt"/>
          <w:color w:val="auto"/>
        </w:rPr>
        <w:t>{ECON}</w:t>
      </w:r>
      <w:r>
        <w:t>Hospodářský a měnový výbor</w:t>
      </w:r>
      <w:r>
        <w:rPr>
          <w:rStyle w:val="HideTWBExt"/>
        </w:rPr>
        <w:t>&lt;/Commission&gt;</w:t>
      </w:r>
    </w:p>
    <w:p w:rsidR="00793EA9" w:rsidRPr="0030050B" w:rsidRDefault="006F21B3">
      <w:pPr>
        <w:pStyle w:val="CoverNormal24a"/>
      </w:pPr>
      <w:r>
        <w:t xml:space="preserve">Zpravodaj: </w:t>
      </w:r>
      <w:r>
        <w:rPr>
          <w:rStyle w:val="HideTWBExt"/>
        </w:rPr>
        <w:t>&lt;Depute&gt;</w:t>
      </w:r>
      <w:r>
        <w:t>Jonás Fernández</w:t>
      </w:r>
      <w:r>
        <w:rPr>
          <w:rStyle w:val="HideTWBExt"/>
        </w:rPr>
        <w:t>&lt;/Depute&gt;</w:t>
      </w:r>
    </w:p>
    <w:p w:rsidR="001C5B44" w:rsidRPr="0030050B" w:rsidRDefault="001C5B44" w:rsidP="001C5B44">
      <w:pPr>
        <w:pStyle w:val="CoverNormal"/>
      </w:pPr>
    </w:p>
    <w:p w:rsidR="00615424" w:rsidRDefault="006F21B3" w:rsidP="00894923">
      <w:r>
        <w:br w:type="page"/>
      </w:r>
      <w:fldSimple w:instr=" TITLE  \* MERGEFORMAT ">
        <w:r w:rsidR="00F0610C" w:rsidRPr="00F0610C">
          <w:rPr>
            <w:lang w:val="fr-FR"/>
          </w:rPr>
          <w:t>PR_COD_1amCom</w:t>
        </w:r>
      </w:fldSimple>
    </w:p>
    <w:p w:rsidR="00615424" w:rsidRDefault="00615424" w:rsidP="00894923">
      <w:pPr>
        <w:rPr>
          <w:lang w:val="fr-FR"/>
        </w:rPr>
      </w:pPr>
    </w:p>
    <w:p w:rsidR="00615424" w:rsidRDefault="00615424" w:rsidP="00894923">
      <w:pPr>
        <w:rPr>
          <w:lang w:val="fr-FR"/>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C94FDC">
        <w:tc>
          <w:tcPr>
            <w:tcW w:w="5811" w:type="dxa"/>
          </w:tcPr>
          <w:p w:rsidR="00615424" w:rsidRDefault="006F21B3" w:rsidP="00894923">
            <w:pPr>
              <w:pStyle w:val="Lgendetitre"/>
            </w:pPr>
            <w:r>
              <w:t>Vysvětlivky</w:t>
            </w:r>
          </w:p>
        </w:tc>
      </w:tr>
      <w:tr w:rsidR="00C94FDC" w:rsidTr="00D60247">
        <w:trPr>
          <w:cantSplit/>
          <w:trHeight w:val="1807"/>
        </w:trPr>
        <w:tc>
          <w:tcPr>
            <w:tcW w:w="5811" w:type="dxa"/>
            <w:tcBorders>
              <w:bottom w:val="single" w:sz="4" w:space="0" w:color="auto"/>
            </w:tcBorders>
          </w:tcPr>
          <w:p w:rsidR="00615424" w:rsidRDefault="006F21B3" w:rsidP="00291397">
            <w:pPr>
              <w:pStyle w:val="Lgendesigne"/>
            </w:pPr>
            <w:r>
              <w:tab/>
              <w:t>*</w:t>
            </w:r>
            <w:r>
              <w:tab/>
              <w:t>Postup konzultace</w:t>
            </w:r>
          </w:p>
          <w:p w:rsidR="00615424" w:rsidRPr="00817843" w:rsidRDefault="006F21B3" w:rsidP="00291397">
            <w:pPr>
              <w:pStyle w:val="Lgendesigne"/>
            </w:pPr>
            <w:r>
              <w:tab/>
              <w:t>***</w:t>
            </w:r>
            <w:r>
              <w:tab/>
              <w:t>Postup souhlasu</w:t>
            </w:r>
          </w:p>
          <w:p w:rsidR="00615424" w:rsidRDefault="006F21B3" w:rsidP="00291397">
            <w:pPr>
              <w:pStyle w:val="Lgendesigne"/>
            </w:pPr>
            <w:r>
              <w:tab/>
              <w:t>***I</w:t>
            </w:r>
            <w:r>
              <w:tab/>
              <w:t>Řádný legislativní postup (první čtení)</w:t>
            </w:r>
          </w:p>
          <w:p w:rsidR="00615424" w:rsidRDefault="006F21B3" w:rsidP="00291397">
            <w:pPr>
              <w:pStyle w:val="Lgendesigne"/>
            </w:pPr>
            <w:r>
              <w:tab/>
              <w:t>***II</w:t>
            </w:r>
            <w:r>
              <w:tab/>
              <w:t>Řádný legislativní postup (druhé čtení)</w:t>
            </w:r>
          </w:p>
          <w:p w:rsidR="00615424" w:rsidRDefault="006F21B3" w:rsidP="00291397">
            <w:pPr>
              <w:pStyle w:val="Lgendesigne"/>
            </w:pPr>
            <w:r>
              <w:tab/>
              <w:t>***III</w:t>
            </w:r>
            <w:r>
              <w:tab/>
              <w:t>Řádný legislativní postup (třetí čtení)</w:t>
            </w:r>
          </w:p>
          <w:p w:rsidR="00615424" w:rsidRPr="000C31E2" w:rsidRDefault="00615424" w:rsidP="0069092A">
            <w:pPr>
              <w:pStyle w:val="Lgendestandard"/>
            </w:pPr>
          </w:p>
          <w:p w:rsidR="00615424" w:rsidRDefault="006F21B3" w:rsidP="0069092A">
            <w:pPr>
              <w:pStyle w:val="Lgendestandard"/>
            </w:pPr>
            <w:r>
              <w:t>(Druh postupu závisí na právním základu navrženém v návrhu aktu.)</w:t>
            </w:r>
          </w:p>
          <w:p w:rsidR="00615424" w:rsidRDefault="00615424" w:rsidP="008F1BC6">
            <w:pPr>
              <w:pStyle w:val="Lgendestandard"/>
              <w:rPr>
                <w:lang w:val="fr-FR"/>
              </w:rPr>
            </w:pPr>
          </w:p>
        </w:tc>
      </w:tr>
    </w:tbl>
    <w:p w:rsidR="00615424" w:rsidRDefault="00615424" w:rsidP="00894923">
      <w:pPr>
        <w:rPr>
          <w:lang w:val="fr-FR"/>
        </w:rPr>
      </w:pPr>
    </w:p>
    <w:p w:rsidR="00615424" w:rsidRDefault="00615424" w:rsidP="00894923">
      <w:pPr>
        <w:rPr>
          <w:lang w:val="fr-FR"/>
        </w:rPr>
      </w:pPr>
    </w:p>
    <w:p w:rsidR="00615424" w:rsidRDefault="00615424" w:rsidP="00894923">
      <w:pPr>
        <w:rPr>
          <w:lang w:val="fr-FR"/>
        </w:rPr>
      </w:pPr>
    </w:p>
    <w:p w:rsidR="00615424" w:rsidRDefault="00615424" w:rsidP="00291397">
      <w:pPr>
        <w:rPr>
          <w:lang w:val="fr-FR"/>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C94FDC" w:rsidTr="00740116">
        <w:tc>
          <w:tcPr>
            <w:tcW w:w="5811" w:type="dxa"/>
          </w:tcPr>
          <w:p w:rsidR="00615424" w:rsidRPr="00817843" w:rsidRDefault="006F21B3" w:rsidP="00740116">
            <w:pPr>
              <w:pStyle w:val="Lgendetitre"/>
            </w:pPr>
            <w:r>
              <w:t>Pozměňovací návrhy k návrhu aktu</w:t>
            </w:r>
          </w:p>
        </w:tc>
      </w:tr>
      <w:tr w:rsidR="00C94FDC" w:rsidTr="00D60247">
        <w:trPr>
          <w:trHeight w:val="4213"/>
        </w:trPr>
        <w:tc>
          <w:tcPr>
            <w:tcW w:w="5811" w:type="dxa"/>
          </w:tcPr>
          <w:p w:rsidR="00615424" w:rsidRPr="003112AB" w:rsidRDefault="006F21B3" w:rsidP="00740116">
            <w:pPr>
              <w:pStyle w:val="Lgendestandard"/>
              <w:rPr>
                <w:szCs w:val="18"/>
              </w:rPr>
            </w:pPr>
            <w:r>
              <w:rPr>
                <w:b/>
              </w:rPr>
              <w:t>Pozměňovacích návrhy Parlamentu předložené ve dvou sloupcích</w:t>
            </w:r>
          </w:p>
          <w:p w:rsidR="00615424" w:rsidRPr="003112AB" w:rsidRDefault="00615424" w:rsidP="00740116">
            <w:pPr>
              <w:pStyle w:val="Lgendestandard"/>
              <w:rPr>
                <w:szCs w:val="18"/>
                <w:lang w:val="fr-FR"/>
              </w:rPr>
            </w:pPr>
          </w:p>
          <w:p w:rsidR="00615424" w:rsidRPr="003112AB" w:rsidRDefault="006F21B3" w:rsidP="00740116">
            <w:pPr>
              <w:pStyle w:val="Lgendestandard"/>
              <w:rPr>
                <w:szCs w:val="18"/>
              </w:rPr>
            </w:pPr>
            <w:r>
              <w:t xml:space="preserve">Vypuštění textu je označeno </w:t>
            </w:r>
            <w:r>
              <w:rPr>
                <w:b/>
                <w:i/>
              </w:rPr>
              <w:t xml:space="preserve">tučnou kurzivou </w:t>
            </w:r>
            <w:r>
              <w:t xml:space="preserve">v levém sloupci. Nahrazení je označeno </w:t>
            </w:r>
            <w:r>
              <w:rPr>
                <w:b/>
                <w:i/>
              </w:rPr>
              <w:t>tučnou kurzivou</w:t>
            </w:r>
            <w:r>
              <w:t xml:space="preserve"> v obou sloupcích. Nový text je označen </w:t>
            </w:r>
            <w:r>
              <w:rPr>
                <w:b/>
                <w:i/>
              </w:rPr>
              <w:t>tučnou kurzivou</w:t>
            </w:r>
            <w:r>
              <w:t xml:space="preserve"> v pravém sloupci.</w:t>
            </w:r>
          </w:p>
          <w:p w:rsidR="00615424" w:rsidRPr="003112AB" w:rsidRDefault="00615424" w:rsidP="00740116">
            <w:pPr>
              <w:pStyle w:val="Lgendestandard"/>
            </w:pPr>
          </w:p>
          <w:p w:rsidR="00615424" w:rsidRPr="003112AB" w:rsidRDefault="006F21B3" w:rsidP="00740116">
            <w:pPr>
              <w:pStyle w:val="Lgendestandard"/>
            </w:pPr>
            <w:r>
              <w:t xml:space="preserve">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 </w:t>
            </w:r>
          </w:p>
          <w:p w:rsidR="00615424" w:rsidRPr="003112AB" w:rsidRDefault="00615424" w:rsidP="00740116">
            <w:pPr>
              <w:pStyle w:val="Lgendestandard"/>
            </w:pPr>
          </w:p>
          <w:p w:rsidR="00615424" w:rsidRPr="003112AB" w:rsidRDefault="006F21B3" w:rsidP="00740116">
            <w:pPr>
              <w:pStyle w:val="Lgendestandard"/>
              <w:rPr>
                <w:b/>
                <w:szCs w:val="18"/>
              </w:rPr>
            </w:pPr>
            <w:r>
              <w:rPr>
                <w:b/>
              </w:rPr>
              <w:t>Pozměňovací návrhy Parlamentu v podobě konsolidovaného textu</w:t>
            </w:r>
          </w:p>
          <w:p w:rsidR="00615424" w:rsidRPr="003112AB" w:rsidRDefault="00615424" w:rsidP="00740116">
            <w:pPr>
              <w:pStyle w:val="Lgendestandard"/>
              <w:rPr>
                <w:szCs w:val="18"/>
              </w:rPr>
            </w:pPr>
          </w:p>
          <w:p w:rsidR="00615424" w:rsidRPr="003112AB" w:rsidRDefault="006F21B3" w:rsidP="00740116">
            <w:pPr>
              <w:pStyle w:val="Lgendestandard"/>
            </w:pPr>
            <w:r>
              <w:t xml:space="preserve">Nové části textu jsou označeny </w:t>
            </w:r>
            <w:r>
              <w:rPr>
                <w:b/>
                <w:i/>
              </w:rPr>
              <w:t>tučnou kurzivou</w:t>
            </w:r>
            <w:r>
              <w:t xml:space="preserve">. Vypuštěné části textu jsou označeny symbolem ▌nebo přeškrtnuty. Nahrazení se vyznačují tak, že nový text se označí </w:t>
            </w:r>
            <w:r>
              <w:rPr>
                <w:b/>
                <w:i/>
              </w:rPr>
              <w:t>tučnou kurzivou</w:t>
            </w:r>
            <w:r>
              <w:t xml:space="preserve"> a nahrazený text se vymaže nebo přeškrtne. Výjimečně se neoznačují změny výlučně technické povahy, které provedly příslušné útvary za účelem vypracování konečného znění.</w:t>
            </w:r>
          </w:p>
          <w:p w:rsidR="00615424" w:rsidRPr="003112AB" w:rsidRDefault="00615424" w:rsidP="00740116">
            <w:pPr>
              <w:pStyle w:val="Lgendestandard"/>
            </w:pPr>
          </w:p>
        </w:tc>
      </w:tr>
    </w:tbl>
    <w:p w:rsidR="00615424" w:rsidRPr="003112AB" w:rsidRDefault="00615424" w:rsidP="00291397"/>
    <w:p w:rsidR="00615424" w:rsidRDefault="00615424" w:rsidP="00291397">
      <w:pPr>
        <w:rPr>
          <w:lang w:val="fr-FR"/>
        </w:rPr>
      </w:pPr>
    </w:p>
    <w:p w:rsidR="00793EA9" w:rsidRPr="00615424" w:rsidRDefault="00793EA9" w:rsidP="00012351">
      <w:pPr>
        <w:widowControl/>
        <w:tabs>
          <w:tab w:val="center" w:pos="4677"/>
        </w:tabs>
      </w:pPr>
    </w:p>
    <w:p w:rsidR="00793EA9" w:rsidRPr="0030050B" w:rsidRDefault="006F21B3">
      <w:pPr>
        <w:pStyle w:val="TOCHeading"/>
      </w:pPr>
      <w:r>
        <w:br w:type="page"/>
      </w:r>
      <w:r>
        <w:lastRenderedPageBreak/>
        <w:t>OBSAH</w:t>
      </w:r>
    </w:p>
    <w:p w:rsidR="00793EA9" w:rsidRPr="0030050B" w:rsidRDefault="006F21B3">
      <w:pPr>
        <w:pStyle w:val="TOCPage"/>
      </w:pPr>
      <w:r>
        <w:t>Strana</w:t>
      </w:r>
    </w:p>
    <w:p w:rsidR="00F0610C" w:rsidRDefault="006F21B3">
      <w:pPr>
        <w:pStyle w:val="TOC1"/>
        <w:tabs>
          <w:tab w:val="right" w:leader="dot" w:pos="9060"/>
        </w:tabs>
        <w:rPr>
          <w:rFonts w:asciiTheme="minorHAnsi" w:eastAsiaTheme="minorEastAsia" w:hAnsiTheme="minorHAnsi" w:cstheme="minorBidi"/>
          <w:noProof/>
          <w:sz w:val="22"/>
          <w:szCs w:val="22"/>
          <w:lang w:val="en-GB"/>
        </w:rPr>
      </w:pPr>
      <w:r w:rsidRPr="0030050B">
        <w:rPr>
          <w:b/>
        </w:rPr>
        <w:fldChar w:fldCharType="begin"/>
      </w:r>
      <w:r w:rsidRPr="0030050B">
        <w:rPr>
          <w:b/>
        </w:rPr>
        <w:instrText xml:space="preserve"> TOC \t "PageHeading</w:instrText>
      </w:r>
      <w:r w:rsidR="00F0610C">
        <w:rPr>
          <w:b/>
        </w:rPr>
        <w:instrText>;</w:instrText>
      </w:r>
      <w:r w:rsidRPr="0030050B">
        <w:rPr>
          <w:b/>
        </w:rPr>
        <w:instrText xml:space="preserve">1" </w:instrText>
      </w:r>
      <w:r w:rsidRPr="0030050B">
        <w:rPr>
          <w:b/>
        </w:rPr>
        <w:fldChar w:fldCharType="separate"/>
      </w:r>
      <w:r w:rsidR="00F0610C">
        <w:rPr>
          <w:noProof/>
        </w:rPr>
        <w:t>NÁVRH LEGISLATIVNÍHO USNESENÍ EVROPSKÉHO PARLAMENTU</w:t>
      </w:r>
      <w:r w:rsidR="00F0610C">
        <w:rPr>
          <w:noProof/>
        </w:rPr>
        <w:tab/>
      </w:r>
      <w:r w:rsidR="00F0610C">
        <w:rPr>
          <w:noProof/>
        </w:rPr>
        <w:fldChar w:fldCharType="begin"/>
      </w:r>
      <w:r w:rsidR="00F0610C">
        <w:rPr>
          <w:noProof/>
        </w:rPr>
        <w:instrText xml:space="preserve"> PAGEREF _Toc146549287 \h </w:instrText>
      </w:r>
      <w:r w:rsidR="00F0610C">
        <w:rPr>
          <w:noProof/>
        </w:rPr>
      </w:r>
      <w:r w:rsidR="00F0610C">
        <w:rPr>
          <w:noProof/>
        </w:rPr>
        <w:fldChar w:fldCharType="separate"/>
      </w:r>
      <w:r w:rsidR="00F0610C">
        <w:rPr>
          <w:noProof/>
        </w:rPr>
        <w:t>5</w:t>
      </w:r>
      <w:r w:rsidR="00F0610C">
        <w:rPr>
          <w:noProof/>
        </w:rPr>
        <w:fldChar w:fldCharType="end"/>
      </w:r>
    </w:p>
    <w:p w:rsidR="002346B0" w:rsidRPr="0030050B" w:rsidRDefault="006F21B3" w:rsidP="00C23324">
      <w:r w:rsidRPr="0030050B">
        <w:rPr>
          <w:b/>
        </w:rPr>
        <w:fldChar w:fldCharType="end"/>
      </w:r>
    </w:p>
    <w:p w:rsidR="00793EA9" w:rsidRPr="0030050B" w:rsidRDefault="006F21B3">
      <w:pPr>
        <w:pStyle w:val="PageHeading"/>
      </w:pPr>
      <w:r>
        <w:br w:type="page"/>
      </w:r>
      <w:r>
        <w:lastRenderedPageBreak/>
        <w:br w:type="page"/>
      </w:r>
      <w:bookmarkStart w:id="1" w:name="_Toc146549287"/>
      <w:r>
        <w:t>NÁVRH LEGISLATIVNÍHO USNESENÍ EVROPSKÉHO PARLAMENTU</w:t>
      </w:r>
      <w:bookmarkEnd w:id="1"/>
    </w:p>
    <w:p w:rsidR="00793EA9" w:rsidRPr="0030050B" w:rsidRDefault="006F21B3">
      <w:pPr>
        <w:pStyle w:val="NormalBold"/>
      </w:pPr>
      <w:r>
        <w:t>o návrhu směrnice Evropského parlamentu a Rady, kterou se mění směrnice 2014/59/EU a nařízení (EU) č. 806/2014, pokud jde o některé aspekty minimálního požadavku na kapitál a způsobilé závazky</w:t>
      </w:r>
    </w:p>
    <w:p w:rsidR="00793EA9" w:rsidRPr="0030050B" w:rsidRDefault="006F21B3">
      <w:pPr>
        <w:pStyle w:val="NormalBold12a"/>
      </w:pPr>
      <w:r>
        <w:t>(COM(2023)0229 – C9</w:t>
      </w:r>
      <w:r>
        <w:noBreakHyphen/>
        <w:t>0134/2023 – 2023/0113(COD))</w:t>
      </w:r>
    </w:p>
    <w:p w:rsidR="00793EA9" w:rsidRPr="0030050B" w:rsidRDefault="006F21B3" w:rsidP="00A910C9">
      <w:pPr>
        <w:pStyle w:val="NormalBold"/>
      </w:pPr>
      <w:r>
        <w:t>(Řádný legislativní postup: první čtení)</w:t>
      </w:r>
    </w:p>
    <w:p w:rsidR="00793EA9" w:rsidRPr="0030050B" w:rsidRDefault="006F21B3" w:rsidP="00A910C9">
      <w:pPr>
        <w:pStyle w:val="EPComma"/>
      </w:pPr>
      <w:r>
        <w:rPr>
          <w:i/>
        </w:rPr>
        <w:t>Evropský parlament</w:t>
      </w:r>
      <w:r>
        <w:t>,</w:t>
      </w:r>
    </w:p>
    <w:p w:rsidR="00793EA9" w:rsidRPr="0030050B" w:rsidRDefault="006F21B3">
      <w:pPr>
        <w:pStyle w:val="NormalHanging12a"/>
      </w:pPr>
      <w:r>
        <w:t>–</w:t>
      </w:r>
      <w:r>
        <w:tab/>
        <w:t>s ohledem na návrh Komise předložený Evropskému parlamentu a Radě (COM(2023)0229),</w:t>
      </w:r>
    </w:p>
    <w:p w:rsidR="00793EA9" w:rsidRPr="0030050B" w:rsidRDefault="006F21B3">
      <w:pPr>
        <w:pStyle w:val="NormalHanging12a"/>
      </w:pPr>
      <w:r>
        <w:t>–</w:t>
      </w:r>
      <w:r>
        <w:tab/>
        <w:t>s ohledem na čl. 294 odst. 2 a článek 114 Smlouvy o fungování Evropské unie, v souladu s nimiž Komise předložila svůj návrh Parlamentu (C9</w:t>
      </w:r>
      <w:r>
        <w:noBreakHyphen/>
        <w:t>0134/2023),</w:t>
      </w:r>
    </w:p>
    <w:p w:rsidR="00A26F46" w:rsidRPr="0030050B" w:rsidRDefault="006F21B3" w:rsidP="00A26F46">
      <w:pPr>
        <w:pStyle w:val="NormalHanging12a"/>
      </w:pPr>
      <w:r>
        <w:t>–</w:t>
      </w:r>
      <w:r>
        <w:tab/>
        <w:t>s ohledem na čl. 294 odst. 3 Smlouvy o fungování Evropské unie,</w:t>
      </w:r>
    </w:p>
    <w:p w:rsidR="00A26F46" w:rsidRPr="0030050B" w:rsidRDefault="006F21B3" w:rsidP="00A26F46">
      <w:pPr>
        <w:pStyle w:val="NormalHanging12a"/>
      </w:pPr>
      <w:r>
        <w:t>–</w:t>
      </w:r>
      <w:r>
        <w:tab/>
        <w:t xml:space="preserve">s ohledem na stanovisko Evropské centrální banky ze dne 5. července </w:t>
      </w:r>
      <w:r>
        <w:rPr>
          <w:vanish/>
        </w:rPr>
        <w:t xml:space="preserve">s ohledem na stanovisko Evropské centrální banky ze dne 5. července </w:t>
      </w:r>
      <w:r>
        <w:t>2023</w:t>
      </w:r>
      <w:r>
        <w:rPr>
          <w:rStyle w:val="FootnoteReference"/>
        </w:rPr>
        <w:footnoteReference w:id="1"/>
      </w:r>
      <w:r>
        <w:t>,</w:t>
      </w:r>
    </w:p>
    <w:p w:rsidR="00FB52FE" w:rsidRPr="0030050B" w:rsidRDefault="006F21B3" w:rsidP="00FB52FE">
      <w:pPr>
        <w:pStyle w:val="NormalHanging12a"/>
      </w:pPr>
      <w:r>
        <w:t>–</w:t>
      </w:r>
      <w:r>
        <w:tab/>
        <w:t>s ohledem na stanovisko Evropského hospodářského a sociálního výboru ze dne 13. července 2023</w:t>
      </w:r>
      <w:r>
        <w:rPr>
          <w:rStyle w:val="FootnoteReference"/>
          <w:szCs w:val="24"/>
        </w:rPr>
        <w:footnoteReference w:id="2"/>
      </w:r>
      <w:r>
        <w:t>,</w:t>
      </w:r>
    </w:p>
    <w:p w:rsidR="006A2F5D" w:rsidRPr="0030050B" w:rsidRDefault="006F21B3" w:rsidP="00615424">
      <w:pPr>
        <w:pStyle w:val="NormalHanging12a"/>
      </w:pPr>
      <w:r>
        <w:t>–</w:t>
      </w:r>
      <w:r>
        <w:tab/>
        <w:t>s ohledem na článek 59 jednacího řádu,</w:t>
      </w:r>
    </w:p>
    <w:p w:rsidR="006A2F5D" w:rsidRPr="0030050B" w:rsidRDefault="006F21B3" w:rsidP="006A2F5D">
      <w:pPr>
        <w:pStyle w:val="NormalHanging12a"/>
      </w:pPr>
      <w:r>
        <w:t>–</w:t>
      </w:r>
      <w:r>
        <w:tab/>
        <w:t>s ohledem na zprávu Hospodářského a měnového výboru (A9</w:t>
      </w:r>
      <w:r>
        <w:noBreakHyphen/>
        <w:t>0000/2023),</w:t>
      </w:r>
    </w:p>
    <w:p w:rsidR="009F6C2F" w:rsidRPr="0030050B" w:rsidRDefault="006F21B3" w:rsidP="009F6C2F">
      <w:pPr>
        <w:pStyle w:val="NormalHanging12a"/>
      </w:pPr>
      <w:r>
        <w:t>1.</w:t>
      </w:r>
      <w:r>
        <w:tab/>
        <w:t>přijímá níže uvedený postoj v prvním čtení;</w:t>
      </w:r>
    </w:p>
    <w:p w:rsidR="009F6C2F" w:rsidRPr="0030050B" w:rsidRDefault="006F21B3" w:rsidP="009F6C2F">
      <w:pPr>
        <w:pStyle w:val="NormalHanging12a"/>
      </w:pPr>
      <w:r>
        <w:t>2.</w:t>
      </w:r>
      <w:r>
        <w:tab/>
        <w:t>vyzývá Komisi, aby věc znovu postoupila Parlamentu, jestliže svůj návrh nahradí jiným textem, podstatně jej změní nebo má v úmyslu jej podstatně změnit;</w:t>
      </w:r>
    </w:p>
    <w:p w:rsidR="009F6C2F" w:rsidRPr="0030050B" w:rsidRDefault="006F21B3" w:rsidP="009F6C2F">
      <w:pPr>
        <w:pStyle w:val="NormalHanging12a"/>
      </w:pPr>
      <w:r>
        <w:t>3.</w:t>
      </w:r>
      <w:r>
        <w:tab/>
        <w:t>pověřuje svou předsedkyni, aby předala postoj Parlamentu Radě a Komisi, jakož i vnitrostátním parlamentům.</w:t>
      </w:r>
    </w:p>
    <w:p w:rsidR="00615424" w:rsidRDefault="006F21B3">
      <w:pPr>
        <w:widowControl/>
      </w:pPr>
      <w:r>
        <w:br w:type="page"/>
      </w:r>
    </w:p>
    <w:p w:rsidR="00615424" w:rsidRPr="0046639E" w:rsidRDefault="006F21B3" w:rsidP="00615424">
      <w:pPr>
        <w:pStyle w:val="AmNumberTabs"/>
        <w:keepNext/>
      </w:pPr>
      <w:r>
        <w:rPr>
          <w:rStyle w:val="HideTWBExt"/>
          <w:b w:val="0"/>
        </w:rPr>
        <w:t>&lt;RepeatBlock-Amend&gt;</w:t>
      </w:r>
      <w:bookmarkStart w:id="2" w:name="restart"/>
      <w:r>
        <w:rPr>
          <w:rStyle w:val="HideTWBExt"/>
          <w:b w:val="0"/>
        </w:rPr>
        <w:t>&lt;Amend&gt;</w:t>
      </w:r>
      <w:r>
        <w:t>Pozměňovací návrh</w:t>
      </w:r>
      <w:r>
        <w:tab/>
      </w:r>
      <w:r>
        <w:tab/>
      </w:r>
      <w:r>
        <w:rPr>
          <w:rStyle w:val="HideTWBExt"/>
          <w:b w:val="0"/>
        </w:rPr>
        <w:t>&lt;NumAm&gt;</w:t>
      </w:r>
      <w:r>
        <w:t>1</w:t>
      </w:r>
      <w:r>
        <w:rPr>
          <w:rStyle w:val="HideTWBExt"/>
          <w:b w:val="0"/>
        </w:rPr>
        <w:t>&lt;/NumAm&gt;</w:t>
      </w:r>
    </w:p>
    <w:p w:rsidR="00615424" w:rsidRPr="0046639E" w:rsidRDefault="006F21B3" w:rsidP="00615424">
      <w:pPr>
        <w:pStyle w:val="NormalBold12b"/>
        <w:keepNext/>
      </w:pPr>
      <w:r>
        <w:rPr>
          <w:rStyle w:val="HideTWBExt"/>
          <w:b w:val="0"/>
        </w:rPr>
        <w:t>&lt;DocAmend&gt;</w:t>
      </w:r>
      <w:r>
        <w:t>Návrh směrnice</w:t>
      </w:r>
      <w:r>
        <w:rPr>
          <w:rStyle w:val="HideTWBExt"/>
          <w:b w:val="0"/>
        </w:rPr>
        <w:t>&lt;/DocAmend&gt;</w:t>
      </w:r>
    </w:p>
    <w:p w:rsidR="00615424" w:rsidRPr="0046639E" w:rsidRDefault="006F21B3" w:rsidP="00615424">
      <w:pPr>
        <w:pStyle w:val="NormalBold"/>
      </w:pPr>
      <w:r>
        <w:rPr>
          <w:rStyle w:val="HideTWBExt"/>
          <w:b w:val="0"/>
        </w:rPr>
        <w:t>&lt;Article&gt;</w:t>
      </w:r>
      <w:r>
        <w:t>Bod odůvodnění 1</w:t>
      </w:r>
      <w:r>
        <w:rPr>
          <w:rStyle w:val="HideTWBExt"/>
          <w:b w:val="0"/>
        </w:rPr>
        <w:t>&lt;/Article&gt;</w:t>
      </w:r>
      <w:bookmarkEnd w:id="2"/>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(1)</w:t>
            </w:r>
            <w:r>
              <w:tab/>
              <w:t>Směrnice Evropského parlamentu a Rady (EU) 2019/879</w:t>
            </w:r>
            <w:r>
              <w:rPr>
                <w:vertAlign w:val="superscript"/>
              </w:rPr>
              <w:t>16</w:t>
            </w:r>
            <w:r>
              <w:t xml:space="preserve"> a nařízení Evropského parlamentu a Rady (EU) 2019/877</w:t>
            </w:r>
            <w:r>
              <w:rPr>
                <w:vertAlign w:val="superscript"/>
              </w:rPr>
              <w:t>17</w:t>
            </w:r>
            <w:r>
              <w:t xml:space="preserve"> pozměnily minimální požadavek na kapitál a způsobilé závazky („MREL“) stanovený ve směrnici Evropského parlamentu a Rady 2014/59/EU</w:t>
            </w:r>
            <w:r>
              <w:rPr>
                <w:vertAlign w:val="superscript"/>
              </w:rPr>
              <w:t>18</w:t>
            </w:r>
            <w:r>
              <w:t xml:space="preserve"> a v nařízení Evropského parlamentu a Rady (EU) č. 806/2014</w:t>
            </w:r>
            <w:r>
              <w:rPr>
                <w:vertAlign w:val="superscript"/>
              </w:rPr>
              <w:t>19</w:t>
            </w:r>
            <w:r>
              <w:t>, který se vztahuje na úvěrové instituce a investiční podniky (instituce) usazené v Unii, jakož i na všechny ostatní subjekty, které spadají do oblasti působnosti směrnice 2014/59/EU nebo nařízení (EU) č. 806/2014 (subjekty). Tyto změny stanovily, že interní MREL, tj. MREL vztahující se na instituce a subjekty, které jsou dceřinými podniky subjektů řešících krizi, ale samy nejsou subjekty řešícími krizi, mohou tyto subjekty splnit prostřednictvím nástrojů vydaných subjektu řešícímu krizi a zakoupených tímto subjektem buď přímo, nebo nepřímo prostřednictvím jiných subjektů v téže skupině řešící krizi.</w:t>
            </w:r>
          </w:p>
        </w:tc>
        <w:tc>
          <w:tcPr>
            <w:tcW w:w="4876" w:type="dxa"/>
            <w:hideMark/>
          </w:tcPr>
          <w:p w:rsidR="00615424" w:rsidRPr="0046639E" w:rsidRDefault="006F21B3" w:rsidP="006F4E71">
            <w:pPr>
              <w:pStyle w:val="Normal6"/>
              <w:rPr>
                <w:szCs w:val="24"/>
              </w:rPr>
            </w:pPr>
            <w:r>
              <w:t>(1)</w:t>
            </w:r>
            <w:r>
              <w:tab/>
              <w:t>Směrnice Evropského parlamentu a Rady (EU) 2019/879</w:t>
            </w:r>
            <w:r>
              <w:rPr>
                <w:vertAlign w:val="superscript"/>
              </w:rPr>
              <w:t>16</w:t>
            </w:r>
            <w:r>
              <w:t xml:space="preserve"> a nařízení Evropského parlamentu a Rady (EU) 2019/877</w:t>
            </w:r>
            <w:r>
              <w:rPr>
                <w:vertAlign w:val="superscript"/>
              </w:rPr>
              <w:t>17</w:t>
            </w:r>
            <w:r>
              <w:t xml:space="preserve"> pozměnily minimální požadavek na kapitál a způsobilé závazky („MREL“) stanovený ve směrnici Evropského parlamentu a Rady 2014/59/EU</w:t>
            </w:r>
            <w:r>
              <w:rPr>
                <w:vertAlign w:val="superscript"/>
              </w:rPr>
              <w:t>18</w:t>
            </w:r>
            <w:r>
              <w:t xml:space="preserve"> a v nařízení Evropského parlamentu a Rady (EU) č. 806/2014</w:t>
            </w:r>
            <w:r>
              <w:rPr>
                <w:vertAlign w:val="superscript"/>
              </w:rPr>
              <w:t>19</w:t>
            </w:r>
            <w:r>
              <w:t xml:space="preserve">, který se vztahuje na úvěrové instituce a investiční podniky (instituce) usazené v Unii, jakož i na všechny ostatní subjekty, které spadají do oblasti působnosti směrnice 2014/59/EU nebo nařízení (EU) č. 806/2014 (subjekty). Tyto změny stanovily, že interní MREL, tj. MREL vztahující se na instituce a subjekty, které jsou dceřinými podniky subjektů řešících krizi, ale samy nejsou subjekty řešícími krizi, mohou tyto </w:t>
            </w:r>
            <w:r>
              <w:rPr>
                <w:b/>
                <w:i/>
              </w:rPr>
              <w:t xml:space="preserve">instituce a </w:t>
            </w:r>
            <w:r>
              <w:t>subjekty splnit prostřednictvím nástrojů vydaných subjektu řešícímu krizi a zakoupených tímto subjektem buď přímo, nebo nepřímo prostřednictvím jiných subjektů v téže skupině řešící krizi.</w:t>
            </w:r>
          </w:p>
        </w:tc>
      </w:tr>
      <w:tr w:rsidR="00C94FDC" w:rsidTr="006F4E71">
        <w:trPr>
          <w:jc w:val="center"/>
        </w:trPr>
        <w:tc>
          <w:tcPr>
            <w:tcW w:w="4876" w:type="dxa"/>
            <w:hideMark/>
          </w:tcPr>
          <w:p w:rsidR="00615424" w:rsidRPr="0046639E" w:rsidRDefault="006F21B3" w:rsidP="006F4E71">
            <w:pPr>
              <w:pStyle w:val="Normal6"/>
            </w:pPr>
            <w:r>
              <w:t>__________________</w:t>
            </w:r>
          </w:p>
        </w:tc>
        <w:tc>
          <w:tcPr>
            <w:tcW w:w="4876" w:type="dxa"/>
            <w:hideMark/>
          </w:tcPr>
          <w:p w:rsidR="00615424" w:rsidRPr="0046639E" w:rsidRDefault="006F21B3" w:rsidP="006F4E71">
            <w:pPr>
              <w:pStyle w:val="Normal6"/>
              <w:rPr>
                <w:szCs w:val="24"/>
              </w:rPr>
            </w:pPr>
            <w:r>
              <w:t>__________________</w:t>
            </w:r>
          </w:p>
        </w:tc>
      </w:tr>
      <w:tr w:rsidR="00C94FDC" w:rsidTr="006F4E71">
        <w:trPr>
          <w:jc w:val="center"/>
        </w:trPr>
        <w:tc>
          <w:tcPr>
            <w:tcW w:w="4876" w:type="dxa"/>
            <w:hideMark/>
          </w:tcPr>
          <w:p w:rsidR="00615424" w:rsidRPr="0046639E" w:rsidRDefault="006F21B3" w:rsidP="006F4E71">
            <w:pPr>
              <w:pStyle w:val="Normal6"/>
            </w:pPr>
            <w:r>
              <w:rPr>
                <w:vertAlign w:val="superscript"/>
              </w:rPr>
              <w:t>16</w:t>
            </w:r>
            <w:r>
              <w:t xml:space="preserve"> Směrnice Evropského parlamentu a Rady (EU) 2019/879 ze dne 20. května 2019, kterou se mění směrnice 2014/59/EU, pokud jde o schopnost úvěrových institucí a investičních podniků absorbovat ztráty a schopnost rekapitalizace, a směrnice 98/26/ES (Úř. věst. L 150, 7.6.2019, s. 296).</w:t>
            </w:r>
          </w:p>
        </w:tc>
        <w:tc>
          <w:tcPr>
            <w:tcW w:w="4876" w:type="dxa"/>
            <w:hideMark/>
          </w:tcPr>
          <w:p w:rsidR="00615424" w:rsidRPr="0046639E" w:rsidRDefault="006F21B3" w:rsidP="006F4E71">
            <w:pPr>
              <w:pStyle w:val="Normal6"/>
              <w:rPr>
                <w:szCs w:val="24"/>
              </w:rPr>
            </w:pPr>
            <w:r>
              <w:rPr>
                <w:vertAlign w:val="superscript"/>
              </w:rPr>
              <w:t>16</w:t>
            </w:r>
            <w:r>
              <w:t xml:space="preserve"> Směrnice Evropského parlamentu a Rady (EU) 2019/879 ze dne 20. května 2019, kterou se mění směrnice 2014/59/EU, pokud jde o schopnost úvěrových institucí a investičních podniků absorbovat ztráty a schopnost rekapitalizace, a směrnice 98/26/ES (Úř. věst. L 150, 7.6.2019, s. 296).</w:t>
            </w:r>
          </w:p>
        </w:tc>
      </w:tr>
      <w:tr w:rsidR="00C94FDC" w:rsidTr="006F4E71">
        <w:trPr>
          <w:jc w:val="center"/>
        </w:trPr>
        <w:tc>
          <w:tcPr>
            <w:tcW w:w="4876" w:type="dxa"/>
            <w:hideMark/>
          </w:tcPr>
          <w:p w:rsidR="00615424" w:rsidRPr="0046639E" w:rsidRDefault="006F21B3" w:rsidP="006F4E71">
            <w:pPr>
              <w:pStyle w:val="Normal6"/>
            </w:pPr>
            <w:r>
              <w:rPr>
                <w:vertAlign w:val="superscript"/>
              </w:rPr>
              <w:t>17</w:t>
            </w:r>
            <w:r>
              <w:t xml:space="preserve"> Nařízení Evropského parlamentu a Rady (EU) 2019/877 ze dne 20. května 2019, kterým se mění nařízení (EU) č. 806/2014, pokud jde o schopnost absorbovat ztráty a schopnost rekapitalizace úvěrových institucí a investičních podniků (Úř. věst. L 150, 7.6.2019, s. 226).</w:t>
            </w:r>
          </w:p>
        </w:tc>
        <w:tc>
          <w:tcPr>
            <w:tcW w:w="4876" w:type="dxa"/>
            <w:hideMark/>
          </w:tcPr>
          <w:p w:rsidR="00615424" w:rsidRPr="0046639E" w:rsidRDefault="006F21B3" w:rsidP="006F4E71">
            <w:pPr>
              <w:pStyle w:val="Normal6"/>
              <w:rPr>
                <w:szCs w:val="24"/>
              </w:rPr>
            </w:pPr>
            <w:r>
              <w:rPr>
                <w:vertAlign w:val="superscript"/>
              </w:rPr>
              <w:t>17</w:t>
            </w:r>
            <w:r>
              <w:t xml:space="preserve"> Nařízení Evropského parlamentu a Rady (EU) 2019/877 ze dne 20. května 2019, kterým se mění nařízení (EU) č. 806/2014, pokud jde o schopnost absorbovat ztráty a schopnost rekapitalizace úvěrových institucí a investičních podniků (Úř. věst. L 150, 7.6.2019, s. 226).</w:t>
            </w:r>
          </w:p>
        </w:tc>
      </w:tr>
      <w:tr w:rsidR="00C94FDC" w:rsidTr="006F4E71">
        <w:trPr>
          <w:jc w:val="center"/>
        </w:trPr>
        <w:tc>
          <w:tcPr>
            <w:tcW w:w="4876" w:type="dxa"/>
            <w:hideMark/>
          </w:tcPr>
          <w:p w:rsidR="00615424" w:rsidRPr="0046639E" w:rsidRDefault="006F21B3" w:rsidP="006F4E71">
            <w:pPr>
              <w:pStyle w:val="Normal6"/>
            </w:pPr>
            <w:r>
              <w:rPr>
                <w:vertAlign w:val="superscript"/>
              </w:rPr>
              <w:t>18</w:t>
            </w:r>
            <w:r>
              <w:t xml:space="preserve"> Směrnice Evropského parlamentu a Rady 2014/59/EU ze dne 15. května 2014, kterou se stanoví rámec pro ozdravné postupy a řešení krize úvěrových institucí a investičních podniků a kterou se mění směrnice Rady 82/891/EHS, směrnice Evropského parlamentu a Rady 2001/24/ES, 2002/47/ES, 2004/25/ES, 2005/56/ES, 2007/36/ES, 2011/35/EU, 2012/30/EU a 2013/36/EU a nařízení Evropského parlamentu a Rady (EU) č. 1093/2010 a (EU) č. 648/2012 (Úř. věst. L 173, 12.6.2014, s. 190).</w:t>
            </w:r>
          </w:p>
        </w:tc>
        <w:tc>
          <w:tcPr>
            <w:tcW w:w="4876" w:type="dxa"/>
            <w:hideMark/>
          </w:tcPr>
          <w:p w:rsidR="00615424" w:rsidRPr="0046639E" w:rsidRDefault="006F21B3" w:rsidP="006F4E71">
            <w:pPr>
              <w:pStyle w:val="Normal6"/>
              <w:rPr>
                <w:szCs w:val="24"/>
              </w:rPr>
            </w:pPr>
            <w:r>
              <w:rPr>
                <w:vertAlign w:val="superscript"/>
              </w:rPr>
              <w:t>18</w:t>
            </w:r>
            <w:r>
              <w:t xml:space="preserve"> Směrnice Evropského parlamentu a Rady 2014/59/EU ze dne 15. května 2014, kterou se stanoví rámec pro ozdravné postupy a řešení krize úvěrových institucí a investičních podniků a kterou se mění směrnice Rady 82/891/EHS, směrnice Evropského parlamentu a Rady 2001/24/ES, 2002/47/ES, 2004/25/ES, 2005/56/ES, 2007/36/ES, 2011/35/EU, 2012/30/EU a 2013/36/EU a nařízení Evropského parlamentu a Rady (EU) č. 1093/2010 a (EU) č. 648/2012 (Úř. věst. L 173, 12.6.2014, s. 190).</w:t>
            </w:r>
          </w:p>
        </w:tc>
      </w:tr>
      <w:tr w:rsidR="00C94FDC" w:rsidTr="006F4E71">
        <w:trPr>
          <w:jc w:val="center"/>
        </w:trPr>
        <w:tc>
          <w:tcPr>
            <w:tcW w:w="4876" w:type="dxa"/>
            <w:hideMark/>
          </w:tcPr>
          <w:p w:rsidR="00615424" w:rsidRPr="0046639E" w:rsidRDefault="006F21B3" w:rsidP="006F4E71">
            <w:pPr>
              <w:pStyle w:val="Normal6"/>
            </w:pPr>
            <w:r>
              <w:rPr>
                <w:vertAlign w:val="superscript"/>
              </w:rPr>
              <w:t>19</w:t>
            </w:r>
            <w:r>
              <w:t xml:space="preserve"> Nařízení Evropského parlamentu a Rady (EU) č. 806/2014 ze dne 15. července 2014, kterým se stanoví jednotná pravidla a jednotný postup pro řešení krize úvěrových institucí a některých investičních podniků v rámci jednotného mechanismu pro řešení krizí a Jednotného fondu pro řešení krizí a mění nařízení (EU) č. 1093/2010 (Úř. věst. L 225, 30.7.2014, s. 1).</w:t>
            </w:r>
          </w:p>
        </w:tc>
        <w:tc>
          <w:tcPr>
            <w:tcW w:w="4876" w:type="dxa"/>
            <w:hideMark/>
          </w:tcPr>
          <w:p w:rsidR="00615424" w:rsidRPr="0046639E" w:rsidRDefault="006F21B3" w:rsidP="006F4E71">
            <w:pPr>
              <w:pStyle w:val="Normal6"/>
              <w:rPr>
                <w:szCs w:val="24"/>
              </w:rPr>
            </w:pPr>
            <w:r>
              <w:rPr>
                <w:vertAlign w:val="superscript"/>
              </w:rPr>
              <w:t>19</w:t>
            </w:r>
            <w:r>
              <w:t xml:space="preserve"> Nařízení Evropského parlamentu a Rady (EU) č. 806/2014 ze dne 15. července 2014, kterým se stanoví jednotná pravidla a jednotný postup pro řešení krize úvěrových institucí a některých investičních podniků v rámci jednotného mechanismu pro řešení krizí a Jednotného fondu pro řešení krizí a mění nařízení (EU) č. 1093/2010 (Úř. věst. L 225, 30.7.2014, s. 1).</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2</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(3)</w:t>
            </w:r>
            <w:r>
              <w:tab/>
              <w:t xml:space="preserve">Výsledkem přezkumu Komise bylo zjištění, že by bylo vhodné a přiměřené cílům sledovaným pravidly pro interní MREL umožnit orgánům příslušným k řešení krize stanovit interní MREL na konsolidovaném základě pro širší rozsah subjektů, než je rozsah vyplývající z uplatňování směrnice 2014/59/EU a nařízení (EU) č. 806/2014, pokud tento širší rozsah zahrnuje instituce a subjekty, které samy nejsou subjekty řešícími krizi, ale jsou dceřinými podniky subjektů řešících krizi a samy ovládají dceřiné podniky podléhající MREL („zprostředkující subjekty“). To by se týkalo zejména těch bankovních skupin, v jejichž čele stojí holdingová společnost. V takových případech zprostředkující subjekty přirozeně centralizují vnitroskupinové expozice a směřují zdroje způsobilé pro interní MREL, které subjekt řešící krizi předem připravil. Vzhledem k této struktuře by tyto zprostředkující subjekty </w:t>
            </w:r>
            <w:r>
              <w:rPr>
                <w:b/>
                <w:i/>
              </w:rPr>
              <w:t>byly</w:t>
            </w:r>
            <w:r>
              <w:t xml:space="preserve"> neúměrně postiženy pravidly pro odpočet. Komise rovněž dospěla k závěru, že rámec MREL by </w:t>
            </w:r>
            <w:r>
              <w:rPr>
                <w:b/>
                <w:i/>
              </w:rPr>
              <w:t>byl přiměřenější</w:t>
            </w:r>
            <w:r>
              <w:t xml:space="preserve">, kdyby se </w:t>
            </w:r>
            <w:r>
              <w:rPr>
                <w:b/>
                <w:i/>
              </w:rPr>
              <w:t>z rozsahu</w:t>
            </w:r>
            <w:r>
              <w:t xml:space="preserve"> expozic, které musí zprostředkující subjekt odečíst</w:t>
            </w:r>
            <w:r>
              <w:rPr>
                <w:b/>
                <w:i/>
              </w:rPr>
              <w:t xml:space="preserve"> podle mechanismu odpočtu pro nepřímý úpis zdrojů způsobilých pro interní</w:t>
            </w:r>
            <w:r>
              <w:t xml:space="preserve"> MREL</w:t>
            </w:r>
            <w:r>
              <w:rPr>
                <w:b/>
                <w:i/>
              </w:rPr>
              <w:t>, vyjmuly emise subjektů v likvidaci.</w:t>
            </w:r>
            <w:r>
              <w:t xml:space="preserve"> </w:t>
            </w:r>
            <w:r>
              <w:rPr>
                <w:b/>
                <w:i/>
              </w:rPr>
              <w:t>Subjekt v likvidaci nebude</w:t>
            </w:r>
            <w:r>
              <w:t xml:space="preserve"> muset být </w:t>
            </w:r>
            <w:r>
              <w:rPr>
                <w:b/>
                <w:i/>
              </w:rPr>
              <w:t>v případě selhání podporován subjektem řešícím krizi</w:t>
            </w:r>
            <w:r>
              <w:t>, čímž odpadne potřeba zabezpečit</w:t>
            </w:r>
            <w:r>
              <w:rPr>
                <w:b/>
                <w:i/>
              </w:rPr>
              <w:t xml:space="preserve"> jakékoli</w:t>
            </w:r>
            <w:r>
              <w:t xml:space="preserve"> mechanismy převodu ztrát a kapitálu v rámci skupin řešících krizi, což bylo účelem pravidel pro odpočet zavedených nařízením (EU) 2022/2036. Naproti tomu zbývající subjekty skupiny řešící krizi budou muset být v případě potíží nebo selhání podporovány subjektem řešícím krizi. Potřebné zdroje MREL by proto měly být k dispozici na všech úrovních skupiny řešící krizi a jejich dostupnost pro absorpci ztrát a rekapitalizaci by měla být zajištěna prostřednictvím mechanismu odpočtu. Přezkum Komise tedy dospěl k závěru, že zprostředkující subjekty by měly nadále odečítat plnou výši svých kapitálových investic do zdrojů způsobilých pro interní MREL vydaných ve stejné skupině řešící krizi jinými subjekty, které nejsou v likvidaci.</w:t>
            </w:r>
          </w:p>
        </w:tc>
        <w:tc>
          <w:tcPr>
            <w:tcW w:w="4876" w:type="dxa"/>
            <w:hideMark/>
          </w:tcPr>
          <w:p w:rsidR="00615424" w:rsidRPr="0046639E" w:rsidRDefault="006F21B3" w:rsidP="006F4E71">
            <w:pPr>
              <w:pStyle w:val="Normal6"/>
              <w:rPr>
                <w:szCs w:val="24"/>
              </w:rPr>
            </w:pPr>
            <w:r>
              <w:t>(3)</w:t>
            </w:r>
            <w:r>
              <w:tab/>
              <w:t xml:space="preserve">Výsledkem přezkumu Komise bylo zjištění, že by bylo vhodné a přiměřené cílům sledovaným pravidly pro interní MREL umožnit orgánům příslušným k řešení krize stanovit interní MREL na konsolidovaném základě pro širší rozsah subjektů, než je rozsah vyplývající z uplatňování směrnice 2014/59/EU a nařízení (EU) č. 806/2014, pokud tento širší rozsah zahrnuje instituce a subjekty, které samy nejsou subjekty řešícími krizi, ale jsou dceřinými podniky subjektů řešících krizi a samy ovládají </w:t>
            </w:r>
            <w:r>
              <w:rPr>
                <w:b/>
                <w:i/>
              </w:rPr>
              <w:t xml:space="preserve">další </w:t>
            </w:r>
            <w:r>
              <w:t>dceřiné podniky podléhající MREL („zprostředkující subjekty“)</w:t>
            </w:r>
            <w:r>
              <w:rPr>
                <w:b/>
                <w:i/>
              </w:rPr>
              <w:t xml:space="preserve"> v téže skupině řešící krizi</w:t>
            </w:r>
            <w:r>
              <w:t xml:space="preserve">. To by se týkalo zejména těch bankovních skupin, v jejichž čele stojí holdingová společnost. V takových případech zprostředkující subjekty přirozeně centralizují vnitroskupinové expozice a směřují zdroje způsobilé pro interní MREL, které subjekt řešící krizi předem připravil. Vzhledem k této struktuře by tyto zprostředkující subjekty </w:t>
            </w:r>
            <w:r>
              <w:rPr>
                <w:b/>
                <w:i/>
              </w:rPr>
              <w:t>mohly být</w:t>
            </w:r>
            <w:r>
              <w:t xml:space="preserve"> neúměrně postiženy pravidly pro odpočet. Komise rovněž dospěla k závěru, že rámec MREL by </w:t>
            </w:r>
            <w:r>
              <w:rPr>
                <w:b/>
                <w:i/>
              </w:rPr>
              <w:t>byl přiměřenější</w:t>
            </w:r>
            <w:r>
              <w:t xml:space="preserve">, kdyby se </w:t>
            </w:r>
            <w:r>
              <w:rPr>
                <w:b/>
                <w:i/>
              </w:rPr>
              <w:t>upravila pravidla pro rozsah</w:t>
            </w:r>
            <w:r>
              <w:t xml:space="preserve"> expozic, které musí zprostředkující subjekt odečíst</w:t>
            </w:r>
            <w:r>
              <w:rPr>
                <w:b/>
                <w:i/>
              </w:rPr>
              <w:t>, pokud je vydávajícím subjektem subjekt v likvidaci, který nepodléhá rozhodnutí o</w:t>
            </w:r>
            <w:r>
              <w:t xml:space="preserve"> MREL</w:t>
            </w:r>
            <w:r>
              <w:rPr>
                <w:b/>
                <w:i/>
              </w:rPr>
              <w:t>. V těchto případech se neočekává, že pravomoci k odpisu a konverzi budou</w:t>
            </w:r>
            <w:r>
              <w:t xml:space="preserve"> muset být </w:t>
            </w:r>
            <w:r>
              <w:rPr>
                <w:b/>
                <w:i/>
              </w:rPr>
              <w:t>vykonávány vůči těmto subjektům v likvidaci</w:t>
            </w:r>
            <w:r>
              <w:t>, čímž odpadne potřeba zabezpečit mechanismy převodu ztrát a kapitálu v rámci skupin řešících krizi, což bylo účelem pravidel pro odpočet zavedených nařízením (EU) 2022/2036. Naproti tomu zbývající subjekty skupiny řešící krizi budou muset být v případě potíží nebo selhání podporovány subjektem řešícím krizi. Potřebné zdroje MREL by proto měly být k dispozici na všech úrovních skupiny řešící krizi a jejich dostupnost pro absorpci ztrát a rekapitalizaci by měla být zajištěna prostřednictvím mechanismu odpočtu. Přezkum Komise tedy dospěl k závěru, že zprostředkující subjekty by měly nadále odečítat plnou výši svých kapitálových investic do zdrojů způsobilých pro interní MREL vydaných ve stejné skupině řešící krizi jinými subjekty, které nejsou v likvidaci.</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3</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(5)</w:t>
            </w:r>
            <w:r>
              <w:tab/>
              <w:t xml:space="preserve">Aby se zajistilo, že možnost splnit MREL na konsolidovaném základě bude k dispozici pouze v relevantních případech zjištěných v rámci přezkumu Komise a nepovede k nedostatku zdrojů způsobilých pro interní MREL ve skupině řešící krizi, měla by být pravomoc stanovit interní MREL na konsolidovaném základě pro zprostředkující subjekty diskreční pravomocí orgánu příslušného k řešení krize a měla by podléhat určitým podmínkám. Zprostředkující subjekt by měl být jediným přímým dceřiným podnikem, tj. institucí nebo subjektem, subjektu řešícího krizi, který je </w:t>
            </w:r>
            <w:r>
              <w:rPr>
                <w:b/>
                <w:i/>
              </w:rPr>
              <w:t xml:space="preserve">mateřskou </w:t>
            </w:r>
            <w:r>
              <w:t xml:space="preserve">finanční holdingovou společností v Unii nebo mateřskou smíšenou finanční holdingovou společností v Unii, je usazen v témže členském státě a je součástí téže skupiny řešící krizi. Případně by měl příslušný zprostředkující subjekt splnit dodatečný kapitálový požadavek nebo požadavek kombinovaných kapitálových rezerv na základě své konsolidované situace. V obou případech by však splnění interního MREL na konsolidovaném základě nemělo podle posouzení orgánu příslušného k řešení krize </w:t>
            </w:r>
            <w:r>
              <w:rPr>
                <w:b/>
                <w:i/>
              </w:rPr>
              <w:t xml:space="preserve">významným způsobem </w:t>
            </w:r>
            <w:r>
              <w:t>negativně ovlivnit způsobilost dotčené skupiny řešící krizi k řešení krize ani uplatnění pravomoci orgánu příslušného k řešení krize odepsat nebo konvertovat příslušné kapitálové nástroje a způsobilé závazky dotčeného zprostředkujícího subjektu nebo jiných subjektů v jeho skupině řešící krizi.</w:t>
            </w:r>
          </w:p>
        </w:tc>
        <w:tc>
          <w:tcPr>
            <w:tcW w:w="4876" w:type="dxa"/>
            <w:hideMark/>
          </w:tcPr>
          <w:p w:rsidR="00615424" w:rsidRPr="0046639E" w:rsidRDefault="006F21B3" w:rsidP="006F4E71">
            <w:pPr>
              <w:pStyle w:val="Normal6"/>
              <w:rPr>
                <w:szCs w:val="24"/>
              </w:rPr>
            </w:pPr>
            <w:r>
              <w:t>(5)</w:t>
            </w:r>
            <w:r>
              <w:tab/>
              <w:t xml:space="preserve">Aby se zajistilo, že možnost splnit MREL na konsolidovaném základě bude k dispozici pouze v relevantních případech zjištěných v rámci přezkumu Komise a nepovede k nedostatku zdrojů způsobilých pro interní MREL ve skupině řešící krizi, měla by být pravomoc stanovit interní MREL na konsolidovaném základě pro zprostředkující subjekty diskreční pravomocí orgánu příslušného k řešení krize a měla by podléhat určitým podmínkám. Zprostředkující subjekt by měl být jediným přímým dceřiným podnikem, tj. institucí nebo subjektem, subjektu řešícího krizi, který je finanční holdingovou společností v Unii nebo mateřskou smíšenou finanční holdingovou společností v Unii, je usazen v témže členském státě a je součástí téže skupiny řešící krizi. Případně by měl příslušný zprostředkující subjekt splnit dodatečný kapitálový požadavek nebo požadavek kombinovaných kapitálových rezerv na základě své konsolidované situace. V obou případech by však splnění interního MREL na konsolidovaném základě nemělo podle posouzení orgánu příslušného k řešení krize negativně ovlivnit způsobilost dotčené skupiny řešící krizi k řešení krize ani uplatnění pravomoci orgánu příslušného k řešení krize odepsat nebo konvertovat příslušné kapitálové nástroje a způsobilé závazky dotčeného zprostředkujícího subjektu nebo jiných subjektů v jeho skupině řešící krizi. </w:t>
            </w:r>
            <w:r>
              <w:rPr>
                <w:b/>
                <w:i/>
              </w:rPr>
              <w:t>Jednou ze situací, kdy by stanovení interního MREL na konsolidovaném základě oslabilo způsobilost skupiny řešící krizi k řešení krize, je situace, kdy výše tohoto MREL nezajišťuje soulad s individuálními kapitálovými požadavky použitelnými po výkonu pravomocí k odpisu a konverzi.</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4</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(6)</w:t>
            </w:r>
            <w:r>
              <w:tab/>
              <w:t xml:space="preserve">Podle čl. 45f odst. 2 směrnice 2014/59/EU a čl. 12g odst. 2 nařízení (EU) č. 806/2014 mohou zprostředkující subjekty splnit konsolidovaný interní MREL prostřednictvím kapitálu a způsobilých závazků. Aby bylo možné plně využít možnosti splnit MREL na konsolidovaném základě, je nutné zajistit, aby způsobilé závazky zprostředkujících subjektů byly vypočteny způsobem, který je podobný výpočtu kapitálu. Kritéria způsobilosti pro způsobilé závazky, které mohou být použity za účelem splnění interního MREL na konsolidovaném základě, by proto měla být sladěna s pravidly pro výpočet konsolidovaného kapitálu stanovenými v nařízení (EU) č. 575/2013. Aby byl zajištěn soulad se stávajícími pravidly pro externí MREL, mělo by toto sladění rovněž odrážet stávající pravidla stanovená v čl. 45b odst. 3 směrnice 2014/59/EU a čl. 12d odst. 3 nařízení (EU) č. 806/2014 pro výpočet způsobilých závazků, které mohou pro splnění svého konsolidovaného MREL použít subjekty řešící krizi. Zejména je třeba zajistit, aby se způsobilé závazky vydané dceřinými podniky subjektu, na který se vztahuje konsolidovaný interní MREL, a držené </w:t>
            </w:r>
            <w:r>
              <w:rPr>
                <w:b/>
                <w:i/>
              </w:rPr>
              <w:t>jinými subjekty</w:t>
            </w:r>
            <w:r>
              <w:t xml:space="preserve"> téže skupiny řešící krizi, ale mimo rozsah konsolidace, </w:t>
            </w:r>
            <w:r>
              <w:rPr>
                <w:b/>
                <w:bCs/>
                <w:i/>
                <w:iCs/>
              </w:rPr>
              <w:t>včetně subjektu řešícího krizi,</w:t>
            </w:r>
            <w:r>
              <w:t xml:space="preserve"> nebo stávajícími akcionáři, kteří nepatří do téže skupiny řešící krizi, započítávaly do kapitálu a způsobilých závazků subjektu, na který se vztahuje konsolidovaný interní MREL.</w:t>
            </w:r>
          </w:p>
        </w:tc>
        <w:tc>
          <w:tcPr>
            <w:tcW w:w="4876" w:type="dxa"/>
            <w:hideMark/>
          </w:tcPr>
          <w:p w:rsidR="00615424" w:rsidRPr="0046639E" w:rsidRDefault="006F21B3" w:rsidP="006F4E71">
            <w:pPr>
              <w:pStyle w:val="Normal6"/>
              <w:rPr>
                <w:szCs w:val="24"/>
              </w:rPr>
            </w:pPr>
            <w:r>
              <w:t>(6)</w:t>
            </w:r>
            <w:r>
              <w:tab/>
              <w:t xml:space="preserve">Podle čl. 45f odst. 2 směrnice 2014/59/EU a čl. 12g odst. 2 nařízení (EU) č. 806/2014 mohou zprostředkující subjekty splnit konsolidovaný interní MREL prostřednictvím kapitálu a způsobilých závazků. Aby bylo možné plně využít možnosti splnit MREL na konsolidovaném základě, je nutné zajistit, aby způsobilé závazky zprostředkujících subjektů byly vypočteny způsobem, který je podobný výpočtu kapitálu. Kritéria způsobilosti pro způsobilé závazky, které mohou být použity za účelem splnění interního MREL na konsolidovaném základě, by proto měla být sladěna s pravidly pro výpočet konsolidovaného kapitálu stanovenými v nařízení (EU) č. 575/2013. Aby byl zajištěn soulad se stávajícími pravidly pro externí MREL, mělo by toto sladění rovněž odrážet stávající pravidla stanovená v čl. 45b odst. 3 směrnice 2014/59/EU a čl. 12d odst. 3 nařízení (EU) č. 806/2014 pro výpočet způsobilých závazků, které mohou pro splnění svého konsolidovaného MREL použít subjekty řešící krizi. Zejména je třeba zajistit, aby se způsobilé závazky vydané dceřinými podniky subjektu, na který se vztahuje konsolidovaný interní MREL, a držené </w:t>
            </w:r>
            <w:r>
              <w:rPr>
                <w:b/>
                <w:i/>
              </w:rPr>
              <w:t>subjektem řešícím krizi, buď přímo, anebo nepřímo prostřednictvím jiných subjektů</w:t>
            </w:r>
            <w:r>
              <w:t xml:space="preserve"> téže skupiny řešící krizi, ale mimo rozsah konsolidace, nebo stávajícími akcionáři, kteří nepatří do téže skupiny řešící krizi, započítávaly do kapitálu a způsobilých závazků subjektu, na který se vztahuje konsolidovaný interní MREL.</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5</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7</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(7)</w:t>
            </w:r>
            <w:r>
              <w:tab/>
            </w:r>
            <w:r>
              <w:rPr>
                <w:b/>
                <w:i/>
              </w:rPr>
              <w:t>U subjektů v likvidaci</w:t>
            </w:r>
            <w:r>
              <w:t xml:space="preserve"> je MREL </w:t>
            </w:r>
            <w:r>
              <w:rPr>
                <w:b/>
                <w:i/>
              </w:rPr>
              <w:t>obvykle omezen</w:t>
            </w:r>
            <w:r>
              <w:t xml:space="preserve"> </w:t>
            </w:r>
            <w:r>
              <w:rPr>
                <w:b/>
                <w:bCs/>
                <w:i/>
                <w:iCs/>
              </w:rPr>
              <w:t>na částku nezbytnou</w:t>
            </w:r>
            <w:r>
              <w:t xml:space="preserve"> pro absorpci ztrát, která odpovídá kapitálovým požadavkům. V takových případech MREL neznamená pro subjekt v likvidaci žádný další požadavek přímo související s rámcem pro řešení krize. To znamená, že subjekt v likvidaci může plně splnit MREL tím, že splní kapitálové požadavky, a že zvláštní rozhodnutí orgánu příslušného k řešení krize, kterým se stanoví MREL, významným způsobem nepřispívá ke způsobilosti subjektů v likvidaci k řešení krize. Toto rozhodnutí s sebou nese mnoho procesních povinností pro orgány příslušné k řešení krize a pro subjekty v likvidaci, aniž by mělo odpovídající přínos ve zlepšení způsobilosti k řešení krize. Z tohoto důvodu by orgány příslušné k řešení krize neměly stanovovat MREL pro subjekty v likvidaci.</w:t>
            </w:r>
          </w:p>
        </w:tc>
        <w:tc>
          <w:tcPr>
            <w:tcW w:w="4876" w:type="dxa"/>
            <w:hideMark/>
          </w:tcPr>
          <w:p w:rsidR="00615424" w:rsidRPr="0046639E" w:rsidRDefault="006F21B3" w:rsidP="006F4E71">
            <w:pPr>
              <w:pStyle w:val="Normal6"/>
              <w:rPr>
                <w:szCs w:val="24"/>
              </w:rPr>
            </w:pPr>
            <w:r>
              <w:t>(7)</w:t>
            </w:r>
            <w:r>
              <w:tab/>
            </w:r>
            <w:r>
              <w:rPr>
                <w:b/>
                <w:i/>
              </w:rPr>
              <w:t>Podle stávajícího rámce MREL</w:t>
            </w:r>
            <w:r>
              <w:t xml:space="preserve"> je MREL </w:t>
            </w:r>
            <w:r>
              <w:rPr>
                <w:b/>
                <w:i/>
              </w:rPr>
              <w:t>pro subjekty určené k likvidaci ve většině případů stanoven</w:t>
            </w:r>
            <w:r>
              <w:t xml:space="preserve"> </w:t>
            </w:r>
            <w:r>
              <w:rPr>
                <w:b/>
                <w:bCs/>
                <w:i/>
                <w:iCs/>
              </w:rPr>
              <w:t>ve výši nezbytné</w:t>
            </w:r>
            <w:r>
              <w:t xml:space="preserve"> pro absorpci ztrát, která odpovídá kapitálovým požadavkům. V takových případech MREL neznamená pro subjekt v likvidaci žádný další požadavek přímo související s rámcem pro řešení krize. To znamená, že subjekt v likvidaci může plně splnit MREL tím, že splní kapitálové požadavky, a že zvláštní rozhodnutí orgánu příslušného k řešení krize, kterým se stanoví MREL, významným způsobem nepřispívá ke způsobilosti subjektů v likvidaci k řešení krize. Toto rozhodnutí s sebou nese mnoho procesních povinností pro orgány příslušné k řešení krize a pro subjekty v likvidaci, aniž by mělo odpovídající přínos ve zlepšení způsobilosti k řešení krize. Z tohoto důvodu by orgány příslušné k řešení krize neměly stanovovat MREL pro subjekty v likvidaci.</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6</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(8)</w:t>
            </w:r>
            <w:r>
              <w:tab/>
            </w:r>
            <w:r>
              <w:rPr>
                <w:b/>
                <w:i/>
              </w:rPr>
              <w:t>Pokud se orgán příslušný k</w:t>
            </w:r>
            <w:r>
              <w:t xml:space="preserve"> řešení krize </w:t>
            </w:r>
            <w:r>
              <w:rPr>
                <w:b/>
                <w:i/>
              </w:rPr>
              <w:t>domnívá, že subjekt, který je součástí skupiny řešící</w:t>
            </w:r>
            <w:r>
              <w:t xml:space="preserve"> krizi</w:t>
            </w:r>
            <w:r>
              <w:rPr>
                <w:b/>
                <w:i/>
              </w:rPr>
              <w:t>, může být uznán za</w:t>
            </w:r>
            <w:r>
              <w:t xml:space="preserve"> subjekt v likvidaci, </w:t>
            </w:r>
            <w:r>
              <w:rPr>
                <w:b/>
                <w:i/>
              </w:rPr>
              <w:t>nemělo</w:t>
            </w:r>
            <w:r>
              <w:t xml:space="preserve"> by se od zprostředkujících subjektů vyžadovat, aby od své kapacity pro interní MREL odečetly své kapitálové investice </w:t>
            </w:r>
            <w:r>
              <w:rPr>
                <w:b/>
                <w:i/>
              </w:rPr>
              <w:t>do kapitálu nebo jiných závazků</w:t>
            </w:r>
            <w:r>
              <w:t>, které by vyhověly podmínkám pro splnění interního MREL</w:t>
            </w:r>
            <w:r>
              <w:rPr>
                <w:b/>
                <w:i/>
              </w:rPr>
              <w:t xml:space="preserve"> a které jsou vydány subjekty v likvidaci. </w:t>
            </w:r>
            <w:r>
              <w:t xml:space="preserve">V takovém případě </w:t>
            </w:r>
            <w:r>
              <w:rPr>
                <w:b/>
                <w:i/>
              </w:rPr>
              <w:t>již</w:t>
            </w:r>
            <w:r>
              <w:t xml:space="preserve"> subjekt </w:t>
            </w:r>
            <w:r>
              <w:rPr>
                <w:b/>
                <w:i/>
              </w:rPr>
              <w:t>v likvidaci nemusí splnit MREL, a proto nedochází k nepřímému upisování zdrojů způsobilých pro interní MREL prostřednictvím řetězce tvořeného subjektem řešícím krizi, zprostředkujícím subjektem a subjektem v likvidaci.</w:t>
            </w:r>
            <w:r>
              <w:t xml:space="preserve"> Strategie řešení krize nepředpokládá, že by byl v případě selhání subjekt v likvidaci </w:t>
            </w:r>
            <w:r>
              <w:rPr>
                <w:b/>
                <w:i/>
              </w:rPr>
              <w:t>podporován</w:t>
            </w:r>
            <w:r>
              <w:t xml:space="preserve"> subjektem řešícím krizi. To znamená, že by se neočekával přenos ztrát po vlastnické ose směrem vzhůru ze subjektu v likvidaci na subjekt řešící krizi prostřednictvím zprostředkujícího subjektu, ani přenos kapitálu v opačném směru. Tato úprava rozsahu kapitálových investic, které mají být odečteny v souvislosti s nepřímým upisováním zdrojů způsobilých pro interní MREL, by tedy neměla vliv na obezřetnostní spolehlivost rámce.</w:t>
            </w:r>
          </w:p>
        </w:tc>
        <w:tc>
          <w:tcPr>
            <w:tcW w:w="4876" w:type="dxa"/>
            <w:hideMark/>
          </w:tcPr>
          <w:p w:rsidR="00615424" w:rsidRPr="0046639E" w:rsidRDefault="006F21B3" w:rsidP="006F4E71">
            <w:pPr>
              <w:pStyle w:val="Normal6"/>
              <w:rPr>
                <w:szCs w:val="24"/>
              </w:rPr>
            </w:pPr>
            <w:r>
              <w:t>(8)</w:t>
            </w:r>
            <w:r>
              <w:tab/>
            </w:r>
            <w:r>
              <w:rPr>
                <w:b/>
                <w:i/>
              </w:rPr>
              <w:t>Při přípravě plánů</w:t>
            </w:r>
            <w:r>
              <w:t xml:space="preserve"> řešení krize </w:t>
            </w:r>
            <w:r>
              <w:rPr>
                <w:b/>
                <w:i/>
              </w:rPr>
              <w:t>a posuzování způsobilosti skupin řešících</w:t>
            </w:r>
            <w:r>
              <w:t xml:space="preserve"> krizi</w:t>
            </w:r>
            <w:r>
              <w:rPr>
                <w:b/>
                <w:i/>
              </w:rPr>
              <w:t xml:space="preserve"> k řešení krize mohou mít orgány příslušné k řešení krize za to</w:t>
            </w:r>
            <w:r>
              <w:t xml:space="preserve">, </w:t>
            </w:r>
            <w:r>
              <w:rPr>
                <w:b/>
                <w:i/>
              </w:rPr>
              <w:t>že subjekt skupiny lze považovat za</w:t>
            </w:r>
            <w:r>
              <w:t xml:space="preserve"> subjekt v likvidaci, </w:t>
            </w:r>
            <w:r>
              <w:rPr>
                <w:b/>
                <w:i/>
              </w:rPr>
              <w:t>neboť ve vztahu k tomuto subjektu se nepředpokládá výkon pravomocí k odpisu a konverzi. V takovém případě nemusí subjekt skupiny držet kapitál a způsobilé závazky nad rámec svých kapitálových požadavků. Za těchto okolností</w:t>
            </w:r>
            <w:r>
              <w:t xml:space="preserve"> by se od zprostředkujících subjektů mělo vyžadovat, aby od své kapacity pro interní MREL odečetly své kapitálové investice, </w:t>
            </w:r>
            <w:r>
              <w:rPr>
                <w:b/>
                <w:i/>
              </w:rPr>
              <w:t>které vydaly subjekty v likvidaci, na něž se nevztahuje rozhodnutí o MREL. Neměly by však mít povinnost odečítat závazky</w:t>
            </w:r>
            <w:r>
              <w:t xml:space="preserve">, které by vyhověly podmínkám pro splnění interního MREL. Strategie řešení krize nepředpokládá, že by byl v případě selhání subjekt v likvidaci </w:t>
            </w:r>
            <w:r>
              <w:rPr>
                <w:b/>
                <w:i/>
              </w:rPr>
              <w:t xml:space="preserve">rekapitalizován </w:t>
            </w:r>
            <w:r>
              <w:t xml:space="preserve">subjektem řešícím krizi. To znamená, že by se neočekával přenos ztrát </w:t>
            </w:r>
            <w:r>
              <w:rPr>
                <w:b/>
                <w:i/>
              </w:rPr>
              <w:t xml:space="preserve">nad rámec stávajících kapitálových požadavků </w:t>
            </w:r>
            <w:r>
              <w:t>po vlastnické ose směrem vzhůru ze subjektu v likvidaci na subjekt řešící krizi prostřednictvím zprostředkujícího subjektu, ani přenos kapitálu v opačném směru. Tato úprava rozsahu kapitálových investic, které mají být odečteny v souvislosti s nepřímým upisováním zdrojů způsobilých pro interní MREL, by tedy neměla vliv na obezřetnostní spolehlivost rámce.</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7</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(9)</w:t>
            </w:r>
            <w:r>
              <w:tab/>
              <w:t xml:space="preserve">Hlavním cílem režimu svolení ke snížení nástrojů způsobilých závazků stanoveného v čl. 77 odst. 2 a článku 78a nařízení (EU) č. 575/2013, který platí i pro instituce a subjekty, na něž se vztahuje MREL, a pro závazky vydané za účelem splnění MREL, je umožnit orgánům příslušným k řešení krize sledovat opatření, která vedou ke snížení stavu způsobilých závazků, a zakázat jakékoli opatření, které by znamenalo snížení nad úroveň, kterou orgány příslušné k řešení krize považují za přiměřenou. Pokud orgán příslušný k řešení krize nepřijal ve vztahu k instituci nebo subjektu rozhodnutí o stanovení MREL, není tento cíl relevantní. </w:t>
            </w:r>
            <w:r>
              <w:rPr>
                <w:b/>
                <w:i/>
              </w:rPr>
              <w:t>Instituce nebo subjekty, na které se nevztahuje rozhodnutí o stanovení MREL, navíc nemají v rozvaze způsobilé závazky.</w:t>
            </w:r>
            <w:r>
              <w:t xml:space="preserve"> Instituce nebo subjekty, pro které nebyla přijata žádná rozhodnutí o stanovení MREL, by proto neměly být povinny získat předchozí svolení orgánu příslušného k řešení krize k vypovězení, umoření, splacení nebo zpětnému odkoupení závazků, které by splňovaly požadavky na způsobilost pro MREL.</w:t>
            </w:r>
          </w:p>
        </w:tc>
        <w:tc>
          <w:tcPr>
            <w:tcW w:w="4876" w:type="dxa"/>
            <w:hideMark/>
          </w:tcPr>
          <w:p w:rsidR="00615424" w:rsidRPr="0046639E" w:rsidRDefault="006F21B3" w:rsidP="006F4E71">
            <w:pPr>
              <w:pStyle w:val="Normal6"/>
              <w:rPr>
                <w:szCs w:val="24"/>
              </w:rPr>
            </w:pPr>
            <w:r>
              <w:t>(9)</w:t>
            </w:r>
            <w:r>
              <w:tab/>
              <w:t>Hlavním cílem režimu svolení ke snížení nástrojů způsobilých závazků stanoveného v čl. 77 odst. 2 a článku 78a nařízení (EU) č. 575/2013, který platí i pro instituce a subjekty, na něž se vztahuje MREL, a pro závazky vydané za účelem splnění MREL, je umožnit orgánům příslušným k řešení krize sledovat opatření, která vedou ke snížení stavu způsobilých závazků, a zakázat jakékoli opatření, které by znamenalo snížení nad úroveň, kterou orgány příslušné k řešení krize považují za přiměřenou. Pokud orgán příslušný k řešení krize nepřijal ve vztahu k instituci nebo subjektu rozhodnutí o stanovení MREL, není tento cíl relevantní. Instituce nebo subjekty, pro které nebyla přijata žádná rozhodnutí o stanovení MREL, by proto neměly být povinny získat předchozí svolení orgánu příslušného k řešení krize k vypovězení, umoření, splacení nebo zpětnému odkoupení závazků, které by splňovaly požadavky na způsobilost pro MREL.</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8</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10</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(10)</w:t>
            </w:r>
            <w:r>
              <w:tab/>
              <w:t xml:space="preserve">Existují však subjekty v likvidaci, u nichž MREL </w:t>
            </w:r>
            <w:r>
              <w:rPr>
                <w:b/>
                <w:i/>
              </w:rPr>
              <w:t>převyšuje výši kapitálových požadavků, a v takovém případě by</w:t>
            </w:r>
            <w:r>
              <w:t xml:space="preserve"> orgány příslušné k řešení krize </w:t>
            </w:r>
            <w:r>
              <w:rPr>
                <w:b/>
                <w:i/>
              </w:rPr>
              <w:t>měly mít možnost stanovit MREL. Tento MREL by měl být stanoven ve výši přesahující částku k absorpci ztrát, pokud se</w:t>
            </w:r>
            <w:r>
              <w:t xml:space="preserve"> orgány příslušné k řešení krize </w:t>
            </w:r>
            <w:r>
              <w:rPr>
                <w:b/>
                <w:i/>
              </w:rPr>
              <w:t>domnívají</w:t>
            </w:r>
            <w:r>
              <w:t xml:space="preserve">, </w:t>
            </w:r>
            <w:r>
              <w:rPr>
                <w:b/>
                <w:i/>
              </w:rPr>
              <w:t>že je tato výše nezbytná</w:t>
            </w:r>
            <w:r>
              <w:t xml:space="preserve"> k </w:t>
            </w:r>
            <w:r>
              <w:rPr>
                <w:b/>
                <w:i/>
              </w:rPr>
              <w:t>ochraně finanční stability nebo</w:t>
            </w:r>
            <w:r>
              <w:t xml:space="preserve"> k řešení </w:t>
            </w:r>
            <w:r>
              <w:rPr>
                <w:b/>
                <w:i/>
              </w:rPr>
              <w:t>rizika nákazy finančního systému.</w:t>
            </w:r>
            <w:r>
              <w:t xml:space="preserve"> </w:t>
            </w:r>
            <w:r>
              <w:rPr>
                <w:b/>
                <w:i/>
              </w:rPr>
              <w:t>V těchto situacích by měl</w:t>
            </w:r>
            <w:r>
              <w:t xml:space="preserve"> subjekt v likvidaci splňovat MREL a neměl by být vyňat z režimu předchozího svolení stanoveného v čl. 77 odst. 2 a článku 78a nařízení (EU) č. 575/2013. Od všech zprostředkujících subjektů, které patří do téže skupiny řešící krizi jako dotčený subjekt v likvidaci, by se mělo nadále vyžadovat, aby od své kapacity pro interní MREL odečetly své kapitálové investice do zdrojů způsobilých pro interní MREL vydaných tímto subjektem v likvidaci. Vzhledem k tomu, že likvidační řízení probíhá na úrovni právnické osoby, měly by navíc subjekty v likvidaci, které stále podléhají MREL, splňovat tento požadavek pouze na individuálním základě. V neposlední řadě nejsou některé požadavky na způsobilost týkající se vlastnictví dotčeného závazku relevantní, protože </w:t>
            </w:r>
            <w:r>
              <w:rPr>
                <w:b/>
                <w:i/>
              </w:rPr>
              <w:t>není třeba zajistit převod ztrát</w:t>
            </w:r>
            <w:r>
              <w:t xml:space="preserve"> a </w:t>
            </w:r>
            <w:r>
              <w:rPr>
                <w:b/>
                <w:i/>
              </w:rPr>
              <w:t>kapitálu ze subjektu v likvidaci na subjekt řešící</w:t>
            </w:r>
            <w:r>
              <w:t xml:space="preserve"> krizi, a proto by se neměly uplatňovat.</w:t>
            </w:r>
          </w:p>
        </w:tc>
        <w:tc>
          <w:tcPr>
            <w:tcW w:w="4876" w:type="dxa"/>
            <w:hideMark/>
          </w:tcPr>
          <w:p w:rsidR="00615424" w:rsidRPr="0046639E" w:rsidRDefault="006F21B3" w:rsidP="006F4E71">
            <w:pPr>
              <w:pStyle w:val="Normal6"/>
              <w:rPr>
                <w:szCs w:val="24"/>
              </w:rPr>
            </w:pPr>
            <w:r>
              <w:t>(10)</w:t>
            </w:r>
            <w:r>
              <w:tab/>
              <w:t xml:space="preserve">Existují však subjekty v likvidaci, u nichž </w:t>
            </w:r>
            <w:r>
              <w:rPr>
                <w:b/>
                <w:i/>
              </w:rPr>
              <w:t xml:space="preserve">by </w:t>
            </w:r>
            <w:r>
              <w:t xml:space="preserve">MREL </w:t>
            </w:r>
            <w:r>
              <w:rPr>
                <w:b/>
                <w:i/>
              </w:rPr>
              <w:t>měl převýšit částku k absorpci ztrát. Tak je tomu tehdy, pokud se</w:t>
            </w:r>
            <w:r>
              <w:t xml:space="preserve"> orgány příslušné k řešení krize </w:t>
            </w:r>
            <w:r>
              <w:rPr>
                <w:b/>
                <w:i/>
              </w:rPr>
              <w:t>domnívají, že je tato zvýšená částka nezbytná k ochraně finanční stability nebo k řešení rizika nákazy finančního systému.</w:t>
            </w:r>
            <w:r>
              <w:t xml:space="preserve"> </w:t>
            </w:r>
            <w:r>
              <w:rPr>
                <w:b/>
                <w:i/>
              </w:rPr>
              <w:t>V těchto situacích by</w:t>
            </w:r>
            <w:r>
              <w:t xml:space="preserve"> orgány příslušné k řešení krize </w:t>
            </w:r>
            <w:r>
              <w:rPr>
                <w:b/>
                <w:i/>
              </w:rPr>
              <w:t>měly stanovit MREL pro subjekt v likvidaci</w:t>
            </w:r>
            <w:r>
              <w:t xml:space="preserve">, </w:t>
            </w:r>
            <w:r>
              <w:rPr>
                <w:b/>
                <w:i/>
              </w:rPr>
              <w:t>který se skládá z částky dostatečné</w:t>
            </w:r>
            <w:r>
              <w:t xml:space="preserve"> k </w:t>
            </w:r>
            <w:r>
              <w:rPr>
                <w:b/>
                <w:i/>
              </w:rPr>
              <w:t>absorpci ztrát, zvýšené o částku nezbytnou</w:t>
            </w:r>
            <w:r>
              <w:t xml:space="preserve"> k </w:t>
            </w:r>
            <w:r>
              <w:rPr>
                <w:b/>
                <w:i/>
              </w:rPr>
              <w:t xml:space="preserve">řádnému </w:t>
            </w:r>
            <w:r>
              <w:t xml:space="preserve">řešení </w:t>
            </w:r>
            <w:r>
              <w:rPr>
                <w:b/>
                <w:i/>
              </w:rPr>
              <w:t>potenciálních rizik zjištěných orgány příslušnými k řešení krize.</w:t>
            </w:r>
            <w:r>
              <w:t xml:space="preserve"> Subjekt v likvidaci</w:t>
            </w:r>
            <w:r>
              <w:rPr>
                <w:b/>
                <w:i/>
              </w:rPr>
              <w:t xml:space="preserve"> by měl</w:t>
            </w:r>
            <w:r>
              <w:t xml:space="preserve"> splňovat MREL a neměl by být vyňat z režimu předchozího svolení stanoveného v čl. 77 odst. 2 a článku 78a nařízení (EU) č. 575/2013. Od všech zprostředkujících subjektů, které patří do téže skupiny řešící krizi jako dotčený subjekt v likvidaci, by se mělo nadále vyžadovat, aby od své kapacity pro interní MREL odečetly své kapitálové investice do zdrojů způsobilých pro interní MREL vydaných tímto subjektem v likvidaci. Vzhledem k tomu, že likvidační řízení probíhá na úrovni právnické osoby, měly by navíc subjekty v likvidaci, které stále podléhají MREL, splňovat tento požadavek pouze na individuálním základě. V neposlední řadě nejsou některé požadavky na způsobilost týkající se vlastnictví dotčeného závazku relevantní, protože </w:t>
            </w:r>
            <w:r>
              <w:rPr>
                <w:b/>
                <w:i/>
              </w:rPr>
              <w:t>bez výkonu pravomocí k odpisu</w:t>
            </w:r>
            <w:r>
              <w:t xml:space="preserve"> a </w:t>
            </w:r>
            <w:r>
              <w:rPr>
                <w:b/>
                <w:i/>
              </w:rPr>
              <w:t>konverzi nebude nutné zachovat kontrolu nad dceřiným podnikem subjektem řešícím</w:t>
            </w:r>
            <w:r>
              <w:t xml:space="preserve"> krizi, a proto by se neměly uplatňovat.</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9</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rPr>
        <w:t>&lt;Article&gt;</w:t>
      </w:r>
      <w:r>
        <w:t>Bod odůvodnění 14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(14)</w:t>
            </w:r>
            <w:r>
              <w:tab/>
              <w:t xml:space="preserve">Jelikož cílů této směrnice, totiž úpravy zacházení se subjekty v likvidaci v rámci MREL a možnosti </w:t>
            </w:r>
            <w:r>
              <w:rPr>
                <w:b/>
                <w:i/>
              </w:rPr>
              <w:t>splnit</w:t>
            </w:r>
            <w:r>
              <w:t xml:space="preserve"> interní MREL na konsolidovaném základě, nemůže být dosaženo uspokojivě na úrovni členských států, ale spíše jich lze prostřednictvím změny pravidel, která jsou již stanovena na úrovni Unie, lépe dosáhnout na úrovni Unie, může Unie přijmout opatření v souladu se zásadou subsidiarity stanovenou v článku 5 Smlouvy o Evropské unii. V souladu se zásadou proporcionality stanovenou v uvedeném článku nepřekračuje tato směrnice rámec toho, co je nezbytné k dosažení těchto cílů,</w:t>
            </w:r>
          </w:p>
        </w:tc>
        <w:tc>
          <w:tcPr>
            <w:tcW w:w="4876" w:type="dxa"/>
            <w:hideMark/>
          </w:tcPr>
          <w:p w:rsidR="00615424" w:rsidRPr="0046639E" w:rsidRDefault="006F21B3" w:rsidP="006F4E71">
            <w:pPr>
              <w:pStyle w:val="Normal6"/>
              <w:rPr>
                <w:szCs w:val="24"/>
              </w:rPr>
            </w:pPr>
            <w:r>
              <w:t>(14)</w:t>
            </w:r>
            <w:r>
              <w:tab/>
              <w:t xml:space="preserve">Jelikož cílů této směrnice, totiž úpravy zacházení se subjekty v likvidaci v rámci MREL a možnosti </w:t>
            </w:r>
            <w:r>
              <w:rPr>
                <w:b/>
                <w:i/>
              </w:rPr>
              <w:t>orgánů řešících krizi určovat</w:t>
            </w:r>
            <w:r>
              <w:t xml:space="preserve"> interní MREL na konsolidovaném základě, nemůže být dosaženo uspokojivě na úrovni členských států, ale spíše jich lze prostřednictvím změny pravidel, která jsou již stanovena na úrovni Unie, lépe dosáhnout na úrovni Unie, může Unie přijmout opatření v souladu se zásadou subsidiarity stanovenou v článku 5 Smlouvy o Evropské unii. V souladu se zásadou proporcionality stanovenou v uvedeném článku nepřekračuje tato směrnice rámec toho, co je nezbytné k dosažení těchto cílů,</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10</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1 – odst. 1 – bod 1</w:t>
      </w:r>
      <w:r>
        <w:rPr>
          <w:rStyle w:val="HideTWBExt"/>
          <w:b w:val="0"/>
          <w:lang w:val="fr-BE"/>
        </w:rPr>
        <w:t>&lt;/Article&gt;</w:t>
      </w:r>
    </w:p>
    <w:p w:rsidR="00615424" w:rsidRPr="0046639E" w:rsidRDefault="006F21B3" w:rsidP="00615424">
      <w:pPr>
        <w:keepNext/>
      </w:pPr>
      <w:r>
        <w:rPr>
          <w:rStyle w:val="HideTWBExt"/>
          <w:lang w:val="fr-BE"/>
        </w:rPr>
        <w:t>&lt;DocAmend2&gt;</w:t>
      </w:r>
      <w:r>
        <w:t>Směrnice 2014/59/EU</w:t>
      </w:r>
      <w:r>
        <w:rPr>
          <w:rStyle w:val="HideTWBExt"/>
          <w:lang w:val="fr-BE"/>
        </w:rPr>
        <w:t>&lt;/DocAmend2&gt;</w:t>
      </w:r>
    </w:p>
    <w:p w:rsidR="00615424" w:rsidRPr="0046639E" w:rsidRDefault="006F21B3" w:rsidP="00615424">
      <w:r>
        <w:rPr>
          <w:rStyle w:val="HideTWBExt"/>
          <w:lang w:val="fr-BE"/>
        </w:rPr>
        <w:t>&lt;Article2&gt;</w:t>
      </w:r>
      <w:r>
        <w:t>Čl. 2 – odst. 1 – bod 83aa</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83aa)</w:t>
            </w:r>
            <w:r>
              <w:tab/>
              <w:t xml:space="preserve">„subjektem v likvidaci“ právnická osoba usazená v Unii, u níž skupinový plán řešení krize nebo v případě subjektů, které nejsou součástí skupiny, plán řešení krize stanoví, že má být </w:t>
            </w:r>
            <w:r>
              <w:rPr>
                <w:b/>
                <w:i/>
              </w:rPr>
              <w:t xml:space="preserve">řádně </w:t>
            </w:r>
            <w:r>
              <w:t xml:space="preserve">zlikvidována v </w:t>
            </w:r>
            <w:r>
              <w:rPr>
                <w:b/>
                <w:i/>
              </w:rPr>
              <w:t>souladu s platným vnitrostátním právem</w:t>
            </w:r>
            <w:r>
              <w:t>;“</w:t>
            </w:r>
          </w:p>
        </w:tc>
        <w:tc>
          <w:tcPr>
            <w:tcW w:w="4876" w:type="dxa"/>
            <w:hideMark/>
          </w:tcPr>
          <w:p w:rsidR="00615424" w:rsidRPr="0046639E" w:rsidRDefault="006F21B3" w:rsidP="006F4E71">
            <w:pPr>
              <w:pStyle w:val="Normal6"/>
              <w:rPr>
                <w:szCs w:val="24"/>
              </w:rPr>
            </w:pPr>
            <w:r>
              <w:t>83aa)</w:t>
            </w:r>
            <w:r>
              <w:tab/>
              <w:t xml:space="preserve">„subjektem v likvidaci“ právnická osoba usazená v Unii, u níž skupinový plán řešení krize nebo v případě subjektů, které nejsou součástí skupiny, plán řešení krize stanoví, že má být zlikvidována v </w:t>
            </w:r>
            <w:r>
              <w:rPr>
                <w:b/>
                <w:i/>
              </w:rPr>
              <w:t>běžném úpadkovém řízení, nebo u níž plán nepředpokládá výkon pravomocí k odpisu a konverzi</w:t>
            </w:r>
            <w:r>
              <w:t>;“</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11</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1 – odst. 1 – bod 2 – písm. b</w:t>
      </w:r>
      <w:r>
        <w:rPr>
          <w:rStyle w:val="HideTWBExt"/>
          <w:b w:val="0"/>
          <w:lang w:val="fr-BE"/>
        </w:rPr>
        <w:t>&lt;/Article&gt;</w:t>
      </w:r>
    </w:p>
    <w:p w:rsidR="00615424" w:rsidRPr="0046639E" w:rsidRDefault="006F21B3" w:rsidP="00615424">
      <w:pPr>
        <w:keepNext/>
      </w:pPr>
      <w:r>
        <w:rPr>
          <w:rStyle w:val="HideTWBExt"/>
        </w:rPr>
        <w:t>&lt;DocAmend2&gt;</w:t>
      </w:r>
      <w:r>
        <w:t>Směrnice 2014/59/EU</w:t>
      </w:r>
      <w:r>
        <w:rPr>
          <w:rStyle w:val="HideTWBExt"/>
        </w:rPr>
        <w:t>&lt;/DocAmend2&gt;</w:t>
      </w:r>
    </w:p>
    <w:p w:rsidR="00615424" w:rsidRPr="0046639E" w:rsidRDefault="006F21B3" w:rsidP="00615424">
      <w:r>
        <w:rPr>
          <w:rStyle w:val="HideTWBExt"/>
        </w:rPr>
        <w:t>&lt;Article2&gt;</w:t>
      </w:r>
      <w:r>
        <w:t>Čl. 45c – odst. 2a – pododstavec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 xml:space="preserve">Odchylně od prvního pododstavce a v případě, </w:t>
            </w:r>
            <w:r>
              <w:rPr>
                <w:b/>
                <w:i/>
              </w:rPr>
              <w:t>že je to nezbytné pro dosažení cílů ochrany finanční stability nebo omezení potenciální nákazy finančního systému, mohou orgány příslušné k řešení krize výjimečně</w:t>
            </w:r>
            <w:r>
              <w:t xml:space="preserve"> určit požadavek uvedený v čl. 45 odst. 1 pro subjekty v likvidaci na individuálním základě ve výši </w:t>
            </w:r>
            <w:r>
              <w:rPr>
                <w:b/>
                <w:i/>
              </w:rPr>
              <w:t>dostatečné</w:t>
            </w:r>
            <w:r>
              <w:t xml:space="preserve"> k absorpci ztrát v souladu s odst. 2 písm. a) tohoto článku</w:t>
            </w:r>
            <w:r>
              <w:rPr>
                <w:b/>
                <w:i/>
              </w:rPr>
              <w:t>, zvýšené na částku, která je nezbytná pro dosažení těchto cílů</w:t>
            </w:r>
            <w:r>
              <w:t>. V těchto případech splní subjekty v likvidaci požadavek uvedený v čl. 45 odst. 1 prostřednictvím jedné nebo více z těchto položek:</w:t>
            </w:r>
          </w:p>
        </w:tc>
        <w:tc>
          <w:tcPr>
            <w:tcW w:w="4876" w:type="dxa"/>
            <w:hideMark/>
          </w:tcPr>
          <w:p w:rsidR="00615424" w:rsidRPr="0046639E" w:rsidRDefault="006F21B3" w:rsidP="006F4E71">
            <w:pPr>
              <w:pStyle w:val="Normal6"/>
              <w:rPr>
                <w:szCs w:val="24"/>
              </w:rPr>
            </w:pPr>
            <w:r>
              <w:t xml:space="preserve">Odchylně od prvního pododstavce </w:t>
            </w:r>
            <w:r>
              <w:rPr>
                <w:b/>
                <w:i/>
              </w:rPr>
              <w:t xml:space="preserve">orgán příslušný k řešení krize posoudí, zda existují důvody k tomu, aby byl požadavek uvedený v čl. 45 odst. 1 určen </w:t>
            </w:r>
            <w:r>
              <w:t xml:space="preserve">pro subjekty v likvidaci na individuálním základě ve výši </w:t>
            </w:r>
            <w:r>
              <w:rPr>
                <w:b/>
                <w:i/>
              </w:rPr>
              <w:t>přesahující částku dostatečnou</w:t>
            </w:r>
            <w:r>
              <w:t xml:space="preserve"> k absorpci ztrát v souladu s odst. 2 písm. a) tohoto článku</w:t>
            </w:r>
            <w:r>
              <w:rPr>
                <w:b/>
                <w:i/>
              </w:rPr>
              <w:t>. Ve svém posouzení vezme orgán příslušný k řešení krize v úvahu možné následky selhání příslušného subjektu v likvidaci a zohlední zejména možné dopady na finanční stabilitu a na riziko šíření krize ve finančním systému</w:t>
            </w:r>
            <w:r>
              <w:t>. V těchto případech splní subjekty v likvidaci požadavek uvedený v čl. 45 odst. 1 prostřednictvím jedné nebo více z těchto položek:</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12</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1 – odst. 1 – bod 2 – písm. b</w:t>
      </w:r>
      <w:r>
        <w:rPr>
          <w:rStyle w:val="HideTWBExt"/>
          <w:b w:val="0"/>
          <w:lang w:val="fr-BE"/>
        </w:rPr>
        <w:t>&lt;/Article&gt;</w:t>
      </w:r>
    </w:p>
    <w:p w:rsidR="00615424" w:rsidRPr="0046639E" w:rsidRDefault="006F21B3" w:rsidP="00615424">
      <w:pPr>
        <w:keepNext/>
      </w:pPr>
      <w:r>
        <w:rPr>
          <w:rStyle w:val="HideTWBExt"/>
        </w:rPr>
        <w:t>&lt;DocAmend2&gt;</w:t>
      </w:r>
      <w:r>
        <w:t>Směrnice 2014/59/EU</w:t>
      </w:r>
      <w:r>
        <w:rPr>
          <w:rStyle w:val="HideTWBExt"/>
        </w:rPr>
        <w:t>&lt;/DocAmend2&gt;</w:t>
      </w:r>
    </w:p>
    <w:p w:rsidR="00615424" w:rsidRPr="0046639E" w:rsidRDefault="006F21B3" w:rsidP="00615424">
      <w:r>
        <w:rPr>
          <w:rStyle w:val="HideTWBExt"/>
        </w:rPr>
        <w:t>&lt;Article2&gt;</w:t>
      </w:r>
      <w:r>
        <w:t>Čl. 45c – odst. 2a – pododstavec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rPr>
                <w:b/>
                <w:i/>
              </w:rPr>
              <w:t>Kapitálové investice do kapitálových nástrojů nebo závazků vydaných</w:t>
            </w:r>
            <w:r>
              <w:t xml:space="preserve"> dceřinými podniky, které jsou subjekty v likvidaci, u nichž orgán příslušný k řešení krize neurčil požadavek uvedený v čl. 45 odst. 1, nejsou předmětem odpočtu podle čl. 72e odst. 5 nařízení (EU) č. 575/2013</w:t>
            </w:r>
            <w:r>
              <w:rPr>
                <w:b/>
                <w:i/>
              </w:rPr>
              <w:t>.</w:t>
            </w:r>
            <w:r>
              <w:t>;</w:t>
            </w:r>
          </w:p>
        </w:tc>
        <w:tc>
          <w:tcPr>
            <w:tcW w:w="4876" w:type="dxa"/>
            <w:hideMark/>
          </w:tcPr>
          <w:p w:rsidR="00615424" w:rsidRPr="0046639E" w:rsidRDefault="006F21B3" w:rsidP="006F4E71">
            <w:pPr>
              <w:pStyle w:val="Normal6"/>
              <w:rPr>
                <w:szCs w:val="24"/>
              </w:rPr>
            </w:pPr>
            <w:r>
              <w:rPr>
                <w:b/>
                <w:i/>
              </w:rPr>
              <w:t>Držení závazků, které nelze považovat za kapitálové nástroje vydané</w:t>
            </w:r>
            <w:r>
              <w:t xml:space="preserve"> dceřinými podniky, které jsou subjekty v likvidaci, u nichž orgán příslušný k řešení krize neurčil požadavek uvedený v čl. 45 odst. 1, nejsou předmětem odpočtu podle čl. 72e odst. 5 nařízení (EU) č. 575/2013;</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13</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1 – odst. 1 – bod 3 – písm. a</w:t>
      </w:r>
      <w:r>
        <w:rPr>
          <w:rStyle w:val="HideTWBExt"/>
          <w:b w:val="0"/>
          <w:lang w:val="fr-BE"/>
        </w:rPr>
        <w:t>&lt;/Article&gt;</w:t>
      </w:r>
    </w:p>
    <w:p w:rsidR="00615424" w:rsidRPr="0046639E" w:rsidRDefault="006F21B3" w:rsidP="00615424">
      <w:pPr>
        <w:keepNext/>
      </w:pPr>
      <w:r>
        <w:rPr>
          <w:rStyle w:val="HideTWBExt"/>
          <w:lang w:val="fr-BE"/>
        </w:rPr>
        <w:t>&lt;DocAmend2&gt;</w:t>
      </w:r>
      <w:r>
        <w:t>Směrnice 2014/59/EU</w:t>
      </w:r>
      <w:r>
        <w:rPr>
          <w:rStyle w:val="HideTWBExt"/>
          <w:lang w:val="fr-BE"/>
        </w:rPr>
        <w:t>&lt;/DocAmend2&gt;</w:t>
      </w:r>
    </w:p>
    <w:p w:rsidR="00615424" w:rsidRPr="0046639E" w:rsidRDefault="006F21B3" w:rsidP="00615424">
      <w:r>
        <w:rPr>
          <w:rStyle w:val="HideTWBExt"/>
          <w:lang w:val="fr-BE"/>
        </w:rPr>
        <w:t>&lt;Article2&gt;</w:t>
      </w:r>
      <w:r>
        <w:t>Čl. 45f – odst. 1 – pododstavec 3a – písm. a – bod ii</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ii)</w:t>
            </w:r>
            <w:r>
              <w:tab/>
              <w:t>dceřiný podnik podléhá požadavku uvedenému v článku 104a směrnice 2013/36/EU</w:t>
            </w:r>
            <w:r>
              <w:rPr>
                <w:b/>
                <w:i/>
              </w:rPr>
              <w:t xml:space="preserve"> nebo požadavku kombinovaných kapitálových rezerv</w:t>
            </w:r>
            <w:r>
              <w:t xml:space="preserve"> na konsolidovaném základě;</w:t>
            </w:r>
          </w:p>
        </w:tc>
        <w:tc>
          <w:tcPr>
            <w:tcW w:w="4876" w:type="dxa"/>
            <w:hideMark/>
          </w:tcPr>
          <w:p w:rsidR="00615424" w:rsidRPr="0046639E" w:rsidRDefault="006F21B3" w:rsidP="006F4E71">
            <w:pPr>
              <w:pStyle w:val="Normal6"/>
              <w:rPr>
                <w:szCs w:val="24"/>
              </w:rPr>
            </w:pPr>
            <w:r>
              <w:t>ii)</w:t>
            </w:r>
            <w:r>
              <w:tab/>
              <w:t xml:space="preserve">dceřiný podnik podléhá požadavku uvedenému v článku 104a směrnice 2013/36/EU </w:t>
            </w:r>
            <w:r>
              <w:rPr>
                <w:b/>
                <w:bCs/>
                <w:i/>
                <w:iCs/>
              </w:rPr>
              <w:t>pouze</w:t>
            </w:r>
            <w:r>
              <w:rPr>
                <w:i/>
                <w:iCs/>
              </w:rPr>
              <w:t xml:space="preserve"> </w:t>
            </w:r>
            <w:r>
              <w:t>na konsolidovaném základě;</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14</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1 – odst. 1 – bod 3 – písm. a</w:t>
      </w:r>
      <w:r>
        <w:rPr>
          <w:rStyle w:val="HideTWBExt"/>
          <w:b w:val="0"/>
          <w:lang w:val="fr-BE"/>
        </w:rPr>
        <w:t>&lt;/Article&gt;</w:t>
      </w:r>
    </w:p>
    <w:p w:rsidR="00615424" w:rsidRPr="0046639E" w:rsidRDefault="006F21B3" w:rsidP="00615424">
      <w:pPr>
        <w:keepNext/>
      </w:pPr>
      <w:r>
        <w:rPr>
          <w:rStyle w:val="HideTWBExt"/>
          <w:lang w:val="fr-BE"/>
        </w:rPr>
        <w:t>&lt;DocAmend2&gt;</w:t>
      </w:r>
      <w:r>
        <w:t>Směrnice 2014/59/EU</w:t>
      </w:r>
      <w:r>
        <w:rPr>
          <w:rStyle w:val="HideTWBExt"/>
          <w:lang w:val="fr-BE"/>
        </w:rPr>
        <w:t>&lt;/DocAmend2&gt;</w:t>
      </w:r>
    </w:p>
    <w:p w:rsidR="00615424" w:rsidRPr="0046639E" w:rsidRDefault="006F21B3" w:rsidP="00615424">
      <w:r>
        <w:rPr>
          <w:rStyle w:val="HideTWBExt"/>
          <w:lang w:val="fr-BE"/>
        </w:rPr>
        <w:t>&lt;Article2&gt;</w:t>
      </w:r>
      <w:r>
        <w:t>Čl. 45f – odst. 1 – pododstavec 3a – písm. b</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b)</w:t>
            </w:r>
            <w:r>
              <w:tab/>
              <w:t xml:space="preserve">splnění požadavku stanoveného v článku 45c na konsolidovaném základě nemá </w:t>
            </w:r>
            <w:r>
              <w:rPr>
                <w:b/>
                <w:i/>
              </w:rPr>
              <w:t xml:space="preserve">významný </w:t>
            </w:r>
            <w:r>
              <w:t>negativní vliv na způsobilost skupiny řešící krizi k řešení krize nebo na odpis či konverzi příslušných kapitálových nástrojů a způsobilých závazků dotčeného dceřiného podniku nebo jiných subjektů ve skupině řešící krizi v souladu s článkem 59.;</w:t>
            </w:r>
          </w:p>
        </w:tc>
        <w:tc>
          <w:tcPr>
            <w:tcW w:w="4876" w:type="dxa"/>
            <w:hideMark/>
          </w:tcPr>
          <w:p w:rsidR="00615424" w:rsidRPr="0046639E" w:rsidRDefault="006F21B3" w:rsidP="006F4E71">
            <w:pPr>
              <w:pStyle w:val="Normal6"/>
              <w:rPr>
                <w:szCs w:val="24"/>
              </w:rPr>
            </w:pPr>
            <w:r>
              <w:t>b)</w:t>
            </w:r>
            <w:r>
              <w:tab/>
              <w:t>splnění požadavku stanoveného v článku 45c na konsolidovaném základě nemá negativní vliv na způsobilost skupiny řešící krizi k řešení krize nebo na odpis či konverzi příslušných kapitálových nástrojů a způsobilých závazků dotčeného dceřiného podniku nebo jiných subjektů ve skupině řešící krizi v souladu s článkem 59.;</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15</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2 – odst. 1 – bod 2 – písm. b</w:t>
      </w:r>
      <w:r>
        <w:rPr>
          <w:rStyle w:val="HideTWBExt"/>
          <w:b w:val="0"/>
          <w:lang w:val="fr-BE"/>
        </w:rPr>
        <w:t>&lt;/Article&gt;</w:t>
      </w:r>
    </w:p>
    <w:p w:rsidR="00615424" w:rsidRPr="0046639E" w:rsidRDefault="006F21B3" w:rsidP="00615424">
      <w:pPr>
        <w:keepNext/>
      </w:pPr>
      <w:r>
        <w:rPr>
          <w:rStyle w:val="HideTWBExt"/>
          <w:lang w:val="pt-PT"/>
        </w:rPr>
        <w:t>&lt;DocAmend2&gt;</w:t>
      </w:r>
      <w:r>
        <w:t>Nařízení (EU) č. 806/2014</w:t>
      </w:r>
      <w:r>
        <w:rPr>
          <w:rStyle w:val="HideTWBExt"/>
          <w:lang w:val="pt-PT"/>
        </w:rPr>
        <w:t>&lt;/DocAmend2&gt;</w:t>
      </w:r>
    </w:p>
    <w:p w:rsidR="00615424" w:rsidRPr="0046639E" w:rsidRDefault="006F21B3" w:rsidP="00615424">
      <w:r>
        <w:rPr>
          <w:rStyle w:val="HideTWBExt"/>
          <w:lang w:val="fr-BE"/>
        </w:rPr>
        <w:t>&lt;Article2&gt;</w:t>
      </w:r>
      <w:r>
        <w:t>Čl. 12d – odst. 2a – pododstavec 2</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 xml:space="preserve">Odchylně od prvního pododstavce </w:t>
            </w:r>
            <w:r>
              <w:rPr>
                <w:b/>
                <w:i/>
              </w:rPr>
              <w:t>a v případě, že je to nezbytné pro dosažení cílů ochrany finanční stability nebo omezení potenciální nákazy finančního systému, může</w:t>
            </w:r>
            <w:r>
              <w:t xml:space="preserve"> výbor </w:t>
            </w:r>
            <w:r>
              <w:rPr>
                <w:b/>
                <w:i/>
              </w:rPr>
              <w:t>výjimečně</w:t>
            </w:r>
            <w:r>
              <w:t xml:space="preserve"> určit požadavek uvedený v čl. 12a odst. 1 pro subjekty v likvidaci na individuálním základě ve výši </w:t>
            </w:r>
            <w:r>
              <w:rPr>
                <w:b/>
                <w:i/>
              </w:rPr>
              <w:t>dostatečné</w:t>
            </w:r>
            <w:r>
              <w:t xml:space="preserve"> k absorpci ztrát v souladu s odst. 2 písm. a) tohoto článku</w:t>
            </w:r>
            <w:r>
              <w:rPr>
                <w:b/>
                <w:i/>
              </w:rPr>
              <w:t>, zvýšené na částku, která je nezbytná pro dosažení těchto cílů</w:t>
            </w:r>
            <w:r>
              <w:t>. V těchto případech splní subjekty v likvidaci požadavek uvedený v čl. 12a odst. 1 prostřednictvím jedné nebo více z těchto položek:</w:t>
            </w:r>
          </w:p>
        </w:tc>
        <w:tc>
          <w:tcPr>
            <w:tcW w:w="4876" w:type="dxa"/>
            <w:hideMark/>
          </w:tcPr>
          <w:p w:rsidR="00615424" w:rsidRPr="0046639E" w:rsidRDefault="006F21B3" w:rsidP="006F4E71">
            <w:pPr>
              <w:pStyle w:val="Normal6"/>
              <w:rPr>
                <w:szCs w:val="24"/>
              </w:rPr>
            </w:pPr>
            <w:r>
              <w:t xml:space="preserve">Odchylně od prvního pododstavce výbor posoudí, zda existují důvody pro to, aby byl požadavek uvedený v čl. 12a odst. 1 určen pro subjekty v likvidaci na individuálním základě ve výši </w:t>
            </w:r>
            <w:r>
              <w:rPr>
                <w:b/>
                <w:i/>
              </w:rPr>
              <w:t>přesahující částku dostatečnou</w:t>
            </w:r>
            <w:r>
              <w:t xml:space="preserve"> k absorpci ztrát v souladu s odst. 2 písm. a) tohoto článku</w:t>
            </w:r>
            <w:r>
              <w:rPr>
                <w:b/>
                <w:i/>
              </w:rPr>
              <w:t>. Ve svém posouzení vezme výbor v úvahu možné následky selhání příslušného subjektu v likvidaci a zohlední zejména možné dopady na finanční stabilitu a na riziko šíření krize ve finančním systému</w:t>
            </w:r>
            <w:r>
              <w:t>. V těchto případech splní subjekty v likvidaci požadavek uvedený v čl. 12a odst. 1 prostřednictvím jedné nebo více z těchto položek:</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16</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2 – odst. 1 – bod 2 – písm. b</w:t>
      </w:r>
      <w:r>
        <w:rPr>
          <w:rStyle w:val="HideTWBExt"/>
          <w:b w:val="0"/>
          <w:lang w:val="fr-BE"/>
        </w:rPr>
        <w:t>&lt;/Article&gt;</w:t>
      </w:r>
    </w:p>
    <w:p w:rsidR="00615424" w:rsidRPr="0046639E" w:rsidRDefault="006F21B3" w:rsidP="00615424">
      <w:pPr>
        <w:keepNext/>
      </w:pPr>
      <w:r>
        <w:rPr>
          <w:rStyle w:val="HideTWBExt"/>
          <w:lang w:val="pt-PT"/>
        </w:rPr>
        <w:t>&lt;DocAmend2&gt;</w:t>
      </w:r>
      <w:r>
        <w:t>Nařízení (EU) č. 806/2014</w:t>
      </w:r>
      <w:r>
        <w:rPr>
          <w:rStyle w:val="HideTWBExt"/>
          <w:lang w:val="pt-PT"/>
        </w:rPr>
        <w:t>&lt;/DocAmend2&gt;</w:t>
      </w:r>
    </w:p>
    <w:p w:rsidR="00615424" w:rsidRPr="0046639E" w:rsidRDefault="006F21B3" w:rsidP="00615424">
      <w:r>
        <w:rPr>
          <w:rStyle w:val="HideTWBExt"/>
          <w:lang w:val="fr-BE"/>
        </w:rPr>
        <w:t>&lt;Article2&gt;</w:t>
      </w:r>
      <w:r>
        <w:t>Čl. 12d – odst. 2a – pododstavec 4</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rPr>
                <w:b/>
                <w:i/>
              </w:rPr>
              <w:t>Kapitálové investice do kapitálových nástrojů nebo závazků vydaných</w:t>
            </w:r>
            <w:r>
              <w:t xml:space="preserve"> dceřinými podniky, které jsou subjekty v likvidaci, u nichž orgán příslušný k řešení krize neurčil požadavek uvedený v čl. 12a odst. 1, nejsou předmětem odpočtu podle čl. 72e odst. 5 nařízení (EU) č. 575/2013.;</w:t>
            </w:r>
          </w:p>
        </w:tc>
        <w:tc>
          <w:tcPr>
            <w:tcW w:w="4876" w:type="dxa"/>
            <w:hideMark/>
          </w:tcPr>
          <w:p w:rsidR="00615424" w:rsidRPr="0046639E" w:rsidRDefault="006F21B3" w:rsidP="006F4E71">
            <w:pPr>
              <w:pStyle w:val="Normal6"/>
              <w:rPr>
                <w:szCs w:val="24"/>
              </w:rPr>
            </w:pPr>
            <w:r>
              <w:rPr>
                <w:b/>
                <w:i/>
              </w:rPr>
              <w:t>Držení závazků, které nelze považovat za kapitálové nástroje vydané</w:t>
            </w:r>
            <w:r>
              <w:t xml:space="preserve"> dceřinými podniky, které jsou subjekty v likvidaci, u nichž orgán příslušný k řešení krize neurčil požadavek uvedený v čl. 12a odst. 1, nejsou předmětem odpočtu podle čl. 72e odst. 5 nařízení (EU) č. 575/2013.;</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17</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FR"/>
        </w:rPr>
        <w:t>&lt;Article&gt;</w:t>
      </w:r>
      <w:r>
        <w:t>Čl. 2 – odst. 1 – bod 3 – písm. a</w:t>
      </w:r>
      <w:r>
        <w:rPr>
          <w:rStyle w:val="HideTWBExt"/>
          <w:b w:val="0"/>
          <w:lang w:val="fr-FR"/>
        </w:rPr>
        <w:t>&lt;/Article&gt;</w:t>
      </w:r>
    </w:p>
    <w:p w:rsidR="00615424" w:rsidRPr="008C37B3" w:rsidRDefault="006F21B3" w:rsidP="00615424">
      <w:pPr>
        <w:keepNext/>
      </w:pPr>
      <w:r>
        <w:rPr>
          <w:rStyle w:val="HideTWBExt"/>
          <w:lang w:val="pt-PT"/>
        </w:rPr>
        <w:t>&lt;DocAmend2&gt;</w:t>
      </w:r>
      <w:r>
        <w:t>Nařízení (EU) č. 806/2014</w:t>
      </w:r>
      <w:r>
        <w:rPr>
          <w:rStyle w:val="HideTWBExt"/>
          <w:lang w:val="pt-PT"/>
        </w:rPr>
        <w:t>&lt;/DocAmend2&gt;</w:t>
      </w:r>
    </w:p>
    <w:p w:rsidR="00615424" w:rsidRPr="0046639E" w:rsidRDefault="006F21B3" w:rsidP="00615424">
      <w:r>
        <w:rPr>
          <w:rStyle w:val="HideTWBExt"/>
          <w:lang w:val="fr-FR"/>
        </w:rPr>
        <w:t>&lt;Article2&gt;</w:t>
      </w:r>
      <w:r>
        <w:t>Čl. 12g – odst. 1 – pododstavec 3a – písm. a – bod ii</w:t>
      </w:r>
      <w:r>
        <w:rPr>
          <w:rStyle w:val="HideTWBExt"/>
          <w:lang w:val="fr-FR"/>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FR"/>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ii)</w:t>
            </w:r>
            <w:r>
              <w:tab/>
              <w:t>dceřiný podnik podléhá požadavku uvedenému v článku 104a směrnice 2013/36/EU</w:t>
            </w:r>
            <w:r>
              <w:rPr>
                <w:b/>
                <w:i/>
              </w:rPr>
              <w:t xml:space="preserve"> nebo požadavku kombinovaných kapitálových rezerv</w:t>
            </w:r>
            <w:r>
              <w:t xml:space="preserve"> na konsolidovaném základě;</w:t>
            </w:r>
          </w:p>
        </w:tc>
        <w:tc>
          <w:tcPr>
            <w:tcW w:w="4876" w:type="dxa"/>
            <w:hideMark/>
          </w:tcPr>
          <w:p w:rsidR="00615424" w:rsidRPr="0046639E" w:rsidRDefault="006F21B3" w:rsidP="006F4E71">
            <w:pPr>
              <w:pStyle w:val="Normal6"/>
              <w:rPr>
                <w:szCs w:val="24"/>
              </w:rPr>
            </w:pPr>
            <w:r>
              <w:t>ii)</w:t>
            </w:r>
            <w:r>
              <w:tab/>
              <w:t xml:space="preserve">dceřiný podnik podléhá požadavku uvedenému v článku 104a směrnice 2013/36/EU </w:t>
            </w:r>
            <w:r>
              <w:rPr>
                <w:b/>
                <w:bCs/>
                <w:i/>
                <w:iCs/>
              </w:rPr>
              <w:t>pouze</w:t>
            </w:r>
            <w:r>
              <w:t xml:space="preserve"> na konsolidovaném základě;</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18</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2 – odst. 1 – bod 3 – písm. a</w:t>
      </w:r>
      <w:r>
        <w:rPr>
          <w:rStyle w:val="HideTWBExt"/>
          <w:b w:val="0"/>
          <w:lang w:val="fr-BE"/>
        </w:rPr>
        <w:t>&lt;/Article&gt;</w:t>
      </w:r>
    </w:p>
    <w:p w:rsidR="00615424" w:rsidRPr="0046639E" w:rsidRDefault="006F21B3" w:rsidP="00615424">
      <w:pPr>
        <w:keepNext/>
      </w:pPr>
      <w:r>
        <w:rPr>
          <w:rStyle w:val="HideTWBExt"/>
          <w:lang w:val="pt-PT"/>
        </w:rPr>
        <w:t>&lt;DocAmend2&gt;</w:t>
      </w:r>
      <w:r>
        <w:t>Nařízení (EU) č. 806/2014</w:t>
      </w:r>
      <w:r>
        <w:rPr>
          <w:rStyle w:val="HideTWBExt"/>
          <w:lang w:val="pt-PT"/>
        </w:rPr>
        <w:t>&lt;/DocAmend2&gt;</w:t>
      </w:r>
    </w:p>
    <w:p w:rsidR="00615424" w:rsidRPr="0046639E" w:rsidRDefault="006F21B3" w:rsidP="00615424">
      <w:r>
        <w:rPr>
          <w:rStyle w:val="HideTWBExt"/>
          <w:lang w:val="fr-BE"/>
        </w:rPr>
        <w:t>&lt;Article2&gt;</w:t>
      </w:r>
      <w:r>
        <w:t>Čl. 12g – odst. 1 – pododstavec 3a – písm. b</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b)</w:t>
            </w:r>
            <w:r>
              <w:tab/>
              <w:t xml:space="preserve">splnění požadavku stanoveného v článku 12d na konsolidovaném základě nemá </w:t>
            </w:r>
            <w:r>
              <w:rPr>
                <w:b/>
                <w:i/>
              </w:rPr>
              <w:t xml:space="preserve">významný </w:t>
            </w:r>
            <w:r>
              <w:t>negativní vliv na způsobilost skupiny řešící krizi k řešení krize nebo na odpis či konverzi příslušných kapitálových nástrojů a způsobilých závazků dotčené instituce nebo dceřiného podniku nebo jiných subjektů ve skupině řešící krizi v souladu s článkem 21.;</w:t>
            </w:r>
          </w:p>
        </w:tc>
        <w:tc>
          <w:tcPr>
            <w:tcW w:w="4876" w:type="dxa"/>
            <w:hideMark/>
          </w:tcPr>
          <w:p w:rsidR="00615424" w:rsidRPr="0046639E" w:rsidRDefault="006F21B3" w:rsidP="006F4E71">
            <w:pPr>
              <w:pStyle w:val="Normal6"/>
              <w:rPr>
                <w:szCs w:val="24"/>
              </w:rPr>
            </w:pPr>
            <w:r>
              <w:t>b)</w:t>
            </w:r>
            <w:r>
              <w:tab/>
              <w:t>splnění požadavku stanoveného v článku 12d na konsolidovaném základě nemá negativní vliv na způsobilost skupiny řešící krizi k řešení krize nebo na odpis či konverzi příslušných kapitálových nástrojů a způsobilých závazků dotčené instituce nebo dceřiného podniku nebo jiných subjektů ve skupině řešící krizi v souladu s článkem 21.;</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pPr>
        <w:rPr>
          <w:szCs w:val="24"/>
        </w:rPr>
      </w:pPr>
      <w:r>
        <w:rPr>
          <w:rStyle w:val="HideTWBExt"/>
        </w:rPr>
        <w:t>&lt;/Amend&gt;</w:t>
      </w:r>
    </w:p>
    <w:p w:rsidR="00615424" w:rsidRPr="008C37B3" w:rsidRDefault="006F21B3" w:rsidP="00615424">
      <w:pPr>
        <w:pStyle w:val="AMNumberTabs0"/>
        <w:keepNext/>
      </w:pPr>
      <w:r>
        <w:rPr>
          <w:rStyle w:val="HideTWBExt"/>
          <w:b w:val="0"/>
          <w:lang w:val="pt-PT"/>
        </w:rPr>
        <w:t>&lt;Amend&gt;</w:t>
      </w:r>
      <w:r>
        <w:t>Pozměňovací návrh</w:t>
      </w:r>
      <w:r>
        <w:tab/>
      </w:r>
      <w:r>
        <w:tab/>
      </w:r>
      <w:r>
        <w:rPr>
          <w:rStyle w:val="HideTWBExt"/>
          <w:b w:val="0"/>
          <w:lang w:val="pt-PT"/>
        </w:rPr>
        <w:t>&lt;NumAm&gt;</w:t>
      </w:r>
      <w:r>
        <w:t>19</w:t>
      </w:r>
      <w:r>
        <w:rPr>
          <w:rStyle w:val="HideTWBExt"/>
          <w:b w:val="0"/>
          <w:lang w:val="pt-PT"/>
        </w:rPr>
        <w:t>&lt;/NumAm&gt;</w:t>
      </w:r>
    </w:p>
    <w:p w:rsidR="00615424" w:rsidRPr="008C37B3" w:rsidRDefault="006F21B3" w:rsidP="00615424">
      <w:pPr>
        <w:pStyle w:val="NormalBold12b"/>
        <w:keepNext/>
      </w:pPr>
      <w:r>
        <w:rPr>
          <w:rStyle w:val="HideTWBExt"/>
          <w:b w:val="0"/>
          <w:lang w:val="pt-PT"/>
        </w:rPr>
        <w:t>&lt;DocAmend&gt;</w:t>
      </w:r>
      <w:r>
        <w:t>Návrh směrnice</w:t>
      </w:r>
      <w:r>
        <w:rPr>
          <w:rStyle w:val="HideTWBExt"/>
          <w:b w:val="0"/>
          <w:lang w:val="pt-PT"/>
        </w:rPr>
        <w:t>&lt;/DocAmend&gt;</w:t>
      </w:r>
    </w:p>
    <w:p w:rsidR="00615424" w:rsidRPr="0046639E" w:rsidRDefault="006F21B3" w:rsidP="00615424">
      <w:pPr>
        <w:pStyle w:val="NormalBold"/>
      </w:pPr>
      <w:r>
        <w:rPr>
          <w:rStyle w:val="HideTWBExt"/>
          <w:b w:val="0"/>
          <w:lang w:val="fr-BE"/>
        </w:rPr>
        <w:t>&lt;Article&gt;</w:t>
      </w:r>
      <w:r>
        <w:t>Čl. 2 – odst. 1 – bod 3 – písm. b</w:t>
      </w:r>
      <w:r>
        <w:rPr>
          <w:rStyle w:val="HideTWBExt"/>
          <w:b w:val="0"/>
          <w:lang w:val="fr-BE"/>
        </w:rPr>
        <w:t>&lt;/Article&gt;</w:t>
      </w:r>
    </w:p>
    <w:p w:rsidR="00615424" w:rsidRPr="0046639E" w:rsidRDefault="006F21B3" w:rsidP="00615424">
      <w:pPr>
        <w:keepNext/>
      </w:pPr>
      <w:r>
        <w:rPr>
          <w:rStyle w:val="HideTWBExt"/>
          <w:lang w:val="pt-PT"/>
        </w:rPr>
        <w:t>&lt;DocAmend2&gt;</w:t>
      </w:r>
      <w:r>
        <w:t>Nařízení (EU) č. 806/2014</w:t>
      </w:r>
      <w:r>
        <w:rPr>
          <w:rStyle w:val="HideTWBExt"/>
          <w:lang w:val="pt-PT"/>
        </w:rPr>
        <w:t>&lt;/DocAmend2&gt;</w:t>
      </w:r>
    </w:p>
    <w:p w:rsidR="00615424" w:rsidRPr="0046639E" w:rsidRDefault="006F21B3" w:rsidP="00615424">
      <w:r>
        <w:rPr>
          <w:rStyle w:val="HideTWBExt"/>
          <w:lang w:val="fr-BE"/>
        </w:rPr>
        <w:t>&lt;Article2&gt;</w:t>
      </w:r>
      <w:r>
        <w:t>Čl. 12g – odst. 2a – pododstavec 2 – návětí</w:t>
      </w:r>
      <w:r>
        <w:rPr>
          <w:rStyle w:val="HideTWBExt"/>
          <w:lang w:val="fr-BE"/>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4FDC" w:rsidTr="006F4E71">
        <w:trPr>
          <w:jc w:val="center"/>
        </w:trPr>
        <w:tc>
          <w:tcPr>
            <w:tcW w:w="9752" w:type="dxa"/>
            <w:gridSpan w:val="2"/>
          </w:tcPr>
          <w:p w:rsidR="00615424" w:rsidRPr="0046639E" w:rsidRDefault="00615424" w:rsidP="006F4E71">
            <w:pPr>
              <w:keepNext/>
              <w:rPr>
                <w:lang w:val="fr-BE"/>
              </w:rPr>
            </w:pPr>
          </w:p>
        </w:tc>
      </w:tr>
      <w:tr w:rsidR="00C94FDC" w:rsidTr="006F4E71">
        <w:trPr>
          <w:jc w:val="center"/>
        </w:trPr>
        <w:tc>
          <w:tcPr>
            <w:tcW w:w="4876" w:type="dxa"/>
            <w:hideMark/>
          </w:tcPr>
          <w:p w:rsidR="00615424" w:rsidRPr="0046639E" w:rsidRDefault="006F21B3" w:rsidP="006F4E71">
            <w:pPr>
              <w:pStyle w:val="ColumnHeading"/>
              <w:keepNext/>
            </w:pPr>
            <w:r>
              <w:t>Znění navržené Komisí</w:t>
            </w:r>
          </w:p>
        </w:tc>
        <w:tc>
          <w:tcPr>
            <w:tcW w:w="4876" w:type="dxa"/>
            <w:hideMark/>
          </w:tcPr>
          <w:p w:rsidR="00615424" w:rsidRPr="0046639E" w:rsidRDefault="006F21B3" w:rsidP="006F4E71">
            <w:pPr>
              <w:pStyle w:val="ColumnHeading"/>
              <w:keepNext/>
            </w:pPr>
            <w:r>
              <w:t>Pozměňovací návrh</w:t>
            </w:r>
          </w:p>
        </w:tc>
      </w:tr>
      <w:tr w:rsidR="00C94FDC" w:rsidTr="006F4E71">
        <w:trPr>
          <w:jc w:val="center"/>
        </w:trPr>
        <w:tc>
          <w:tcPr>
            <w:tcW w:w="4876" w:type="dxa"/>
            <w:hideMark/>
          </w:tcPr>
          <w:p w:rsidR="00615424" w:rsidRPr="0046639E" w:rsidRDefault="006F21B3" w:rsidP="006F4E71">
            <w:pPr>
              <w:pStyle w:val="Normal6"/>
            </w:pPr>
            <w:r>
              <w:t>Závazky uvedené v prvním pododstavci písm. a) a b) nesmí přesáhnout částku, která se určí tak, že se od výše požadavku uvedeného v čl. 12 odst. 1 vztahujícího se na dceřiný podnik zahrnutý do konsolidace odečte součet všech následujících položek:</w:t>
            </w:r>
          </w:p>
        </w:tc>
        <w:tc>
          <w:tcPr>
            <w:tcW w:w="4876" w:type="dxa"/>
            <w:hideMark/>
          </w:tcPr>
          <w:p w:rsidR="00615424" w:rsidRPr="0046639E" w:rsidRDefault="006F21B3" w:rsidP="006F4E71">
            <w:pPr>
              <w:pStyle w:val="Normal6"/>
              <w:rPr>
                <w:szCs w:val="24"/>
              </w:rPr>
            </w:pPr>
            <w:r>
              <w:rPr>
                <w:i/>
              </w:rPr>
              <w:t>(Netýká se českého znění.)</w:t>
            </w:r>
          </w:p>
        </w:tc>
      </w:tr>
    </w:tbl>
    <w:p w:rsidR="00615424" w:rsidRPr="0046639E" w:rsidRDefault="006F21B3" w:rsidP="00615424">
      <w:pPr>
        <w:pStyle w:val="Olang"/>
        <w:rPr>
          <w:sz w:val="24"/>
          <w:szCs w:val="24"/>
        </w:rPr>
      </w:pPr>
      <w:r w:rsidRPr="0046639E">
        <w:rPr>
          <w:sz w:val="24"/>
          <w:szCs w:val="24"/>
        </w:rPr>
        <w:t xml:space="preserve">Or. </w:t>
      </w:r>
      <w:r w:rsidRPr="0046639E">
        <w:rPr>
          <w:rStyle w:val="HideTWBExt"/>
        </w:rPr>
        <w:t>&lt;Original&gt;</w:t>
      </w:r>
      <w:r w:rsidRPr="0046639E">
        <w:rPr>
          <w:rStyle w:val="HideTWBInt"/>
          <w:sz w:val="24"/>
          <w:szCs w:val="24"/>
        </w:rPr>
        <w:t>{EN}</w:t>
      </w:r>
      <w:r w:rsidRPr="0046639E">
        <w:rPr>
          <w:sz w:val="24"/>
          <w:szCs w:val="24"/>
        </w:rPr>
        <w:t>en</w:t>
      </w:r>
      <w:r w:rsidRPr="0046639E">
        <w:rPr>
          <w:rStyle w:val="HideTWBExt"/>
        </w:rPr>
        <w:t>&lt;/Original&gt;</w:t>
      </w:r>
    </w:p>
    <w:p w:rsidR="00615424" w:rsidRPr="0046639E" w:rsidRDefault="006F21B3" w:rsidP="00615424">
      <w:r>
        <w:rPr>
          <w:rStyle w:val="HideTWBExt"/>
        </w:rPr>
        <w:t>&lt;/Amend&gt;</w:t>
      </w:r>
    </w:p>
    <w:p w:rsidR="00615424" w:rsidRPr="0046639E" w:rsidRDefault="006F21B3" w:rsidP="00615424">
      <w:r>
        <w:rPr>
          <w:rStyle w:val="HideTWBExt"/>
        </w:rPr>
        <w:t>&lt;/RepeatBlock-Amend&gt;</w:t>
      </w:r>
    </w:p>
    <w:p w:rsidR="002669B6" w:rsidRPr="0030050B" w:rsidRDefault="002669B6" w:rsidP="002669B6"/>
    <w:sectPr w:rsidR="002669B6" w:rsidRPr="0030050B" w:rsidSect="0045574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A4F" w:rsidRDefault="006F21B3">
      <w:r>
        <w:separator/>
      </w:r>
    </w:p>
  </w:endnote>
  <w:endnote w:type="continuationSeparator" w:id="0">
    <w:p w:rsidR="00525A4F" w:rsidRDefault="006F2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30050B" w:rsidRDefault="006F21B3" w:rsidP="00F07062">
    <w:pPr>
      <w:pStyle w:val="EPFooter"/>
    </w:pPr>
    <w:r w:rsidRPr="0030050B">
      <w:t>PE</w:t>
    </w:r>
    <w:r w:rsidRPr="0030050B">
      <w:rPr>
        <w:rStyle w:val="HideTWBExt"/>
      </w:rPr>
      <w:t>&lt;NoPE&gt;</w:t>
    </w:r>
    <w:r w:rsidR="00615424" w:rsidRPr="00615424">
      <w:t>752.913</w:t>
    </w:r>
    <w:r w:rsidRPr="0030050B">
      <w:rPr>
        <w:rStyle w:val="HideTWBExt"/>
      </w:rPr>
      <w:t>&lt;/NoPE&gt;&lt;Version&gt;</w:t>
    </w:r>
    <w:r w:rsidR="0030050B" w:rsidRPr="0030050B">
      <w:t>v</w:t>
    </w:r>
    <w:r w:rsidR="00615424" w:rsidRPr="00615424">
      <w:t>01-00</w:t>
    </w:r>
    <w:r w:rsidRPr="0030050B">
      <w:rPr>
        <w:rStyle w:val="HideTWBExt"/>
      </w:rPr>
      <w:t>&lt;/Version&gt;</w:t>
    </w:r>
    <w:r w:rsidRPr="0030050B">
      <w:tab/>
    </w:r>
    <w:r w:rsidR="00914537" w:rsidRPr="0030050B">
      <w:fldChar w:fldCharType="begin"/>
    </w:r>
    <w:r w:rsidR="00914537" w:rsidRPr="0030050B">
      <w:instrText xml:space="preserve"> PAGE </w:instrText>
    </w:r>
    <w:r w:rsidR="00914537" w:rsidRPr="0030050B">
      <w:fldChar w:fldCharType="separate"/>
    </w:r>
    <w:r w:rsidR="00F0610C">
      <w:rPr>
        <w:noProof/>
      </w:rPr>
      <w:t>2</w:t>
    </w:r>
    <w:r w:rsidR="00914537" w:rsidRPr="0030050B">
      <w:fldChar w:fldCharType="end"/>
    </w:r>
    <w:r w:rsidR="00914537" w:rsidRPr="0030050B">
      <w:t>/</w:t>
    </w:r>
    <w:r w:rsidR="00914537" w:rsidRPr="0030050B">
      <w:rPr>
        <w:rStyle w:val="PageNumber"/>
      </w:rPr>
      <w:fldChar w:fldCharType="begin"/>
    </w:r>
    <w:r w:rsidR="00914537" w:rsidRPr="0030050B">
      <w:rPr>
        <w:rStyle w:val="PageNumber"/>
      </w:rPr>
      <w:instrText xml:space="preserve"> NUMPAGES </w:instrText>
    </w:r>
    <w:r w:rsidR="00914537" w:rsidRPr="0030050B">
      <w:rPr>
        <w:rStyle w:val="PageNumber"/>
      </w:rPr>
      <w:fldChar w:fldCharType="separate"/>
    </w:r>
    <w:r w:rsidR="00F0610C">
      <w:rPr>
        <w:rStyle w:val="PageNumber"/>
        <w:noProof/>
      </w:rPr>
      <w:t>19</w:t>
    </w:r>
    <w:r w:rsidR="00914537" w:rsidRPr="0030050B">
      <w:rPr>
        <w:rStyle w:val="PageNumber"/>
      </w:rPr>
      <w:fldChar w:fldCharType="end"/>
    </w:r>
    <w:r w:rsidRPr="0030050B">
      <w:tab/>
    </w:r>
    <w:r w:rsidRPr="0030050B">
      <w:rPr>
        <w:rStyle w:val="HideTWBExt"/>
      </w:rPr>
      <w:t>&lt;PathFdR&gt;</w:t>
    </w:r>
    <w:r w:rsidR="00615424" w:rsidRPr="00615424">
      <w:t>PR\1285454CS.docx</w:t>
    </w:r>
    <w:r w:rsidRPr="0030050B">
      <w:rPr>
        <w:rStyle w:val="HideTWBExt"/>
      </w:rPr>
      <w:t>&lt;/PathFdR&gt;</w:t>
    </w:r>
  </w:p>
  <w:p w:rsidR="00FB52FE" w:rsidRPr="0030050B" w:rsidRDefault="006F21B3">
    <w:pPr>
      <w:pStyle w:val="EPFooter2"/>
    </w:pPr>
    <w:fldSimple w:instr=" DOCPROPERTY &quot;&lt;Extension&gt;&quot; ">
      <w:r w:rsidR="00F0610C">
        <w:t>CS</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30050B" w:rsidRDefault="006F21B3" w:rsidP="00F07062">
    <w:pPr>
      <w:pStyle w:val="EPFooter"/>
    </w:pPr>
    <w:r w:rsidRPr="0030050B">
      <w:rPr>
        <w:rStyle w:val="HideTWBExt"/>
      </w:rPr>
      <w:t>&lt;PathFdR&gt;</w:t>
    </w:r>
    <w:r w:rsidR="00615424" w:rsidRPr="00615424">
      <w:t>PR\1285454CS.docx</w:t>
    </w:r>
    <w:r w:rsidRPr="0030050B">
      <w:rPr>
        <w:rStyle w:val="HideTWBExt"/>
      </w:rPr>
      <w:t>&lt;/PathFdR&gt;</w:t>
    </w:r>
    <w:r w:rsidRPr="0030050B">
      <w:tab/>
    </w:r>
    <w:r w:rsidR="00914537" w:rsidRPr="0030050B">
      <w:fldChar w:fldCharType="begin"/>
    </w:r>
    <w:r w:rsidR="00914537" w:rsidRPr="0030050B">
      <w:instrText xml:space="preserve"> PAGE </w:instrText>
    </w:r>
    <w:r w:rsidR="00914537" w:rsidRPr="0030050B">
      <w:fldChar w:fldCharType="separate"/>
    </w:r>
    <w:r w:rsidR="00F0610C">
      <w:rPr>
        <w:noProof/>
      </w:rPr>
      <w:t>19</w:t>
    </w:r>
    <w:r w:rsidR="00914537" w:rsidRPr="0030050B">
      <w:fldChar w:fldCharType="end"/>
    </w:r>
    <w:r w:rsidR="00914537" w:rsidRPr="0030050B">
      <w:t>/</w:t>
    </w:r>
    <w:r w:rsidR="00914537" w:rsidRPr="0030050B">
      <w:rPr>
        <w:rStyle w:val="PageNumber"/>
      </w:rPr>
      <w:fldChar w:fldCharType="begin"/>
    </w:r>
    <w:r w:rsidR="00914537" w:rsidRPr="0030050B">
      <w:rPr>
        <w:rStyle w:val="PageNumber"/>
      </w:rPr>
      <w:instrText xml:space="preserve"> NUMPAGES </w:instrText>
    </w:r>
    <w:r w:rsidR="00914537" w:rsidRPr="0030050B">
      <w:rPr>
        <w:rStyle w:val="PageNumber"/>
      </w:rPr>
      <w:fldChar w:fldCharType="separate"/>
    </w:r>
    <w:r w:rsidR="00F0610C">
      <w:rPr>
        <w:rStyle w:val="PageNumber"/>
        <w:noProof/>
      </w:rPr>
      <w:t>19</w:t>
    </w:r>
    <w:r w:rsidR="00914537" w:rsidRPr="0030050B">
      <w:rPr>
        <w:rStyle w:val="PageNumber"/>
      </w:rPr>
      <w:fldChar w:fldCharType="end"/>
    </w:r>
    <w:r w:rsidRPr="0030050B">
      <w:tab/>
      <w:t>PE</w:t>
    </w:r>
    <w:r w:rsidRPr="0030050B">
      <w:rPr>
        <w:rStyle w:val="HideTWBExt"/>
      </w:rPr>
      <w:t>&lt;NoPE&gt;</w:t>
    </w:r>
    <w:r w:rsidR="00615424" w:rsidRPr="00615424">
      <w:t>752.913</w:t>
    </w:r>
    <w:r w:rsidRPr="0030050B">
      <w:rPr>
        <w:rStyle w:val="HideTWBExt"/>
      </w:rPr>
      <w:t>&lt;/NoPE&gt;&lt;Version&gt;</w:t>
    </w:r>
    <w:r w:rsidR="0030050B" w:rsidRPr="0030050B">
      <w:t>v</w:t>
    </w:r>
    <w:r w:rsidR="00615424" w:rsidRPr="00615424">
      <w:t>01-00</w:t>
    </w:r>
    <w:r w:rsidRPr="0030050B">
      <w:rPr>
        <w:rStyle w:val="HideTWBExt"/>
      </w:rPr>
      <w:t>&lt;/Version&gt;</w:t>
    </w:r>
  </w:p>
  <w:p w:rsidR="00FB52FE" w:rsidRPr="0030050B" w:rsidRDefault="006F21B3">
    <w:pPr>
      <w:pStyle w:val="EPFooter2"/>
    </w:pPr>
    <w:r w:rsidRPr="0030050B">
      <w:tab/>
    </w:r>
    <w:r w:rsidRPr="0030050B">
      <w:tab/>
    </w:r>
    <w:r w:rsidR="00F0610C">
      <w:fldChar w:fldCharType="begin"/>
    </w:r>
    <w:r w:rsidR="00F0610C">
      <w:instrText xml:space="preserve"> DOCPROPERTY "&lt;Extension&gt;" </w:instrText>
    </w:r>
    <w:r w:rsidR="00F0610C">
      <w:fldChar w:fldCharType="separate"/>
    </w:r>
    <w:r w:rsidR="00F0610C">
      <w:t>CS</w:t>
    </w:r>
    <w:r w:rsidR="00F0610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30050B" w:rsidRDefault="006F21B3" w:rsidP="00F07062">
    <w:pPr>
      <w:pStyle w:val="EPFooter"/>
    </w:pPr>
    <w:r w:rsidRPr="0030050B">
      <w:rPr>
        <w:rStyle w:val="HideTWBExt"/>
      </w:rPr>
      <w:t>&lt;PathFdR&gt;</w:t>
    </w:r>
    <w:r w:rsidR="00615424" w:rsidRPr="00615424">
      <w:t>PR\1285454CS.docx</w:t>
    </w:r>
    <w:r w:rsidRPr="0030050B">
      <w:rPr>
        <w:rStyle w:val="HideTWBExt"/>
      </w:rPr>
      <w:t>&lt;/PathFdR&gt;</w:t>
    </w:r>
    <w:r w:rsidRPr="0030050B">
      <w:tab/>
    </w:r>
    <w:r w:rsidRPr="0030050B">
      <w:tab/>
      <w:t>PE</w:t>
    </w:r>
    <w:r w:rsidRPr="0030050B">
      <w:rPr>
        <w:rStyle w:val="HideTWBExt"/>
      </w:rPr>
      <w:t>&lt;NoPE&gt;</w:t>
    </w:r>
    <w:r w:rsidR="00615424" w:rsidRPr="00615424">
      <w:t>752.913</w:t>
    </w:r>
    <w:r w:rsidRPr="0030050B">
      <w:rPr>
        <w:rStyle w:val="HideTWBExt"/>
      </w:rPr>
      <w:t>&lt;/NoPE&gt;&lt;Version&gt;</w:t>
    </w:r>
    <w:r w:rsidR="0030050B" w:rsidRPr="0030050B">
      <w:t>v</w:t>
    </w:r>
    <w:r w:rsidR="00615424" w:rsidRPr="00615424">
      <w:t>01-00</w:t>
    </w:r>
    <w:r w:rsidRPr="0030050B">
      <w:rPr>
        <w:rStyle w:val="HideTWBExt"/>
      </w:rPr>
      <w:t>&lt;/Version&gt;</w:t>
    </w:r>
  </w:p>
  <w:p w:rsidR="00FB52FE" w:rsidRPr="0030050B" w:rsidRDefault="006F21B3" w:rsidP="00461601">
    <w:pPr>
      <w:pStyle w:val="EPFooter2"/>
      <w:tabs>
        <w:tab w:val="clear" w:pos="4535"/>
        <w:tab w:val="center" w:pos="4536"/>
      </w:tabs>
    </w:pPr>
    <w:fldSimple w:instr=" DOCPROPERTY &quot;&lt;Extension&gt;&quot; ">
      <w:r w:rsidR="00F0610C">
        <w:t>CS</w:t>
      </w:r>
    </w:fldSimple>
    <w:r w:rsidRPr="0030050B">
      <w:tab/>
    </w:r>
    <w:r w:rsidR="00615424">
      <w:rPr>
        <w:b w:val="0"/>
        <w:i/>
        <w:color w:val="C0C0C0"/>
        <w:sz w:val="22"/>
        <w:szCs w:val="22"/>
      </w:rPr>
      <w:t>Jednotná v rozmanitosti</w:t>
    </w:r>
    <w:r w:rsidRPr="0030050B">
      <w:tab/>
    </w:r>
    <w:fldSimple w:instr=" DOCPROPERTY &quot;&lt;Extension&gt;&quot; ">
      <w:r w:rsidR="00F0610C">
        <w:t>CS</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50B" w:rsidRPr="0030050B" w:rsidRDefault="006F21B3">
      <w:r w:rsidRPr="0030050B">
        <w:separator/>
      </w:r>
    </w:p>
  </w:footnote>
  <w:footnote w:type="continuationSeparator" w:id="0">
    <w:p w:rsidR="0030050B" w:rsidRPr="0030050B" w:rsidRDefault="006F21B3">
      <w:r w:rsidRPr="0030050B">
        <w:continuationSeparator/>
      </w:r>
    </w:p>
  </w:footnote>
  <w:footnote w:id="1">
    <w:p w:rsidR="00615424" w:rsidRPr="0046639E" w:rsidRDefault="006F21B3" w:rsidP="00615424">
      <w:pPr>
        <w:pStyle w:val="FootnoteText"/>
        <w:rPr>
          <w:sz w:val="24"/>
          <w:szCs w:val="24"/>
        </w:rPr>
      </w:pPr>
      <w:r>
        <w:rPr>
          <w:rStyle w:val="FootnoteReference"/>
          <w:sz w:val="24"/>
          <w:szCs w:val="24"/>
        </w:rPr>
        <w:footnoteRef/>
      </w:r>
      <w:r>
        <w:rPr>
          <w:sz w:val="24"/>
        </w:rPr>
        <w:t xml:space="preserve"> </w:t>
      </w:r>
      <w:r>
        <w:rPr>
          <w:sz w:val="24"/>
        </w:rPr>
        <w:tab/>
        <w:t>Úř. věst. C 307, 31.8.2023, s. 19.</w:t>
      </w:r>
    </w:p>
  </w:footnote>
  <w:footnote w:id="2">
    <w:p w:rsidR="00615424" w:rsidRPr="0046639E" w:rsidRDefault="006F21B3" w:rsidP="00615424">
      <w:pPr>
        <w:pStyle w:val="FootnoteText"/>
      </w:pPr>
      <w:r>
        <w:rPr>
          <w:rStyle w:val="FootnoteReference"/>
          <w:sz w:val="24"/>
          <w:szCs w:val="24"/>
        </w:rPr>
        <w:footnoteRef/>
      </w:r>
      <w:r>
        <w:tab/>
      </w:r>
      <w:r>
        <w:rPr>
          <w:sz w:val="24"/>
        </w:rPr>
        <w:t>Dosud nezveřejněné v Úředním věstníku.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10C" w:rsidRDefault="00F061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10C" w:rsidRDefault="00F061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10C" w:rsidRDefault="00F06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ECON"/>
    <w:docVar w:name="DOCMNU" w:val=" 2"/>
    <w:docVar w:name="EPSTATMNU" w:val=" 5"/>
    <w:docVar w:name="INSTITUTIONSMNU" w:val=" 2"/>
    <w:docVar w:name="JURI1MNU" w:val=" 2"/>
    <w:docVar w:name="JURI2MNU" w:val=" 2"/>
    <w:docVar w:name="LastEditedSection" w:val=" 1"/>
    <w:docVar w:name="OTHERSTATMNU" w:val=" 4"/>
    <w:docVar w:name="PARLIAMENTSMNU" w:val=" 2"/>
    <w:docVar w:name="RepeatBlock-AmendCS" w:val="{\rtf1\adeflang1025\ansi\ansicpg1252\uc1\adeff0\deff0\stshfdbch0\stshfloch0\stshfhich0\stshfbi0\deflang2057\deflangfe2057\themelang2057\themelangfe0\themelangcs1108{\fonttbl{\f0\fbidi \froman\fcharset0\fprq2{\*\panose 00000000000000000000}Times New Roman;}{\f1\fbidi \fswiss\fcharset0\fprq2{\*\panose 00000000000000000000}Arial;}_x000d__x000a_{\f34\fbidi \froman\fcharset0\fprq2{\*\panose 02040503050406030204}Cambria Math;}{\flomajor\f31500\fbidi \froman\fcharset0\fprq2{\*\panose 00000000000000000000}Times New Roman;}_x000d__x000a_{\fdbmajor\f31501\fbidi \froman\fcharset0\fprq2{\*\panose 00000000000000000000}Times New Roman;}{\fhimajor\f31502\fbidi \fswiss\fcharset0\fprq2{\*\panose 00000000000000000000}Calibri Light;}_x000d__x000a_{\fbimajor\f31503\fbidi \fswiss\fcharset0\fprq2 DokChampa{\*\falt Leelawadee UI};}{\flominor\f31504\fbidi \froman\fcharset0\fprq2{\*\panose 00000000000000000000}Times New Roman;}_x000d__x000a_{\fdbminor\f31505\fbidi \froman\fcharset0\fprq2{\*\panose 00000000000000000000}Times New Roman;}{\fhiminor\f31506\fbidi \fswiss\fcharset0\fprq2{\*\panose 00000000000000000000}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2254 HideTWBExt;}{\*\cs18 \additive \v\f1\fs20\cf15 _x000d__x000a_\spriority0 \styrsid412254 HideTWBInt;}{\s19\ql \li0\ri0\sa120\nowidctlpar\wrapdefault\aspalpha\aspnum\faauto\adjustright\rin0\lin0\itap0 \rtlch\fcs1 \af0\afs20\alang1025 \ltrch\fcs0 \fs24\lang1029\langfe2057\cgrid\langnp1029\langfenp2057 _x000d__x000a_\sbasedon0 \snext19 \spriority0 \styrsid412254 Normal6a;}{\s20\ql \li0\ri0\nowidctlpar\wrapdefault\aspalpha\aspnum\faauto\adjustright\rin0\lin0\itap0 \rtlch\fcs1 \af0\afs20\alang1025 \ltrch\fcs0 \b\fs24\lang1029\langfe2057\cgrid\langnp1029\langfenp2057 _x000d__x000a_\sbasedon0 \snext20 \spriority0 \styrsid412254 NormalBold;}{\s21\ql \li0\ri0\sa240\nowidctlpar\wrapdefault\aspalpha\aspnum\faauto\adjustright\rin0\lin0\itap0 \rtlch\fcs1 \af0\afs20\alang1025 \ltrch\fcs0 _x000d__x000a_\i\fs24\lang1029\langfe2057\cgrid\langnp1029\langfenp2057 \sbasedon0 \snext21 \spriority0 \styrsid412254 AmJustText;}{\s22\qc \li0\ri0\sb240\sa240\nowidctlpar\wrapdefault\aspalpha\aspnum\faauto\adjustright\rin0\lin0\itap0 \rtlch\fcs1 \af0\afs20\alang1025 _x000d__x000a_\ltrch\fcs0 \i\fs24\lang1029\langfe2057\cgrid\langnp1029\langfenp2057 \sbasedon0 \snext22 \spriority0 \styrsid412254 AmCrossRef;}{\s23\qc \li0\ri0\sb240\sa240\keepn\nowidctlpar\wrapdefault\aspalpha\aspnum\faauto\adjustright\rin0\lin0\itap0 \rtlch\fcs1 _x000d__x000a_\af0\afs20\alang1025 \ltrch\fcs0 \i\fs24\lang1029\langfe2057\cgrid\langnp1029\langfenp2057 \sbasedon0 \snext21 \spriority0 \styrsid412254 AmJustTitle;}{_x000d__x000a_\s24\qr \li0\ri0\sb240\sa240\nowidctlpar\wrapdefault\aspalpha\aspnum\faauto\adjustright\rin0\lin0\itap0 \rtlch\fcs1 \af0\afs20\alang1025 \ltrch\fcs0 \fs24\lang1029\langfe2057\cgrid\langnp1029\langfenp2057 \sbasedon0 \snext24 \spriority0 \styrsid412254 _x000d__x000a_AmOrLang;}{\s25\qc \li0\ri0\sa240\nowidctlpar\wrapdefault\aspalpha\aspnum\faauto\adjustright\rin0\lin0\itap0 \rtlch\fcs1 \af0\afs20\alang1025 \ltrch\fcs0 \i\fs24\lang1029\langfe2057\cgrid\langnp1029\langfenp2057 _x000d__x000a_\sbasedon0 \snext25 \spriority0 \styrsid41225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6 \spriority0 \styrsid412254 AmNumberTabs;}{\s27\ql \li0\ri0\sb240\nowidctlpar\wrapdefault\aspalpha\aspnum\faauto\adjustright\rin0\lin0\itap0 \rtlch\fcs1 _x000d__x000a_\af0\afs20\alang1025 \ltrch\fcs0 \b\fs24\lang1029\langfe2057\cgrid\langnp1029\langfenp2057 \sbasedon0 \snext27 \spriority0 \styrsid412254 NormalBold12b;}}{\*\rsidtbl \rsid24658\rsid223860\rsid412254\rsid735077\rsid1718133\rsid2892074\rsid3565327_x000d__x000a_\rsid4666813\rsid6641733\rsid7823322\rsid9636012\rsid10377208\rsid11215221\rsid11549030\rsid11945066\rsid12154954\rsid14382809\rsid14424199\rsid15204470\rsid15285974\rsid15950462\rsid16324206\rsid16662270}{\mmathPr\mmathFont34\mbrkBin0\mbrkBinSub0_x000d__x000a_\msmallFrac0\mdispDef1\mlMargin0\mrMargin0\mdefJc1\mwrapIndent1440\mintLim0\mnaryLim1}{\info{\author SOCHOROVA Lenka}{\operator SOCHOROVA Lenka}{\creatim\yr2022\mo10\dy13\hr16\min39}{\revtim\yr2022\mo10\dy13\hr16\min39}{\version1}{\edmins0}{\nofpages1}_x000d__x000a_{\nofwords99}{\nofchars605}{\nofcharsws695}{\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412254\newtblstyruls\nogrowautofit\usenormstyforlist\noindnmbrts\felnbrelev\nocxsptable\indrlsweleven\noafcnsttbl\afelev\utinl\hwelev\spltpgpar\notcvasp\notbrkcnstfrctbl\notvatxbx\krnprsnet\cachedcolbal \nouicompat \fet0_x000d__x000a_{\*\wgrffmtfilter 013f}\nofeaturethrottle1\ilfomacatclnup0{\*\template C:\\Users\\LSOCHO~1\\AppData\\Local\\Temp\\Blank1.dotx}{\*\ftnsep \ltrpar \pard\plain \ltrpar\ql \li0\ri0\widctlpar\wrapdefault\aspalpha\aspnum\faauto\adjustright\rin0\lin0\itap0 _x000d__x000a_\rtlch\fcs1 \af0\afs20\alang1025 \ltrch\fcs0 \fs24\lang2057\langfe2057\cgrid\langnp2057\langfenp2057 {\rtlch\fcs1 \af0 \ltrch\fcs0 \insrsid11945066 \chftnsep _x000d__x000a_\par }}{\*\ftnsepc \ltrpar \pard\plain \ltrpar\ql \li0\ri0\widctlpar\wrapdefault\aspalpha\aspnum\faauto\adjustright\rin0\lin0\itap0 \rtlch\fcs1 \af0\afs20\alang1025 \ltrch\fcs0 \fs24\lang2057\langfe2057\cgrid\langnp2057\langfenp2057 {\rtlch\fcs1 \af0 _x000d__x000a_\ltrch\fcs0 \insrsid11945066 \chftnsepc _x000d__x000a_\par }}{\*\aftnsep \ltrpar \pard\plain \ltrpar\ql \li0\ri0\widctlpar\wrapdefault\aspalpha\aspnum\faauto\adjustright\rin0\lin0\itap0 \rtlch\fcs1 \af0\afs20\alang1025 \ltrch\fcs0 \fs24\lang2057\langfe2057\cgrid\langnp2057\langfenp2057 {\rtlch\fcs1 \af0 _x000d__x000a_\ltrch\fcs0 \insrsid11945066 \chftnsep _x000d__x000a_\par }}{\*\aftnsepc \ltrpar \pard\plain \ltrpar\ql \li0\ri0\widctlpar\wrapdefault\aspalpha\aspnum\faauto\adjustright\rin0\lin0\itap0 \rtlch\fcs1 \af0\afs20\alang1025 \ltrch\fcs0 \fs24\lang2057\langfe2057\cgrid\langnp2057\langfenp2057 {\rtlch\fcs1 \af0 _x000d__x000a_\ltrch\fcs0 \insrsid119450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2254 \rtlch\fcs1 _x000d__x000a_\af0\afs20\alang1025 \ltrch\fcs0 \b\fs24\lang1029\langfe2057\cgrid\langnp1029\langfenp2057 {\rtlch\fcs1 \af0 \ltrch\fcs0 \cs17\b0\v\fs20\cf9\loch\af1\hich\af1\dbch\af31501\insrsid412254\charrsid9597975 {\*\bkmkstart restart}\hich\af1\dbch\af31501\loch\f1 _x000d__x000a_&lt;Amend&gt;}{\rtlch\fcs1 \af302 \ltrch\fcs0 \f302\insrsid412254\charrsid9597975 Pozm\'ec\'f2ovac\'ed n\'e1vrh}{\rtlch\fcs1 \af0 \ltrch\fcs0 \insrsid412254\charrsid9597975 \tab \tab }{\rtlch\fcs1 \af0 \ltrch\fcs0 _x000d__x000a_\cs17\b0\v\fs20\cf9\loch\af1\hich\af1\dbch\af31501\insrsid412254\charrsid9597975 \hich\af1\dbch\af31501\loch\f1 &lt;NumAm&gt;}{\rtlch\fcs1 \af0 \ltrch\fcs0 \insrsid412254\charrsid9597975 #}{\rtlch\fcs1 \af1 \ltrch\fcs0 _x000d__x000a_\cs18\v\f1\fs20\cf15\insrsid412254\charrsid9597975 ENMIENDA@NRAM@}{\rtlch\fcs1 \af0 \ltrch\fcs0 \insrsid412254\charrsid9597975 #}{\rtlch\fcs1 \af0 \ltrch\fcs0 \cs17\b0\v\fs20\cf9\loch\af1\hich\af1\dbch\af31501\insrsid412254\charrsid9597975 _x000d__x000a_\hich\af1\dbch\af31501\loch\f1 &lt;/NumAm&gt;}{\rtlch\fcs1 \af0 \ltrch\fcs0 \insrsid412254\charrsid9597975 _x000d__x000a_\par }\pard\plain \ltrpar\s27\ql \li0\ri0\sb240\keepn\nowidctlpar\wrapdefault\aspalpha\aspnum\faauto\adjustright\rin0\lin0\itap0\pararsid412254 \rtlch\fcs1 \af0\afs20\alang1025 \ltrch\fcs0 \b\fs24\lang1029\langfe2057\cgrid\langnp1029\langfenp2057 {\rtlch\fcs1 _x000d__x000a_\af0 \ltrch\fcs0 \cs17\b0\v\fs20\cf9\loch\af1\hich\af1\dbch\af31501\insrsid412254\charrsid9597975 \hich\af1\dbch\af31501\loch\f1 &lt;DocAmend&gt;}{\rtlch\fcs1 \af0 \ltrch\fcs0 \insrsid412254\charrsid9597975 N\'e1vrh #}{\rtlch\fcs1 \af1 \ltrch\fcs0 _x000d__x000a_\cs18\v\f1\fs20\cf15\insrsid412254\charrsid9597975 MNU[DOC1][DOC2][DOC3]@DOCMSG@DOCMNU}{\rtlch\fcs1 \af0 \ltrch\fcs0 \insrsid412254\charrsid9597975 ##}{\rtlch\fcs1 \af1 \ltrch\fcs0 \cs18\v\f1\fs20\cf15\insrsid412254\charrsid9597975 _x000d__x000a_MNU[AMACTYES][NOTAPP]@CHOICE@AMACTMNU}{\rtlch\fcs1 \af0 \ltrch\fcs0 \insrsid412254\charrsid9597975 #}{\rtlch\fcs1 \af0 \ltrch\fcs0 \cs17\b0\v\fs20\cf9\loch\af1\hich\af1\dbch\af31501\insrsid412254\charrsid9597975 \hich\af1\dbch\af31501\loch\f1 &lt;/DocAmend&gt;}_x000d__x000a_{\rtlch\fcs1 \af0 \ltrch\fcs0 \insrsid412254\charrsid9597975 _x000d__x000a_\par }\pard\plain \ltrpar\s20\ql \li0\ri0\keepn\nowidctlpar\wrapdefault\aspalpha\aspnum\faauto\adjustright\rin0\lin0\itap0\pararsid412254 \rtlch\fcs1 \af0\afs20\alang1025 \ltrch\fcs0 \b\fs24\lang1029\langfe2057\cgrid\langnp1029\langfenp2057 {\rtlch\fcs1 \af0 _x000d__x000a_\ltrch\fcs0 \cs17\b0\v\fs20\cf9\loch\af1\hich\af1\dbch\af31501\insrsid412254\charrsid9597975 \hich\af1\dbch\af31501\loch\f1 &lt;Article&gt;}{\rtlch\fcs1 \af0 \ltrch\fcs0 \insrsid412254\charrsid9597975 #}{\rtlch\fcs1 \af1 \ltrch\fcs0 _x000d__x000a_\cs18\v\f1\fs20\cf15\insrsid412254\charrsid9597975 MNU[AMACTPARTYES][AMACTPARTNO]@CHOICE@AMACTMNU}{\rtlch\fcs1 \af0 \ltrch\fcs0 \insrsid412254\charrsid9597975 #}{\rtlch\fcs1 \af0 \ltrch\fcs0 _x000d__x000a_\cs17\b0\v\fs20\cf9\loch\af1\hich\af1\dbch\af31501\insrsid412254\charrsid9597975 \hich\af1\dbch\af31501\loch\f1 &lt;/Article&gt;}{\rtlch\fcs1 \af0 \ltrch\fcs0 \insrsid412254\charrsid9597975 _x000d__x000a_\par }\pard\plain \ltrpar\ql \li0\ri0\keepn\widctlpar\wrapdefault\aspalpha\aspnum\faauto\adjustright\rin0\lin0\itap0\pararsid412254 \rtlch\fcs1 \af0\afs20\alang1025 \ltrch\fcs0 \fs24\lang2057\langfe2057\cgrid\langnp2057\langfenp2057 {\rtlch\fcs1 \af0 _x000d__x000a_\ltrch\fcs0 \cs17\v\fs20\cf9\lang1029\langfe2057\loch\af1\hich\af1\dbch\af31501\langnp1029\insrsid412254\charrsid9597975 \hich\af1\dbch\af31501\loch\f1 &lt;DocAmend2&gt;&lt;OptDel&gt;}{\rtlch\fcs1 \af0 \ltrch\fcs0 _x000d__x000a_\lang1029\langfe2057\langnp1029\insrsid412254\charrsid9597975 #}{\rtlch\fcs1 \af1 \ltrch\fcs0 \cs18\v\f1\fs20\cf15\lang1029\langfe2057\langnp1029\insrsid412254\charrsid9597975 MNU[OPTNRACTYES][NOTAPP]@CHOICE@AMACTMNU}{\rtlch\fcs1 \af0 \ltrch\fcs0 _x000d__x000a_\lang1029\langfe2057\langnp1029\insrsid412254\charrsid9597975 #}{\rtlch\fcs1 \af0 \ltrch\fcs0 \cs17\v\fs20\cf9\lang1029\langfe2057\loch\af1\hich\af1\dbch\af31501\langnp1029\insrsid412254\charrsid9597975 \hich\af1\dbch\af31501\loch\f1 &lt;/OptDel&gt;&lt;/DocAmend2&gt;_x000d__x000a_}{\rtlch\fcs1 \af0 \ltrch\fcs0 \lang1029\langfe2057\langnp1029\insrsid412254\charrsid9597975 _x000d__x000a_\par }\pard \ltrpar\ql \li0\ri0\widctlpar\wrapdefault\aspalpha\aspnum\faauto\adjustright\rin0\lin0\itap0\pararsid412254 {\rtlch\fcs1 \af0 \ltrch\fcs0 \cs17\v\fs20\cf9\lang1029\langfe2057\loch\af1\hich\af1\dbch\af31501\langnp1029\insrsid412254\charrsid9597975 _x000d__x000a_\hich\af1\dbch\af31501\loch\f1 &lt;Article2&gt;&lt;OptDel&gt;}{\rtlch\fcs1 \af0 \ltrch\fcs0 \lang1029\langfe2057\langnp1029\insrsid412254\charrsid9597975 #}{\rtlch\fcs1 \af1 \ltrch\fcs0 _x000d__x000a_\cs18\v\f1\fs20\cf15\lang1029\langfe2057\langnp1029\insrsid412254\charrsid9597975 MNU[OPTACTPARTYES][NOTAPP]@CHOICE@AMACTMNU}{\rtlch\fcs1 \af0 \ltrch\fcs0 \lang1029\langfe2057\langnp1029\insrsid412254\charrsid9597975 #}{\rtlch\fcs1 \af0 \ltrch\fcs0 _x000d__x000a_\cs17\v\fs20\cf9\lang1029\langfe2057\loch\af1\hich\af1\dbch\af31501\langnp1029\insrsid412254\charrsid9597975 \hich\af1\dbch\af31501\loch\f1 &lt;/OptDel&gt;&lt;/Article2&gt;}{\rtlch\fcs1 \af0 \ltrch\fcs0 \lang1029\langfe2057\langnp1029\insrsid412254\charrsid9597975 _x000d__x000a_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29\langfe2057\langnp1029\insrsid412254\charrsid9597975 \cell }\pard\plain \ltrpar_x000d__x000a_\ql \li0\ri0\widctlpar\intbl\wrapdefault\aspalpha\aspnum\faauto\adjustright\rin0\lin0 \rtlch\fcs1 \af0\afs20\alang1025 \ltrch\fcs0 \fs24\lang2057\langfe2057\cgrid\langnp2057\langfenp2057 {\rtlch\fcs1 \af0 \ltrch\fcs0 _x000d__x000a_\lang1029\langfe2057\langnp1029\insrsid412254\charrsid9597975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29\langfe2057\cgrid\langnp1029\langfenp2057 {\rtlch\fcs1 \af0 \ltrch\fcs0 _x000d__x000a_\insrsid412254\charrsid9597975 #}{\rtlch\fcs1 \af1 \ltrch\fcs0 \cs18\v\f1\fs20\cf15\insrsid412254\charrsid9597975 MNU[OPTLEFTAMACT][LEFTPROP]@CHOICE@AMACTMNU}{\rtlch\fcs1 \af0 \ltrch\fcs0 \insrsid412254\charrsid9597975 #\cell }{\rtlch\fcs1 \af302 _x000d__x000a_\ltrch\fcs0 \f302\insrsid412254\charrsid9597975 Pozm\'ec\'f2ovac\'ed n\'e1vrh}{\rtlch\fcs1 \af0 \ltrch\fcs0 \insrsid412254\charrsid9597975 \cell }\pard\plain \ltrpar\ql \li0\ri0\widctlpar\intbl\wrapdefault\aspalpha\aspnum\faauto\adjustright\rin0\lin0 _x000d__x000a_\rtlch\fcs1 \af0\afs20\alang1025 \ltrch\fcs0 \fs24\lang2057\langfe2057\cgrid\langnp2057\langfenp2057 {\rtlch\fcs1 \af0 \ltrch\fcs0 \lang1029\langfe2057\langnp1029\insrsid412254\charrsid9597975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29\langfe2057\cgrid\langnp1029\langfenp2057 {\rtlch\fcs1 \af0 \ltrch\fcs0 _x000d__x000a_\insrsid412254\charrsid9597975 ##\cell ##}{\rtlch\fcs1 \af0\afs24 \ltrch\fcs0 \insrsid412254\charrsid9597975 \cell }\pard\plain \ltrpar\ql \li0\ri0\widctlpar\intbl\wrapdefault\aspalpha\aspnum\faauto\adjustright\rin0\lin0 \rtlch\fcs1 \af0\afs20\alang1025 _x000d__x000a_\ltrch\fcs0 \fs24\lang2057\langfe2057\cgrid\langnp2057\langfenp2057 {\rtlch\fcs1 \af0 \ltrch\fcs0 \lang1029\langfe2057\langnp1029\insrsid412254\charrsid9597975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412254 \rtlch\fcs1 \af0\afs20\alang1025 \ltrch\fcs0 \fs24\lang1029\langfe2057\cgrid\langnp1029\langfenp2057 {\rtlch\fcs1 \af0 \ltrch\fcs0 _x000d__x000a_\insrsid412254\charrsid9597975 Or. }{\rtlch\fcs1 \af0 \ltrch\fcs0 \cs17\v\fs20\cf9\loch\af1\hich\af1\dbch\af31501\insrsid412254\charrsid9597975 \hich\af1\dbch\af31501\loch\f1 &lt;Original&gt;}{\rtlch\fcs1 \af0 \ltrch\fcs0 \insrsid412254\charrsid9597975 #}{_x000d__x000a_\rtlch\fcs1 \af1 \ltrch\fcs0 \cs18\v\f1\fs20\cf15\insrsid412254\charrsid9597975 MNU[ORLANGONE][ORLANGMORE]@CHOICE@ORLANGMNU}{\rtlch\fcs1 \af0 \ltrch\fcs0 \insrsid412254\charrsid9597975 #}{\rtlch\fcs1 \af0 \ltrch\fcs0 _x000d__x000a_\cs17\v\fs20\cf9\loch\af1\hich\af1\dbch\af31501\insrsid412254\charrsid9597975 \hich\af1\dbch\af31501\loch\f1 &lt;/Original&gt;}{\rtlch\fcs1 \af0 \ltrch\fcs0 \insrsid412254\charrsid9597975 _x000d__x000a_\par }\pard\plain \ltrpar\s22\qc \li0\ri0\sb240\sa240\nowidctlpar\wrapdefault\aspalpha\aspnum\faauto\adjustright\rin0\lin0\itap0\pararsid412254 \rtlch\fcs1 \af0\afs20\alang1025 \ltrch\fcs0 \i\fs24\lang1029\langfe2057\cgrid\langnp1029\langfenp2057 {\rtlch\fcs1 _x000d__x000a_\af0 \ltrch\fcs0 \cs17\i0\v\fs20\cf9\loch\af1\hich\af1\dbch\af31501\insrsid412254\charrsid9597975 \hich\af1\dbch\af31501\loch\f1 &lt;OptDel&gt;}{\rtlch\fcs1 \af0 \ltrch\fcs0 \insrsid412254\charrsid9597975 #}{\rtlch\fcs1 \af1 \ltrch\fcs0 _x000d__x000a_\cs18\v\f1\fs20\cf15\insrsid412254\charrsid9597975 MNU[CROSSREFNO][CROSSREFYES]@CHOICE@}{\rtlch\fcs1 \af0 \ltrch\fcs0 \insrsid412254\charrsid9597975 #}{\rtlch\fcs1 \af0 \ltrch\fcs0 _x000d__x000a_\cs17\i0\v\fs20\cf9\loch\af1\hich\af1\dbch\af31501\insrsid412254\charrsid9597975 \hich\af1\dbch\af31501\loch\f1 &lt;/OptDel&gt;}{\rtlch\fcs1 \af0 \ltrch\fcs0 \insrsid412254\charrsid9597975 _x000d__x000a_\par }\pard\plain \ltrpar\s23\qc \li0\ri0\sb240\sa240\keepn\nowidctlpar\wrapdefault\aspalpha\aspnum\faauto\adjustright\rin0\lin0\itap0\pararsid412254 \rtlch\fcs1 \af0\afs20\alang1025 \ltrch\fcs0 \i\fs24\lang1029\langfe2057\cgrid\langnp1029\langfenp2057 {_x000d__x000a_\rtlch\fcs1 \af0 \ltrch\fcs0 \cs17\i0\v\fs20\cf9\loch\af1\hich\af1\dbch\af31501\insrsid412254\charrsid9597975 \hich\af1\dbch\af31501\loch\f1 &lt;TitreJust&gt;}{\rtlch\fcs1 \af302 \ltrch\fcs0 \f302\insrsid412254\charrsid9597975 Od\'f9vodn\'ecn\'ed}{\rtlch\fcs1 _x000d__x000a_\af0 \ltrch\fcs0 \cs17\i0\v\fs20\cf9\loch\af1\hich\af1\dbch\af31501\insrsid412254\charrsid9597975 \hich\af1\dbch\af31501\loch\f1 &lt;/TitreJust&gt;}{\rtlch\fcs1 \af0 \ltrch\fcs0 \insrsid412254\charrsid9597975 _x000d__x000a_\par }\pard\plain \ltrpar\s21\ql \li0\ri0\sa240\nowidctlpar\wrapdefault\aspalpha\aspnum\faauto\adjustright\rin0\lin0\itap0\pararsid412254 \rtlch\fcs1 \af0\afs20\alang1025 \ltrch\fcs0 \i\fs24\lang1029\langfe2057\cgrid\langnp1029\langfenp2057 {\rtlch\fcs1 \af0 _x000d__x000a_\ltrch\fcs0 \cs17\i0\v\fs20\cf9\loch\af1\hich\af1\dbch\af31501\insrsid412254\charrsid9597975 \hich\af1\dbch\af31501\loch\f1 &lt;OptDelPrev&gt;}{\rtlch\fcs1 \af0 \ltrch\fcs0 \insrsid412254\charrsid9597975 #}{\rtlch\fcs1 \af1 \ltrch\fcs0 _x000d__x000a_\cs18\v\f1\fs20\cf15\insrsid412254\charrsid9597975 MNU[TEXTJUSTYES][TEXTJUSTNO]@CHOICE@}{\rtlch\fcs1 \af0 \ltrch\fcs0 \insrsid412254\charrsid9597975 #}{\rtlch\fcs1 \af0 \ltrch\fcs0 _x000d__x000a_\cs17\i0\v\fs20\cf9\loch\af1\hich\af1\dbch\af31501\insrsid412254\charrsid9597975 \hich\af1\dbch\af31501\loch\f1 &lt;/OptDelPrev&gt;}{\rtlch\fcs1 \af0 \ltrch\fcs0 \insrsid412254\charrsid9597975 _x000d__x000a_\par }\pard\plain \ltrpar\ql \li0\ri0\widctlpar\wrapdefault\aspalpha\aspnum\faauto\adjustright\rin0\lin0\itap0\pararsid412254 \rtlch\fcs1 \af0\afs20\alang1025 \ltrch\fcs0 \fs24\lang2057\langfe2057\cgrid\langnp2057\langfenp2057 {\rtlch\fcs1 \af0 \ltrch\fcs0 _x000d__x000a_\cs17\v\fs20\cf9\lang1029\langfe2057\loch\af1\hich\af1\dbch\af31501\langnp1029\insrsid412254\charrsid959797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e7_x000d__x000a_a98d11df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5"/>
    <w:docVar w:name="TXTAUTHOR" w:val="Jonás Fernández"/>
    <w:docVar w:name="TXTLANGUE" w:val="CS"/>
    <w:docVar w:name="TXTLANGUEMIN" w:val="cs"/>
    <w:docVar w:name="TXTNRC" w:val="0134/2023"/>
    <w:docVar w:name="TXTNRCOD" w:val="2023/0113"/>
    <w:docVar w:name="TXTNRPE" w:val="752.913"/>
    <w:docVar w:name="TXTPEorAP" w:val="PE"/>
    <w:docVar w:name="TXTROUTE" w:val="PR\1285454CS.docx"/>
    <w:docVar w:name="TXTTITLE" w:val="amending Directive 2014/59/EU and Regulation (EU) No 806/2014 as regards certain aspects of the minimum requirement for own funds and eligible liabilities"/>
    <w:docVar w:name="TXTVERSION" w:val="01-00"/>
  </w:docVars>
  <w:rsids>
    <w:rsidRoot w:val="0030050B"/>
    <w:rsid w:val="00011AAB"/>
    <w:rsid w:val="00012351"/>
    <w:rsid w:val="000139E5"/>
    <w:rsid w:val="000445B8"/>
    <w:rsid w:val="00084DD2"/>
    <w:rsid w:val="00084E89"/>
    <w:rsid w:val="000B7489"/>
    <w:rsid w:val="000C31E2"/>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91397"/>
    <w:rsid w:val="002D13EE"/>
    <w:rsid w:val="002E33EE"/>
    <w:rsid w:val="002F40BB"/>
    <w:rsid w:val="002F4B02"/>
    <w:rsid w:val="0030050B"/>
    <w:rsid w:val="003112AB"/>
    <w:rsid w:val="00323EF8"/>
    <w:rsid w:val="003316DD"/>
    <w:rsid w:val="00366A46"/>
    <w:rsid w:val="00370AC3"/>
    <w:rsid w:val="003824EE"/>
    <w:rsid w:val="003B4689"/>
    <w:rsid w:val="003C2068"/>
    <w:rsid w:val="003C37CF"/>
    <w:rsid w:val="004100B1"/>
    <w:rsid w:val="00426E47"/>
    <w:rsid w:val="00432B3D"/>
    <w:rsid w:val="00455743"/>
    <w:rsid w:val="00461601"/>
    <w:rsid w:val="0046639E"/>
    <w:rsid w:val="004C0915"/>
    <w:rsid w:val="004D424E"/>
    <w:rsid w:val="004E42C8"/>
    <w:rsid w:val="004E733D"/>
    <w:rsid w:val="004F3FA5"/>
    <w:rsid w:val="0051271F"/>
    <w:rsid w:val="00521F46"/>
    <w:rsid w:val="00525A4F"/>
    <w:rsid w:val="00551111"/>
    <w:rsid w:val="00551123"/>
    <w:rsid w:val="00570A6A"/>
    <w:rsid w:val="00586E50"/>
    <w:rsid w:val="0059583D"/>
    <w:rsid w:val="005A42D9"/>
    <w:rsid w:val="005C2BEF"/>
    <w:rsid w:val="005D1A99"/>
    <w:rsid w:val="005D7609"/>
    <w:rsid w:val="005D7EE8"/>
    <w:rsid w:val="00615424"/>
    <w:rsid w:val="00632E30"/>
    <w:rsid w:val="00642325"/>
    <w:rsid w:val="0069092A"/>
    <w:rsid w:val="006A2F5D"/>
    <w:rsid w:val="006A64AD"/>
    <w:rsid w:val="006F21B3"/>
    <w:rsid w:val="006F4E71"/>
    <w:rsid w:val="006F7907"/>
    <w:rsid w:val="00740116"/>
    <w:rsid w:val="00743189"/>
    <w:rsid w:val="00743D33"/>
    <w:rsid w:val="007932B3"/>
    <w:rsid w:val="00793EA9"/>
    <w:rsid w:val="007D6F68"/>
    <w:rsid w:val="00817843"/>
    <w:rsid w:val="00823E6B"/>
    <w:rsid w:val="00826780"/>
    <w:rsid w:val="00837CCD"/>
    <w:rsid w:val="008633CC"/>
    <w:rsid w:val="00865190"/>
    <w:rsid w:val="008719B9"/>
    <w:rsid w:val="00894923"/>
    <w:rsid w:val="00894ECE"/>
    <w:rsid w:val="00896BB4"/>
    <w:rsid w:val="008A7FB8"/>
    <w:rsid w:val="008C37B3"/>
    <w:rsid w:val="008F1BC6"/>
    <w:rsid w:val="009022B8"/>
    <w:rsid w:val="00914537"/>
    <w:rsid w:val="00917CC4"/>
    <w:rsid w:val="009763DA"/>
    <w:rsid w:val="009975B3"/>
    <w:rsid w:val="009A216D"/>
    <w:rsid w:val="009A2DF6"/>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20954"/>
    <w:rsid w:val="00C23324"/>
    <w:rsid w:val="00C42A41"/>
    <w:rsid w:val="00C47E74"/>
    <w:rsid w:val="00C57A72"/>
    <w:rsid w:val="00C73602"/>
    <w:rsid w:val="00C85D0F"/>
    <w:rsid w:val="00C94FDC"/>
    <w:rsid w:val="00CE2D6A"/>
    <w:rsid w:val="00CE449B"/>
    <w:rsid w:val="00CF60C8"/>
    <w:rsid w:val="00D30DE2"/>
    <w:rsid w:val="00D32924"/>
    <w:rsid w:val="00D503A3"/>
    <w:rsid w:val="00DA6ED0"/>
    <w:rsid w:val="00DC5011"/>
    <w:rsid w:val="00E171B6"/>
    <w:rsid w:val="00E72695"/>
    <w:rsid w:val="00EB1753"/>
    <w:rsid w:val="00EB6CFF"/>
    <w:rsid w:val="00EE3996"/>
    <w:rsid w:val="00F0610C"/>
    <w:rsid w:val="00F07062"/>
    <w:rsid w:val="00F23CFC"/>
    <w:rsid w:val="00F433E2"/>
    <w:rsid w:val="00F46C37"/>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416885-E0C4-44D2-BD22-5F98A457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615424"/>
    <w:pPr>
      <w:tabs>
        <w:tab w:val="right" w:pos="454"/>
        <w:tab w:val="left" w:pos="737"/>
      </w:tabs>
      <w:ind w:left="737" w:hanging="737"/>
    </w:pPr>
    <w:rPr>
      <w:snapToGrid w:val="0"/>
      <w:sz w:val="18"/>
      <w:lang w:eastAsia="en-US"/>
    </w:rPr>
  </w:style>
  <w:style w:type="paragraph" w:customStyle="1" w:styleId="Lgendetitre">
    <w:name w:val="Légende titre"/>
    <w:basedOn w:val="Normal"/>
    <w:rsid w:val="00615424"/>
    <w:pPr>
      <w:spacing w:before="240" w:after="240"/>
    </w:pPr>
    <w:rPr>
      <w:b/>
      <w:i/>
      <w:snapToGrid w:val="0"/>
      <w:lang w:eastAsia="en-US"/>
    </w:rPr>
  </w:style>
  <w:style w:type="paragraph" w:customStyle="1" w:styleId="Lgendestandard">
    <w:name w:val="Légende standard"/>
    <w:basedOn w:val="Normal"/>
    <w:rsid w:val="00615424"/>
    <w:rPr>
      <w:sz w:val="18"/>
    </w:rPr>
  </w:style>
  <w:style w:type="paragraph" w:styleId="FootnoteText">
    <w:name w:val="footnote text"/>
    <w:basedOn w:val="Normal"/>
    <w:link w:val="FootnoteTextChar"/>
    <w:rsid w:val="00615424"/>
    <w:rPr>
      <w:sz w:val="20"/>
    </w:rPr>
  </w:style>
  <w:style w:type="character" w:customStyle="1" w:styleId="FootnoteTextChar">
    <w:name w:val="Footnote Text Char"/>
    <w:basedOn w:val="DefaultParagraphFont"/>
    <w:link w:val="FootnoteText"/>
    <w:rsid w:val="00615424"/>
  </w:style>
  <w:style w:type="character" w:styleId="FootnoteReference">
    <w:name w:val="footnote reference"/>
    <w:basedOn w:val="DefaultParagraphFont"/>
    <w:rsid w:val="00615424"/>
    <w:rPr>
      <w:vertAlign w:val="superscript"/>
    </w:rPr>
  </w:style>
  <w:style w:type="character" w:customStyle="1" w:styleId="Normal6Char">
    <w:name w:val="Normal6 Char"/>
    <w:basedOn w:val="DefaultParagraphFont"/>
    <w:link w:val="Normal6"/>
    <w:locked/>
    <w:rsid w:val="00615424"/>
    <w:rPr>
      <w:sz w:val="24"/>
      <w:lang w:val="cs-CZ"/>
    </w:rPr>
  </w:style>
  <w:style w:type="paragraph" w:customStyle="1" w:styleId="Normal6">
    <w:name w:val="Normal6"/>
    <w:basedOn w:val="Normal"/>
    <w:link w:val="Normal6Char"/>
    <w:rsid w:val="00615424"/>
    <w:pPr>
      <w:spacing w:after="120"/>
    </w:pPr>
  </w:style>
  <w:style w:type="character" w:customStyle="1" w:styleId="NormalBoldChar">
    <w:name w:val="NormalBold Char"/>
    <w:basedOn w:val="DefaultParagraphFont"/>
    <w:link w:val="NormalBold"/>
    <w:locked/>
    <w:rsid w:val="00615424"/>
    <w:rPr>
      <w:b/>
      <w:sz w:val="24"/>
      <w:lang w:val="cs-CZ"/>
    </w:rPr>
  </w:style>
  <w:style w:type="paragraph" w:customStyle="1" w:styleId="ColumnHeading">
    <w:name w:val="ColumnHeading"/>
    <w:basedOn w:val="Normal"/>
    <w:rsid w:val="00615424"/>
    <w:pPr>
      <w:spacing w:after="240"/>
      <w:jc w:val="center"/>
    </w:pPr>
    <w:rPr>
      <w:i/>
    </w:rPr>
  </w:style>
  <w:style w:type="paragraph" w:customStyle="1" w:styleId="AMNumberTabs0">
    <w:name w:val="AMNumberTabs"/>
    <w:basedOn w:val="Normal"/>
    <w:rsid w:val="0061542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615424"/>
    <w:pPr>
      <w:jc w:val="right"/>
    </w:pPr>
  </w:style>
  <w:style w:type="paragraph" w:styleId="Footer">
    <w:name w:val="footer"/>
    <w:basedOn w:val="Normal"/>
    <w:link w:val="FooterChar"/>
    <w:semiHidden/>
    <w:rsid w:val="00615424"/>
    <w:pPr>
      <w:tabs>
        <w:tab w:val="center" w:pos="4513"/>
        <w:tab w:val="right" w:pos="9026"/>
      </w:tabs>
    </w:pPr>
  </w:style>
  <w:style w:type="character" w:customStyle="1" w:styleId="FooterChar">
    <w:name w:val="Footer Char"/>
    <w:basedOn w:val="DefaultParagraphFont"/>
    <w:link w:val="Footer"/>
    <w:semiHidden/>
    <w:rsid w:val="00615424"/>
    <w:rPr>
      <w:sz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F42DC-6165-427D-ADD7-40FBB9C39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5807</Words>
  <Characters>33629</Characters>
  <Application>Microsoft Office Word</Application>
  <DocSecurity>0</DocSecurity>
  <Lines>1201</Lines>
  <Paragraphs>283</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39153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SOCHOROVA Lenka</dc:creator>
  <cp:lastModifiedBy>OSLADILOVA Jana</cp:lastModifiedBy>
  <cp:revision>2</cp:revision>
  <cp:lastPrinted>2004-11-04T09:41:00Z</cp:lastPrinted>
  <dcterms:created xsi:type="dcterms:W3CDTF">2023-09-25T13:47:00Z</dcterms:created>
  <dcterms:modified xsi:type="dcterms:W3CDTF">2023-09-25T13:47:00Z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1285454</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\\eiciLUXpr1\pdocep$\DocEP\TRANSFIL\CS\PR_COD_1amCom.CS(29/06/2022 10:20:42)</vt:lpwstr>
  </property>
  <property fmtid="{D5CDD505-2E9C-101B-9397-08002B2CF9AE}" pid="7" name="&lt;Type&gt;">
    <vt:lpwstr>PR</vt:lpwstr>
  </property>
  <property fmtid="{D5CDD505-2E9C-101B-9397-08002B2CF9AE}" pid="8" name="Bookout">
    <vt:lpwstr>OK - 2023/09/25 15:47</vt:lpwstr>
  </property>
  <property fmtid="{D5CDD505-2E9C-101B-9397-08002B2CF9AE}" pid="9" name="Created with">
    <vt:lpwstr>9.14.1 Build [20230315]</vt:lpwstr>
  </property>
  <property fmtid="{D5CDD505-2E9C-101B-9397-08002B2CF9AE}" pid="10" name="FooterPath">
    <vt:lpwstr>PR\1285454CS.docx</vt:lpwstr>
  </property>
  <property fmtid="{D5CDD505-2E9C-101B-9397-08002B2CF9AE}" pid="11" name="LastEdited with">
    <vt:lpwstr>9.14.1 Build [20230315]</vt:lpwstr>
  </property>
  <property fmtid="{D5CDD505-2E9C-101B-9397-08002B2CF9AE}" pid="12" name="PE number">
    <vt:lpwstr>752.913</vt:lpwstr>
  </property>
  <property fmtid="{D5CDD505-2E9C-101B-9397-08002B2CF9AE}" pid="13" name="SDLStudio">
    <vt:lpwstr/>
  </property>
</Properties>
</file>