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072" w:type="dxa"/>
        <w:tblCellMar>
          <w:left w:w="0" w:type="dxa"/>
          <w:right w:w="0" w:type="dxa"/>
        </w:tblCellMar>
        <w:tblLook w:val="01E0" w:firstRow="1" w:lastRow="1" w:firstColumn="1" w:lastColumn="1" w:noHBand="0" w:noVBand="0"/>
      </w:tblPr>
      <w:tblGrid>
        <w:gridCol w:w="6804"/>
        <w:gridCol w:w="2268"/>
      </w:tblGrid>
      <w:tr w:rsidR="00112990" w:rsidRPr="00D5748F" w:rsidTr="00DA0796">
        <w:trPr>
          <w:trHeight w:hRule="exact" w:val="1418"/>
        </w:trPr>
        <w:tc>
          <w:tcPr>
            <w:tcW w:w="6804" w:type="dxa"/>
            <w:shd w:val="clear" w:color="auto" w:fill="auto"/>
            <w:vAlign w:val="center"/>
          </w:tcPr>
          <w:p w:rsidR="00B13D6F" w:rsidRPr="00D5748F" w:rsidRDefault="0020623A" w:rsidP="00DA0796">
            <w:pPr>
              <w:pStyle w:val="EPName"/>
            </w:pPr>
            <w:r w:rsidRPr="00D5748F">
              <w:t>Europa-Parlamentet</w:t>
            </w:r>
          </w:p>
          <w:p w:rsidR="00B13D6F" w:rsidRPr="00D5748F" w:rsidRDefault="0020623A" w:rsidP="006F1136">
            <w:pPr>
              <w:pStyle w:val="EPTerm"/>
            </w:pPr>
            <w:r w:rsidRPr="00D5748F">
              <w:t>2019-2024</w:t>
            </w:r>
          </w:p>
        </w:tc>
        <w:tc>
          <w:tcPr>
            <w:tcW w:w="2268" w:type="dxa"/>
            <w:shd w:val="clear" w:color="auto" w:fill="auto"/>
          </w:tcPr>
          <w:p w:rsidR="00B13D6F" w:rsidRPr="00D5748F" w:rsidRDefault="0020623A" w:rsidP="00DA0796">
            <w:pPr>
              <w:pStyle w:val="EPLogo"/>
            </w:pPr>
            <w:r w:rsidRPr="00D5748F">
              <w:rPr>
                <w:noProof/>
                <w:lang w:eastAsia="da-DK"/>
              </w:rPr>
              <w:drawing>
                <wp:inline distT="0" distB="0" distL="0" distR="0">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EP logo RGB_Mute"/>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1158875" cy="652145"/>
                          </a:xfrm>
                          <a:prstGeom prst="rect">
                            <a:avLst/>
                          </a:prstGeom>
                          <a:noFill/>
                          <a:ln>
                            <a:noFill/>
                          </a:ln>
                        </pic:spPr>
                      </pic:pic>
                    </a:graphicData>
                  </a:graphic>
                </wp:inline>
              </w:drawing>
            </w:r>
          </w:p>
        </w:tc>
      </w:tr>
    </w:tbl>
    <w:p w:rsidR="00461601" w:rsidRPr="00D5748F" w:rsidRDefault="00461601" w:rsidP="00461601">
      <w:pPr>
        <w:pStyle w:val="LineTop"/>
      </w:pPr>
    </w:p>
    <w:p w:rsidR="00461601" w:rsidRPr="00D5748F" w:rsidRDefault="0020623A" w:rsidP="00461601">
      <w:pPr>
        <w:pStyle w:val="EPBody"/>
      </w:pPr>
      <w:r w:rsidRPr="00D5748F">
        <w:rPr>
          <w:rStyle w:val="HideTWBExt"/>
        </w:rPr>
        <w:t>&lt;</w:t>
      </w:r>
      <w:r w:rsidRPr="00D5748F">
        <w:rPr>
          <w:rStyle w:val="HideTWBExt"/>
          <w:i w:val="0"/>
        </w:rPr>
        <w:t>Commission</w:t>
      </w:r>
      <w:r w:rsidRPr="00D5748F">
        <w:rPr>
          <w:rStyle w:val="HideTWBExt"/>
        </w:rPr>
        <w:t>&gt;</w:t>
      </w:r>
      <w:r w:rsidRPr="00D5748F">
        <w:rPr>
          <w:rStyle w:val="HideTWBInt"/>
          <w:color w:val="auto"/>
        </w:rPr>
        <w:t>{ECON}</w:t>
      </w:r>
      <w:r w:rsidRPr="00D5748F">
        <w:t>Økonomi- og Valutaudvalget</w:t>
      </w:r>
      <w:r w:rsidRPr="00D5748F">
        <w:rPr>
          <w:rStyle w:val="HideTWBExt"/>
        </w:rPr>
        <w:t>&lt;/</w:t>
      </w:r>
      <w:r w:rsidRPr="00D5748F">
        <w:rPr>
          <w:rStyle w:val="HideTWBExt"/>
          <w:i w:val="0"/>
        </w:rPr>
        <w:t>Commission</w:t>
      </w:r>
      <w:r w:rsidRPr="00D5748F">
        <w:rPr>
          <w:rStyle w:val="HideTWBExt"/>
        </w:rPr>
        <w:t>&gt;</w:t>
      </w:r>
    </w:p>
    <w:p w:rsidR="00461601" w:rsidRPr="00D5748F" w:rsidRDefault="00461601" w:rsidP="00461601">
      <w:pPr>
        <w:pStyle w:val="LineBottom"/>
      </w:pPr>
    </w:p>
    <w:p w:rsidR="00793EA9" w:rsidRPr="00D5748F" w:rsidRDefault="0020623A">
      <w:pPr>
        <w:pStyle w:val="CoverReference"/>
      </w:pPr>
      <w:r w:rsidRPr="00D5748F">
        <w:rPr>
          <w:rStyle w:val="HideTWBExt"/>
          <w:b w:val="0"/>
        </w:rPr>
        <w:t>&lt;RefProc&gt;</w:t>
      </w:r>
      <w:r w:rsidRPr="00D5748F">
        <w:t>2023/0113</w:t>
      </w:r>
      <w:r w:rsidRPr="00D5748F">
        <w:rPr>
          <w:rStyle w:val="HideTWBExt"/>
          <w:b w:val="0"/>
        </w:rPr>
        <w:t>&lt;/RefProc&gt;&lt;RefTypeProc&gt;</w:t>
      </w:r>
      <w:r w:rsidRPr="00D5748F">
        <w:t>(COD)</w:t>
      </w:r>
      <w:r w:rsidRPr="00D5748F">
        <w:rPr>
          <w:rStyle w:val="HideTWBExt"/>
          <w:b w:val="0"/>
        </w:rPr>
        <w:t>&lt;/RefTypeProc&gt;</w:t>
      </w:r>
    </w:p>
    <w:p w:rsidR="00793EA9" w:rsidRPr="00D5748F" w:rsidRDefault="0020623A">
      <w:pPr>
        <w:pStyle w:val="CoverDate"/>
      </w:pPr>
      <w:r w:rsidRPr="00D5748F">
        <w:rPr>
          <w:rStyle w:val="HideTWBExt"/>
        </w:rPr>
        <w:t>&lt;Date&gt;</w:t>
      </w:r>
      <w:r w:rsidRPr="00D5748F">
        <w:rPr>
          <w:rStyle w:val="HideTWBInt"/>
          <w:color w:val="auto"/>
        </w:rPr>
        <w:t>{11/09/2023}</w:t>
      </w:r>
      <w:r w:rsidRPr="00D5748F">
        <w:t>11.9.2023</w:t>
      </w:r>
      <w:r w:rsidRPr="00D5748F">
        <w:rPr>
          <w:rStyle w:val="HideTWBExt"/>
        </w:rPr>
        <w:t>&lt;/Date&gt;</w:t>
      </w:r>
    </w:p>
    <w:p w:rsidR="00793EA9" w:rsidRPr="00D5748F" w:rsidRDefault="0020623A">
      <w:pPr>
        <w:pStyle w:val="CoverDocType"/>
      </w:pPr>
      <w:r w:rsidRPr="00D5748F">
        <w:rPr>
          <w:rStyle w:val="HideTWBExt"/>
          <w:b w:val="0"/>
        </w:rPr>
        <w:t>&lt;RefProcLect&gt;</w:t>
      </w:r>
      <w:r w:rsidRPr="00D5748F">
        <w:t>***I</w:t>
      </w:r>
      <w:r w:rsidRPr="00D5748F">
        <w:rPr>
          <w:rStyle w:val="HideTWBExt"/>
          <w:b w:val="0"/>
        </w:rPr>
        <w:t>&lt;/RefProcLect&gt;</w:t>
      </w:r>
    </w:p>
    <w:p w:rsidR="00793EA9" w:rsidRPr="00D5748F" w:rsidRDefault="0020623A">
      <w:pPr>
        <w:pStyle w:val="CoverDocType24a"/>
      </w:pPr>
      <w:r w:rsidRPr="00D5748F">
        <w:rPr>
          <w:rStyle w:val="HideTWBExt"/>
          <w:b w:val="0"/>
        </w:rPr>
        <w:t>&lt;TitreType&gt;</w:t>
      </w:r>
      <w:r w:rsidRPr="00D5748F">
        <w:t>UDKAST TIL BETÆNKNING</w:t>
      </w:r>
      <w:r w:rsidRPr="00D5748F">
        <w:rPr>
          <w:rStyle w:val="HideTWBExt"/>
          <w:b w:val="0"/>
        </w:rPr>
        <w:t>&lt;/TitreType&gt;</w:t>
      </w:r>
    </w:p>
    <w:p w:rsidR="00793EA9" w:rsidRPr="00D5748F" w:rsidRDefault="0020623A">
      <w:pPr>
        <w:pStyle w:val="CoverNormal"/>
      </w:pPr>
      <w:r w:rsidRPr="00D5748F">
        <w:rPr>
          <w:rStyle w:val="HideTWBExt"/>
        </w:rPr>
        <w:t>&lt;Titre&gt;</w:t>
      </w:r>
      <w:r w:rsidRPr="00D5748F">
        <w:t>om forslag til Europa-Parlamentets og Rådets direktiv om ændring af direktiv 2014/59/EU og forordning (EU) nr. 806/2014 for så vidt angår visse aspekter af minimumskravet til kapitalgrundlag og nedskrivningsrelevante passiver</w:t>
      </w:r>
      <w:r w:rsidRPr="00D5748F">
        <w:rPr>
          <w:rStyle w:val="HideTWBExt"/>
        </w:rPr>
        <w:t>&lt;/Titre&gt;</w:t>
      </w:r>
    </w:p>
    <w:p w:rsidR="00793EA9" w:rsidRPr="00D5748F" w:rsidRDefault="0020623A">
      <w:pPr>
        <w:pStyle w:val="CoverNormal24a"/>
      </w:pPr>
      <w:r w:rsidRPr="00D5748F">
        <w:rPr>
          <w:rStyle w:val="HideTWBExt"/>
        </w:rPr>
        <w:t>&lt;D</w:t>
      </w:r>
      <w:r w:rsidRPr="00D5748F">
        <w:rPr>
          <w:rStyle w:val="HideTWBExt"/>
        </w:rPr>
        <w:t>ocRef&gt;</w:t>
      </w:r>
      <w:r w:rsidRPr="00D5748F">
        <w:t>(COM(2023)0229 – C9</w:t>
      </w:r>
      <w:r w:rsidRPr="00D5748F">
        <w:noBreakHyphen/>
        <w:t>0134/2023 – 2023/0113(COD))</w:t>
      </w:r>
      <w:r w:rsidRPr="00D5748F">
        <w:rPr>
          <w:rStyle w:val="HideTWBExt"/>
        </w:rPr>
        <w:t>&lt;/DocRef&gt;</w:t>
      </w:r>
    </w:p>
    <w:p w:rsidR="00793EA9" w:rsidRPr="00D5748F" w:rsidRDefault="0020623A">
      <w:pPr>
        <w:pStyle w:val="CoverNormal24a"/>
      </w:pPr>
      <w:r w:rsidRPr="00D5748F">
        <w:rPr>
          <w:rStyle w:val="HideTWBExt"/>
        </w:rPr>
        <w:t>&lt;Commission&gt;</w:t>
      </w:r>
      <w:r w:rsidRPr="00D5748F">
        <w:rPr>
          <w:rStyle w:val="HideTWBInt"/>
          <w:color w:val="auto"/>
        </w:rPr>
        <w:t>{ECON}</w:t>
      </w:r>
      <w:r w:rsidRPr="00D5748F">
        <w:t>Økonomi- og Valutaudvalget</w:t>
      </w:r>
      <w:r w:rsidRPr="00D5748F">
        <w:rPr>
          <w:rStyle w:val="HideTWBExt"/>
        </w:rPr>
        <w:t>&lt;/Commission&gt;</w:t>
      </w:r>
    </w:p>
    <w:p w:rsidR="00793EA9" w:rsidRPr="00D5748F" w:rsidRDefault="0020623A">
      <w:pPr>
        <w:pStyle w:val="CoverNormal24a"/>
      </w:pPr>
      <w:r w:rsidRPr="00D5748F">
        <w:t xml:space="preserve">Ordfører: </w:t>
      </w:r>
      <w:r w:rsidRPr="00D5748F">
        <w:rPr>
          <w:rStyle w:val="HideTWBExt"/>
        </w:rPr>
        <w:t>&lt;Depute&gt;</w:t>
      </w:r>
      <w:r w:rsidRPr="00D5748F">
        <w:t>Jonás Fernández</w:t>
      </w:r>
      <w:r w:rsidRPr="00D5748F">
        <w:rPr>
          <w:rStyle w:val="HideTWBExt"/>
        </w:rPr>
        <w:t>&lt;/Depute&gt;</w:t>
      </w:r>
    </w:p>
    <w:p w:rsidR="001C5B44" w:rsidRPr="00D5748F" w:rsidRDefault="001C5B44" w:rsidP="001C5B44">
      <w:pPr>
        <w:pStyle w:val="CoverNormal"/>
      </w:pPr>
    </w:p>
    <w:p w:rsidR="006F1136" w:rsidRPr="00D5748F" w:rsidRDefault="0020623A" w:rsidP="00DA0796">
      <w:r w:rsidRPr="00D5748F">
        <w:br w:type="page"/>
      </w:r>
      <w:fldSimple w:instr=" TITLE  \* MERGEFORMAT ">
        <w:r>
          <w:t>PR_COD_1amCom</w:t>
        </w:r>
      </w:fldSimple>
    </w:p>
    <w:p w:rsidR="006F1136" w:rsidRPr="00D5748F" w:rsidRDefault="006F1136" w:rsidP="00DA0796"/>
    <w:p w:rsidR="006F1136" w:rsidRPr="00D5748F" w:rsidRDefault="006F1136" w:rsidP="00DA0796"/>
    <w:tbl>
      <w:tblPr>
        <w:tblW w:w="0" w:type="auto"/>
        <w:tblInd w:w="1667" w:type="dxa"/>
        <w:tblBorders>
          <w:top w:val="single" w:sz="4" w:space="0" w:color="auto"/>
          <w:left w:val="single" w:sz="4" w:space="0" w:color="auto"/>
          <w:bottom w:val="single" w:sz="4" w:space="0" w:color="auto"/>
          <w:right w:val="single" w:sz="4" w:space="0" w:color="auto"/>
          <w:insideV w:val="single" w:sz="4" w:space="0" w:color="auto"/>
        </w:tblBorders>
        <w:tblLayout w:type="fixed"/>
        <w:tblCellMar>
          <w:left w:w="107" w:type="dxa"/>
          <w:right w:w="107" w:type="dxa"/>
        </w:tblCellMar>
        <w:tblLook w:val="0000" w:firstRow="0" w:lastRow="0" w:firstColumn="0" w:lastColumn="0" w:noHBand="0" w:noVBand="0"/>
      </w:tblPr>
      <w:tblGrid>
        <w:gridCol w:w="5811"/>
      </w:tblGrid>
      <w:tr w:rsidR="00112990" w:rsidRPr="00D5748F">
        <w:tc>
          <w:tcPr>
            <w:tcW w:w="5811" w:type="dxa"/>
          </w:tcPr>
          <w:p w:rsidR="006F1136" w:rsidRPr="00D5748F" w:rsidRDefault="0020623A" w:rsidP="00DA0796">
            <w:pPr>
              <w:pStyle w:val="Lgendetitre"/>
            </w:pPr>
            <w:r w:rsidRPr="00D5748F">
              <w:t>Tegnforklaring</w:t>
            </w:r>
          </w:p>
        </w:tc>
      </w:tr>
      <w:tr w:rsidR="00112990" w:rsidRPr="00D5748F" w:rsidTr="00DA0796">
        <w:trPr>
          <w:cantSplit/>
          <w:trHeight w:val="1807"/>
        </w:trPr>
        <w:tc>
          <w:tcPr>
            <w:tcW w:w="5811" w:type="dxa"/>
            <w:tcBorders>
              <w:bottom w:val="single" w:sz="4" w:space="0" w:color="auto"/>
            </w:tcBorders>
          </w:tcPr>
          <w:p w:rsidR="006F1136" w:rsidRPr="00D5748F" w:rsidRDefault="0020623A" w:rsidP="00DA0796">
            <w:pPr>
              <w:pStyle w:val="Lgendesigne"/>
            </w:pPr>
            <w:r w:rsidRPr="00D5748F">
              <w:tab/>
              <w:t>*</w:t>
            </w:r>
            <w:r w:rsidRPr="00D5748F">
              <w:tab/>
              <w:t>Høringsprocedure</w:t>
            </w:r>
          </w:p>
          <w:p w:rsidR="006F1136" w:rsidRPr="00D5748F" w:rsidRDefault="0020623A" w:rsidP="00DA0796">
            <w:pPr>
              <w:pStyle w:val="Lgendesigne"/>
            </w:pPr>
            <w:r w:rsidRPr="00D5748F">
              <w:tab/>
              <w:t>***</w:t>
            </w:r>
            <w:r w:rsidRPr="00D5748F">
              <w:tab/>
            </w:r>
            <w:r w:rsidRPr="00D5748F">
              <w:t>Godkendelsesprocedure</w:t>
            </w:r>
          </w:p>
          <w:p w:rsidR="006F1136" w:rsidRPr="00D5748F" w:rsidRDefault="0020623A" w:rsidP="00DA0796">
            <w:pPr>
              <w:pStyle w:val="Lgendesigne"/>
            </w:pPr>
            <w:r w:rsidRPr="00D5748F">
              <w:tab/>
              <w:t>***I</w:t>
            </w:r>
            <w:r w:rsidRPr="00D5748F">
              <w:tab/>
              <w:t>Almindelig lovgivningsprocedure (førstebehandling)</w:t>
            </w:r>
          </w:p>
          <w:p w:rsidR="006F1136" w:rsidRPr="00D5748F" w:rsidRDefault="0020623A" w:rsidP="00DA0796">
            <w:pPr>
              <w:pStyle w:val="Lgendesigne"/>
            </w:pPr>
            <w:r w:rsidRPr="00D5748F">
              <w:tab/>
              <w:t>***II</w:t>
            </w:r>
            <w:r w:rsidRPr="00D5748F">
              <w:tab/>
              <w:t>Almindelig lovgivningsprocedure (andenbehandling)</w:t>
            </w:r>
          </w:p>
          <w:p w:rsidR="006F1136" w:rsidRPr="00D5748F" w:rsidRDefault="0020623A" w:rsidP="00DA0796">
            <w:pPr>
              <w:pStyle w:val="Lgendesigne"/>
            </w:pPr>
            <w:r w:rsidRPr="00D5748F">
              <w:tab/>
              <w:t>***III</w:t>
            </w:r>
            <w:r w:rsidRPr="00D5748F">
              <w:tab/>
              <w:t>Almindelig lovgivningsprocedure (tredjebehandling)</w:t>
            </w:r>
          </w:p>
          <w:p w:rsidR="006F1136" w:rsidRPr="00D5748F" w:rsidRDefault="006F1136" w:rsidP="00DA0796">
            <w:pPr>
              <w:pStyle w:val="Lgendestandard"/>
            </w:pPr>
          </w:p>
          <w:p w:rsidR="006F1136" w:rsidRPr="00D5748F" w:rsidRDefault="0020623A" w:rsidP="00DA0796">
            <w:pPr>
              <w:pStyle w:val="Lgendestandard"/>
            </w:pPr>
            <w:r w:rsidRPr="00D5748F">
              <w:t>(Proceduren afhænger af, hvilket retsgrundlag der er valgt i</w:t>
            </w:r>
            <w:r w:rsidRPr="00D5748F">
              <w:t xml:space="preserve"> udkastet til retsakt)</w:t>
            </w:r>
          </w:p>
          <w:p w:rsidR="006F1136" w:rsidRPr="00D5748F" w:rsidRDefault="006F1136" w:rsidP="00DA0796">
            <w:pPr>
              <w:pStyle w:val="Lgendestandard"/>
            </w:pPr>
          </w:p>
        </w:tc>
      </w:tr>
    </w:tbl>
    <w:p w:rsidR="006F1136" w:rsidRPr="00D5748F" w:rsidRDefault="006F1136" w:rsidP="00DA0796"/>
    <w:p w:rsidR="006F1136" w:rsidRPr="00D5748F" w:rsidRDefault="006F1136" w:rsidP="00DA0796"/>
    <w:p w:rsidR="006F1136" w:rsidRPr="00D5748F" w:rsidRDefault="006F1136" w:rsidP="00DA0796"/>
    <w:p w:rsidR="006F1136" w:rsidRPr="00D5748F" w:rsidRDefault="006F1136" w:rsidP="00DA0796"/>
    <w:tbl>
      <w:tblPr>
        <w:tblW w:w="0" w:type="auto"/>
        <w:tblInd w:w="1668" w:type="dxa"/>
        <w:tblBorders>
          <w:top w:val="single" w:sz="4" w:space="0" w:color="auto"/>
          <w:left w:val="single" w:sz="4" w:space="0" w:color="auto"/>
          <w:bottom w:val="single" w:sz="4" w:space="0" w:color="auto"/>
          <w:right w:val="single" w:sz="4" w:space="0" w:color="auto"/>
          <w:insideV w:val="single" w:sz="6" w:space="0" w:color="auto"/>
        </w:tblBorders>
        <w:tblLayout w:type="fixed"/>
        <w:tblLook w:val="0000" w:firstRow="0" w:lastRow="0" w:firstColumn="0" w:lastColumn="0" w:noHBand="0" w:noVBand="0"/>
      </w:tblPr>
      <w:tblGrid>
        <w:gridCol w:w="5811"/>
      </w:tblGrid>
      <w:tr w:rsidR="00112990" w:rsidRPr="00D5748F">
        <w:tc>
          <w:tcPr>
            <w:tcW w:w="5811" w:type="dxa"/>
          </w:tcPr>
          <w:p w:rsidR="006F1136" w:rsidRPr="00D5748F" w:rsidRDefault="0020623A" w:rsidP="00DA0796">
            <w:pPr>
              <w:pStyle w:val="Lgendetitre"/>
            </w:pPr>
            <w:r w:rsidRPr="00D5748F">
              <w:t>Ændringsforslag til et udkast til retsakt</w:t>
            </w:r>
          </w:p>
        </w:tc>
      </w:tr>
      <w:tr w:rsidR="00112990" w:rsidRPr="00D5748F" w:rsidTr="00DA0796">
        <w:trPr>
          <w:trHeight w:val="4496"/>
        </w:trPr>
        <w:tc>
          <w:tcPr>
            <w:tcW w:w="5811" w:type="dxa"/>
          </w:tcPr>
          <w:p w:rsidR="006F1136" w:rsidRPr="00D5748F" w:rsidRDefault="0020623A" w:rsidP="00DA0796">
            <w:pPr>
              <w:pStyle w:val="Lgendestandard"/>
              <w:rPr>
                <w:szCs w:val="24"/>
              </w:rPr>
            </w:pPr>
            <w:r w:rsidRPr="00D5748F">
              <w:rPr>
                <w:b/>
              </w:rPr>
              <w:t>Ændringsforslag fra Parlamentet opstillet i to kolonner</w:t>
            </w:r>
          </w:p>
          <w:p w:rsidR="006F1136" w:rsidRPr="00D5748F" w:rsidRDefault="006F1136" w:rsidP="00DA0796">
            <w:pPr>
              <w:pStyle w:val="Lgendestandard"/>
              <w:rPr>
                <w:szCs w:val="24"/>
              </w:rPr>
            </w:pPr>
          </w:p>
          <w:p w:rsidR="006F1136" w:rsidRPr="00D5748F" w:rsidRDefault="0020623A" w:rsidP="00DA0796">
            <w:pPr>
              <w:pStyle w:val="Lgendestandard"/>
              <w:rPr>
                <w:szCs w:val="24"/>
              </w:rPr>
            </w:pPr>
            <w:r w:rsidRPr="00D5748F">
              <w:t xml:space="preserve">Tekst, der udgår, er markeret med </w:t>
            </w:r>
            <w:r w:rsidRPr="00D5748F">
              <w:rPr>
                <w:b/>
                <w:bCs/>
                <w:i/>
                <w:iCs/>
              </w:rPr>
              <w:t>fede typer og kursiv</w:t>
            </w:r>
            <w:r w:rsidRPr="00D5748F">
              <w:t xml:space="preserve"> i venstre kolonne. Tekst, der udskiftes, er markeret med </w:t>
            </w:r>
            <w:r w:rsidRPr="00D5748F">
              <w:rPr>
                <w:b/>
                <w:bCs/>
                <w:i/>
                <w:iCs/>
              </w:rPr>
              <w:t xml:space="preserve">fede typer og </w:t>
            </w:r>
            <w:r w:rsidRPr="00D5748F">
              <w:rPr>
                <w:b/>
                <w:bCs/>
                <w:i/>
                <w:iCs/>
              </w:rPr>
              <w:t>kursiv</w:t>
            </w:r>
            <w:r w:rsidRPr="00D5748F">
              <w:t xml:space="preserve"> i begge kolonner. Ny tekst er markeret med </w:t>
            </w:r>
            <w:r w:rsidRPr="00D5748F">
              <w:rPr>
                <w:b/>
                <w:bCs/>
                <w:i/>
                <w:iCs/>
              </w:rPr>
              <w:t>fede typer og kursiv</w:t>
            </w:r>
            <w:r w:rsidRPr="00D5748F">
              <w:t xml:space="preserve"> i højre kolonne.</w:t>
            </w:r>
          </w:p>
          <w:p w:rsidR="006F1136" w:rsidRPr="00D5748F" w:rsidRDefault="006F1136" w:rsidP="00DA0796">
            <w:pPr>
              <w:pStyle w:val="Lgendestandard"/>
              <w:rPr>
                <w:szCs w:val="24"/>
              </w:rPr>
            </w:pPr>
          </w:p>
          <w:p w:rsidR="006F1136" w:rsidRPr="00D5748F" w:rsidRDefault="0020623A" w:rsidP="00DA0796">
            <w:pPr>
              <w:pStyle w:val="Lgendestandard"/>
              <w:rPr>
                <w:szCs w:val="24"/>
              </w:rPr>
            </w:pPr>
            <w:r w:rsidRPr="00D5748F">
              <w:t xml:space="preserve">Den første og den anden linje i informationsblokken til hvert ændringsforslag angiver den relevante passage i det pågældende udkast til retsakt. Hvis et </w:t>
            </w:r>
            <w:r w:rsidRPr="00D5748F">
              <w:t>ændringsforslag angår en eksisterende retsakt, som udkastet til retsakt har til formål at ændre, indeholder informationsblokken tillige en tredje og en fjerde linje, hvori det er anført, hvilken eksisterende retsakt og hvilken bestemmelse heri der er berør</w:t>
            </w:r>
            <w:r w:rsidRPr="00D5748F">
              <w:t>t.</w:t>
            </w:r>
          </w:p>
          <w:p w:rsidR="006F1136" w:rsidRPr="00D5748F" w:rsidRDefault="006F1136" w:rsidP="00DA0796">
            <w:pPr>
              <w:pStyle w:val="Lgendestandard"/>
              <w:rPr>
                <w:szCs w:val="24"/>
              </w:rPr>
            </w:pPr>
          </w:p>
          <w:p w:rsidR="006F1136" w:rsidRPr="00D5748F" w:rsidRDefault="0020623A" w:rsidP="00DA0796">
            <w:pPr>
              <w:pStyle w:val="Lgendestandard"/>
              <w:rPr>
                <w:b/>
                <w:szCs w:val="24"/>
              </w:rPr>
            </w:pPr>
            <w:r w:rsidRPr="00D5748F">
              <w:rPr>
                <w:b/>
              </w:rPr>
              <w:t>Ændringsforslag fra Parlamentet i form af en konsolideret tekst</w:t>
            </w:r>
          </w:p>
          <w:p w:rsidR="006F1136" w:rsidRPr="00D5748F" w:rsidRDefault="006F1136" w:rsidP="00DA0796">
            <w:pPr>
              <w:pStyle w:val="Lgendestandard"/>
              <w:rPr>
                <w:szCs w:val="24"/>
              </w:rPr>
            </w:pPr>
          </w:p>
          <w:p w:rsidR="006F1136" w:rsidRPr="00D5748F" w:rsidRDefault="0020623A" w:rsidP="00DA0796">
            <w:pPr>
              <w:pStyle w:val="Lgendestandard"/>
              <w:rPr>
                <w:szCs w:val="24"/>
              </w:rPr>
            </w:pPr>
            <w:r w:rsidRPr="00D5748F">
              <w:t xml:space="preserve">Ny tekst er markeret med </w:t>
            </w:r>
            <w:r w:rsidRPr="00D5748F">
              <w:rPr>
                <w:b/>
                <w:bCs/>
                <w:i/>
                <w:iCs/>
              </w:rPr>
              <w:t>fede typer og kursiv</w:t>
            </w:r>
            <w:r w:rsidRPr="00D5748F">
              <w:t xml:space="preserve">. Tekst, som er bortfaldet, markeres med symbolet ▌eller med overstregning. Ved udskiftninger markeres den nye tekst med </w:t>
            </w:r>
            <w:r w:rsidRPr="00D5748F">
              <w:rPr>
                <w:b/>
                <w:bCs/>
                <w:i/>
                <w:iCs/>
              </w:rPr>
              <w:t>fede typer og kursiv</w:t>
            </w:r>
            <w:r w:rsidRPr="00D5748F">
              <w:t>,</w:t>
            </w:r>
            <w:r w:rsidRPr="00D5748F">
              <w:t xml:space="preserve"> og den udskiftede tekst slettes eller overstreges. </w:t>
            </w:r>
          </w:p>
          <w:p w:rsidR="006F1136" w:rsidRPr="00D5748F" w:rsidRDefault="0020623A" w:rsidP="00DA0796">
            <w:pPr>
              <w:pStyle w:val="Lgendestandard"/>
            </w:pPr>
            <w:r w:rsidRPr="00D5748F">
              <w:t>Som en undtagelse bliver rent tekniske justeringer, der er foretaget af de berørte tjenestegrene med henblik på udarbejdelsen af den endelige tekst, ikke markeret.</w:t>
            </w:r>
          </w:p>
          <w:p w:rsidR="006F1136" w:rsidRPr="00D5748F" w:rsidRDefault="006F1136" w:rsidP="00DA0796">
            <w:pPr>
              <w:pStyle w:val="Lgendestandard"/>
            </w:pPr>
          </w:p>
        </w:tc>
      </w:tr>
    </w:tbl>
    <w:p w:rsidR="006F1136" w:rsidRPr="00D5748F" w:rsidRDefault="006F1136" w:rsidP="00DA0796"/>
    <w:p w:rsidR="00793EA9" w:rsidRPr="00D5748F" w:rsidRDefault="00793EA9" w:rsidP="00012351">
      <w:pPr>
        <w:widowControl/>
        <w:tabs>
          <w:tab w:val="center" w:pos="4677"/>
        </w:tabs>
      </w:pPr>
    </w:p>
    <w:p w:rsidR="00793EA9" w:rsidRPr="00D5748F" w:rsidRDefault="0020623A">
      <w:pPr>
        <w:pStyle w:val="TOCHeading"/>
      </w:pPr>
      <w:r w:rsidRPr="00D5748F">
        <w:br w:type="page"/>
      </w:r>
      <w:r w:rsidRPr="00D5748F">
        <w:lastRenderedPageBreak/>
        <w:t>INDHOLD</w:t>
      </w:r>
    </w:p>
    <w:p w:rsidR="00793EA9" w:rsidRPr="00D5748F" w:rsidRDefault="0020623A">
      <w:pPr>
        <w:pStyle w:val="TOCPage"/>
      </w:pPr>
      <w:r w:rsidRPr="00D5748F">
        <w:t>Side</w:t>
      </w:r>
    </w:p>
    <w:p w:rsidR="0020623A" w:rsidRDefault="0020623A">
      <w:pPr>
        <w:pStyle w:val="TOC1"/>
        <w:tabs>
          <w:tab w:val="right" w:leader="dot" w:pos="9060"/>
        </w:tabs>
        <w:rPr>
          <w:rFonts w:asciiTheme="minorHAnsi" w:eastAsiaTheme="minorEastAsia" w:hAnsiTheme="minorHAnsi" w:cstheme="minorBidi"/>
          <w:noProof/>
          <w:sz w:val="22"/>
          <w:szCs w:val="22"/>
          <w:lang w:eastAsia="da-DK"/>
        </w:rPr>
      </w:pPr>
      <w:r w:rsidRPr="00D5748F">
        <w:rPr>
          <w:b/>
        </w:rPr>
        <w:fldChar w:fldCharType="begin"/>
      </w:r>
      <w:r w:rsidRPr="00D5748F">
        <w:rPr>
          <w:b/>
        </w:rPr>
        <w:instrText xml:space="preserve"> TOC \t "PageHeading</w:instrText>
      </w:r>
      <w:r w:rsidR="00E70D3B" w:rsidRPr="00D5748F">
        <w:rPr>
          <w:b/>
        </w:rPr>
        <w:instrText>;</w:instrText>
      </w:r>
      <w:r w:rsidRPr="00D5748F">
        <w:rPr>
          <w:b/>
        </w:rPr>
        <w:instrText xml:space="preserve">1" </w:instrText>
      </w:r>
      <w:r w:rsidRPr="00D5748F">
        <w:rPr>
          <w:b/>
        </w:rPr>
        <w:fldChar w:fldCharType="separate"/>
      </w:r>
      <w:r>
        <w:rPr>
          <w:noProof/>
        </w:rPr>
        <w:t>FORSLAG TIL EUROPA-PARLAMENTETS LOVGIVNINGSMÆSSIGE BESLUTNING</w:t>
      </w:r>
      <w:r>
        <w:rPr>
          <w:noProof/>
        </w:rPr>
        <w:tab/>
      </w:r>
      <w:r>
        <w:rPr>
          <w:noProof/>
        </w:rPr>
        <w:fldChar w:fldCharType="begin"/>
      </w:r>
      <w:r>
        <w:rPr>
          <w:noProof/>
        </w:rPr>
        <w:instrText xml:space="preserve"> PAGEREF _Toc146548307 \h </w:instrText>
      </w:r>
      <w:r>
        <w:rPr>
          <w:noProof/>
        </w:rPr>
      </w:r>
      <w:r>
        <w:rPr>
          <w:noProof/>
        </w:rPr>
        <w:fldChar w:fldCharType="separate"/>
      </w:r>
      <w:r>
        <w:rPr>
          <w:noProof/>
        </w:rPr>
        <w:t>5</w:t>
      </w:r>
      <w:r>
        <w:rPr>
          <w:noProof/>
        </w:rPr>
        <w:fldChar w:fldCharType="end"/>
      </w:r>
    </w:p>
    <w:p w:rsidR="002346B0" w:rsidRPr="00D5748F" w:rsidRDefault="0020623A" w:rsidP="00C23324">
      <w:r w:rsidRPr="00D5748F">
        <w:rPr>
          <w:b/>
        </w:rPr>
        <w:fldChar w:fldCharType="end"/>
      </w:r>
    </w:p>
    <w:p w:rsidR="00793EA9" w:rsidRPr="00D5748F" w:rsidRDefault="0020623A">
      <w:pPr>
        <w:pStyle w:val="PageHeading"/>
      </w:pPr>
      <w:r w:rsidRPr="00D5748F">
        <w:br w:type="page"/>
      </w:r>
      <w:r w:rsidRPr="00D5748F">
        <w:lastRenderedPageBreak/>
        <w:br w:type="page"/>
      </w:r>
      <w:bookmarkStart w:id="0" w:name="_Toc146548307"/>
      <w:r w:rsidRPr="00D5748F">
        <w:lastRenderedPageBreak/>
        <w:t>FORSLAG TIL EUROPA-PARLAMENTETS LOVGIVNINGSMÆSSIGE BESLUTNING</w:t>
      </w:r>
      <w:bookmarkEnd w:id="0"/>
    </w:p>
    <w:p w:rsidR="00793EA9" w:rsidRPr="00D5748F" w:rsidRDefault="0020623A">
      <w:pPr>
        <w:pStyle w:val="NormalBold"/>
      </w:pPr>
      <w:r w:rsidRPr="00D5748F">
        <w:t>om forslag til Europa-Parlamentets og Råd</w:t>
      </w:r>
      <w:r w:rsidRPr="00D5748F">
        <w:t>ets direktiv om ændring af direktiv 2014/59/EU og forordning (EU) nr. 806/2014 for så vidt angår visse aspekter af minimumskravet til kapitalgrundlag og nedskrivningsrelevante passiver</w:t>
      </w:r>
    </w:p>
    <w:p w:rsidR="00793EA9" w:rsidRPr="00D5748F" w:rsidRDefault="0020623A">
      <w:pPr>
        <w:pStyle w:val="NormalBold12a"/>
      </w:pPr>
      <w:r w:rsidRPr="00D5748F">
        <w:t>(COM(2023)0229 – C9</w:t>
      </w:r>
      <w:r w:rsidRPr="00D5748F">
        <w:noBreakHyphen/>
        <w:t>0134/2023 – 2023/0113(COD))</w:t>
      </w:r>
    </w:p>
    <w:p w:rsidR="00793EA9" w:rsidRPr="00D5748F" w:rsidRDefault="0020623A" w:rsidP="00A910C9">
      <w:pPr>
        <w:pStyle w:val="NormalBold"/>
      </w:pPr>
      <w:r w:rsidRPr="00D5748F">
        <w:t xml:space="preserve">(Almindelig </w:t>
      </w:r>
      <w:r w:rsidRPr="00D5748F">
        <w:t>lovgivningsprocedure: førstebehandling)</w:t>
      </w:r>
    </w:p>
    <w:p w:rsidR="00793EA9" w:rsidRPr="00D5748F" w:rsidRDefault="0020623A" w:rsidP="00A910C9">
      <w:pPr>
        <w:pStyle w:val="EPComma"/>
      </w:pPr>
      <w:r w:rsidRPr="00D5748F">
        <w:rPr>
          <w:i/>
        </w:rPr>
        <w:t>Europa-Parlamentet</w:t>
      </w:r>
      <w:r w:rsidRPr="00D5748F">
        <w:t>,</w:t>
      </w:r>
    </w:p>
    <w:p w:rsidR="00793EA9" w:rsidRPr="00D5748F" w:rsidRDefault="0020623A">
      <w:pPr>
        <w:pStyle w:val="NormalHanging12a"/>
      </w:pPr>
      <w:r w:rsidRPr="00D5748F">
        <w:t>–</w:t>
      </w:r>
      <w:r w:rsidRPr="00D5748F">
        <w:tab/>
        <w:t>der henviser til Kommissionens forslag til Europa-Parlamentet og Rådet (COM(2023)0229),</w:t>
      </w:r>
    </w:p>
    <w:p w:rsidR="00793EA9" w:rsidRPr="00D5748F" w:rsidRDefault="0020623A">
      <w:pPr>
        <w:pStyle w:val="NormalHanging12a"/>
      </w:pPr>
      <w:r w:rsidRPr="00D5748F">
        <w:t>–</w:t>
      </w:r>
      <w:r w:rsidRPr="00D5748F">
        <w:tab/>
        <w:t>der henviser til artikel 294, stk. 2, og artikel 114 i traktaten om Den Europæiske Unions funktionsmåde,</w:t>
      </w:r>
      <w:r w:rsidRPr="00D5748F">
        <w:t xml:space="preserve"> på grundlag af hvilke Kommissionen har forelagt forslaget for Parlamentet (C9</w:t>
      </w:r>
      <w:r w:rsidRPr="00D5748F">
        <w:noBreakHyphen/>
        <w:t>0134/2023),</w:t>
      </w:r>
    </w:p>
    <w:p w:rsidR="00A26F46" w:rsidRPr="00D5748F" w:rsidRDefault="0020623A" w:rsidP="00A26F46">
      <w:pPr>
        <w:pStyle w:val="NormalHanging12a"/>
      </w:pPr>
      <w:r w:rsidRPr="00D5748F">
        <w:t>–</w:t>
      </w:r>
      <w:r w:rsidRPr="00D5748F">
        <w:tab/>
        <w:t>der henviser til artikel 294, stk. 3, i traktaten om Den Europæiske Unions funktionsmåde,</w:t>
      </w:r>
    </w:p>
    <w:p w:rsidR="006F1136" w:rsidRPr="00D5748F" w:rsidRDefault="0020623A" w:rsidP="00AD7FA6">
      <w:pPr>
        <w:pStyle w:val="NormalHanging12a"/>
      </w:pPr>
      <w:r w:rsidRPr="00D5748F">
        <w:t>–</w:t>
      </w:r>
      <w:r w:rsidRPr="00D5748F">
        <w:tab/>
        <w:t>der henviser til udtalelse af 5. juli 2023 fra Den Europæiske Centralba</w:t>
      </w:r>
      <w:r w:rsidRPr="00D5748F">
        <w:t>nk</w:t>
      </w:r>
      <w:r w:rsidRPr="00D5748F">
        <w:rPr>
          <w:rStyle w:val="FootnoteReference"/>
        </w:rPr>
        <w:footnoteReference w:id="1"/>
      </w:r>
      <w:r w:rsidRPr="00D5748F">
        <w:t>,</w:t>
      </w:r>
    </w:p>
    <w:p w:rsidR="00D73518" w:rsidRPr="00D5748F" w:rsidRDefault="0020623A" w:rsidP="00AD7FA6">
      <w:pPr>
        <w:pStyle w:val="NormalHanging12a"/>
      </w:pPr>
      <w:r w:rsidRPr="00D5748F">
        <w:t>–</w:t>
      </w:r>
      <w:r w:rsidRPr="00D5748F">
        <w:tab/>
        <w:t>der henviser til udtalelse af 13. juli 2023 fra Det Europæiske Økonomiske og Sociale Udvalg</w:t>
      </w:r>
      <w:r w:rsidRPr="00D5748F">
        <w:rPr>
          <w:rStyle w:val="FootnoteReference"/>
          <w:szCs w:val="24"/>
        </w:rPr>
        <w:footnoteReference w:id="2"/>
      </w:r>
      <w:r w:rsidRPr="00D5748F">
        <w:t>,</w:t>
      </w:r>
    </w:p>
    <w:p w:rsidR="00793EA9" w:rsidRPr="00D5748F" w:rsidRDefault="0020623A">
      <w:pPr>
        <w:pStyle w:val="NormalHanging12a"/>
      </w:pPr>
      <w:r w:rsidRPr="00D5748F">
        <w:t>–</w:t>
      </w:r>
      <w:r w:rsidRPr="00D5748F">
        <w:tab/>
        <w:t>der henviser til forretningsordenens artikel 59,</w:t>
      </w:r>
    </w:p>
    <w:p w:rsidR="006A2F5D" w:rsidRPr="00D5748F" w:rsidRDefault="0020623A" w:rsidP="006A2F5D">
      <w:pPr>
        <w:pStyle w:val="NormalHanging12a"/>
      </w:pPr>
      <w:r w:rsidRPr="00D5748F">
        <w:t>–</w:t>
      </w:r>
      <w:r w:rsidRPr="00D5748F">
        <w:tab/>
        <w:t>der h</w:t>
      </w:r>
      <w:r>
        <w:t>e</w:t>
      </w:r>
      <w:r w:rsidRPr="00D5748F">
        <w:t>nviser til betænk</w:t>
      </w:r>
      <w:bookmarkStart w:id="1" w:name="_GoBack"/>
      <w:bookmarkEnd w:id="1"/>
      <w:r w:rsidRPr="00D5748F">
        <w:t>ning fra Økonomi- og Valutaudvalget (A9</w:t>
      </w:r>
      <w:r w:rsidRPr="00D5748F">
        <w:noBreakHyphen/>
        <w:t>0000/2023),</w:t>
      </w:r>
    </w:p>
    <w:p w:rsidR="009F6C2F" w:rsidRPr="00D5748F" w:rsidRDefault="0020623A" w:rsidP="00B17848">
      <w:pPr>
        <w:pStyle w:val="NormalHanging12a"/>
      </w:pPr>
      <w:r w:rsidRPr="00D5748F">
        <w:t>1.</w:t>
      </w:r>
      <w:r w:rsidRPr="00D5748F">
        <w:tab/>
        <w:t>vedtager nedenstående hol</w:t>
      </w:r>
      <w:r w:rsidRPr="00D5748F">
        <w:t>dning ved førstebehandling;</w:t>
      </w:r>
    </w:p>
    <w:p w:rsidR="009F6C2F" w:rsidRPr="00D5748F" w:rsidRDefault="0020623A" w:rsidP="009F6C2F">
      <w:pPr>
        <w:pStyle w:val="NormalHanging12a"/>
      </w:pPr>
      <w:r w:rsidRPr="00D5748F">
        <w:t>2.</w:t>
      </w:r>
      <w:r w:rsidRPr="00D5748F">
        <w:tab/>
        <w:t>anmoder om fornyet forelæggelse, hvis Kommissionen erstatter, i væsentlig grad ændrer eller agter i væsentlig grad at ændre sit forslag;</w:t>
      </w:r>
    </w:p>
    <w:p w:rsidR="009F6C2F" w:rsidRPr="00D5748F" w:rsidRDefault="0020623A" w:rsidP="009F6C2F">
      <w:pPr>
        <w:pStyle w:val="NormalHanging12a"/>
      </w:pPr>
      <w:r w:rsidRPr="00D5748F">
        <w:t>3.</w:t>
      </w:r>
      <w:r w:rsidRPr="00D5748F">
        <w:tab/>
        <w:t>pålægger sin formand at sende Parlamentets holdning til Rådet og Kommissionen samt ti</w:t>
      </w:r>
      <w:r w:rsidRPr="00D5748F">
        <w:t>l de nationale parlamenter.</w:t>
      </w:r>
    </w:p>
    <w:p w:rsidR="00D30DE2" w:rsidRPr="00D5748F" w:rsidRDefault="00D30DE2" w:rsidP="00D30DE2"/>
    <w:p w:rsidR="008C37B3" w:rsidRPr="00D5748F" w:rsidRDefault="008C37B3" w:rsidP="00D30DE2"/>
    <w:p w:rsidR="008C37B3" w:rsidRPr="00D5748F" w:rsidRDefault="008C37B3" w:rsidP="00D30DE2"/>
    <w:p w:rsidR="008C37B3" w:rsidRPr="00D5748F" w:rsidRDefault="008C37B3" w:rsidP="00D30DE2"/>
    <w:p w:rsidR="008C37B3" w:rsidRPr="00D5748F" w:rsidRDefault="008C37B3" w:rsidP="00D30DE2"/>
    <w:p w:rsidR="002669B6" w:rsidRPr="00D5748F" w:rsidRDefault="0020623A" w:rsidP="00212B84">
      <w:pPr>
        <w:pStyle w:val="AmNumberTabs"/>
        <w:keepNext/>
      </w:pPr>
      <w:r w:rsidRPr="00D5748F">
        <w:rPr>
          <w:rStyle w:val="HideTWBExt"/>
          <w:b w:val="0"/>
        </w:rPr>
        <w:lastRenderedPageBreak/>
        <w:t>&lt;RepeatBlock-Amend&gt;</w:t>
      </w:r>
      <w:bookmarkStart w:id="2" w:name="restart"/>
      <w:r w:rsidRPr="00D5748F">
        <w:rPr>
          <w:rStyle w:val="HideTWBExt"/>
          <w:b w:val="0"/>
        </w:rPr>
        <w:t>&lt;Amend&gt;</w:t>
      </w:r>
      <w:r w:rsidRPr="00D5748F">
        <w:t>Ændringsforslag</w:t>
      </w:r>
      <w:r w:rsidRPr="00D5748F">
        <w:tab/>
      </w:r>
      <w:r w:rsidRPr="00D5748F">
        <w:tab/>
      </w:r>
      <w:r w:rsidRPr="00D5748F">
        <w:rPr>
          <w:rStyle w:val="HideTWBExt"/>
          <w:b w:val="0"/>
        </w:rPr>
        <w:t>&lt;NumAm&gt;</w:t>
      </w:r>
      <w:r w:rsidRPr="00D5748F">
        <w:t>1</w:t>
      </w:r>
      <w:r w:rsidRPr="00D5748F">
        <w:rPr>
          <w:rStyle w:val="HideTWBExt"/>
          <w:b w:val="0"/>
        </w:rPr>
        <w:t>&lt;/NumAm&gt;</w:t>
      </w:r>
    </w:p>
    <w:p w:rsidR="002669B6" w:rsidRPr="00D5748F" w:rsidRDefault="0020623A" w:rsidP="00212B84">
      <w:pPr>
        <w:pStyle w:val="NormalBold12b"/>
        <w:keepNext/>
      </w:pPr>
      <w:r w:rsidRPr="00D5748F">
        <w:rPr>
          <w:rStyle w:val="HideTWBExt"/>
          <w:b w:val="0"/>
        </w:rPr>
        <w:t>&lt;DocAmend&gt;</w:t>
      </w:r>
      <w:r w:rsidRPr="00D5748F">
        <w:t>Forslag til direktiv</w:t>
      </w:r>
      <w:r w:rsidRPr="00D5748F">
        <w:rPr>
          <w:rStyle w:val="HideTWBExt"/>
          <w:b w:val="0"/>
        </w:rPr>
        <w:t>&lt;/DocAmend&gt;</w:t>
      </w:r>
    </w:p>
    <w:p w:rsidR="00932D06" w:rsidRPr="00D5748F" w:rsidRDefault="0020623A" w:rsidP="00932D06">
      <w:pPr>
        <w:pStyle w:val="NormalBold"/>
      </w:pPr>
      <w:r w:rsidRPr="00D5748F">
        <w:rPr>
          <w:rStyle w:val="HideTWBExt"/>
          <w:b w:val="0"/>
        </w:rPr>
        <w:t>&lt;Article&gt;</w:t>
      </w:r>
      <w:r w:rsidRPr="00D5748F">
        <w:t>Betragtning 1</w:t>
      </w:r>
      <w:r w:rsidRPr="00D5748F">
        <w:rPr>
          <w:rStyle w:val="HideTWBExt"/>
          <w:b w:val="0"/>
        </w:rPr>
        <w:t>&lt;/Article&gt;</w:t>
      </w:r>
      <w:bookmarkEnd w:id="2"/>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12990" w:rsidRPr="00D5748F" w:rsidTr="00932D06">
        <w:trPr>
          <w:jc w:val="center"/>
        </w:trPr>
        <w:tc>
          <w:tcPr>
            <w:tcW w:w="9752" w:type="dxa"/>
            <w:gridSpan w:val="2"/>
          </w:tcPr>
          <w:p w:rsidR="00932D06" w:rsidRPr="00D5748F" w:rsidRDefault="00932D06">
            <w:pPr>
              <w:keepNext/>
            </w:pPr>
          </w:p>
        </w:tc>
      </w:tr>
      <w:tr w:rsidR="00112990" w:rsidRPr="00D5748F" w:rsidTr="00932D06">
        <w:trPr>
          <w:jc w:val="center"/>
        </w:trPr>
        <w:tc>
          <w:tcPr>
            <w:tcW w:w="4876" w:type="dxa"/>
            <w:hideMark/>
          </w:tcPr>
          <w:p w:rsidR="00932D06" w:rsidRPr="00D5748F" w:rsidRDefault="0020623A">
            <w:pPr>
              <w:pStyle w:val="ColumnHeading"/>
              <w:keepNext/>
            </w:pPr>
            <w:r w:rsidRPr="00D5748F">
              <w:t>Kommissionens forslag</w:t>
            </w:r>
          </w:p>
        </w:tc>
        <w:tc>
          <w:tcPr>
            <w:tcW w:w="4876" w:type="dxa"/>
            <w:hideMark/>
          </w:tcPr>
          <w:p w:rsidR="00932D06" w:rsidRPr="00D5748F" w:rsidRDefault="0020623A">
            <w:pPr>
              <w:pStyle w:val="ColumnHeading"/>
              <w:keepNext/>
            </w:pPr>
            <w:r w:rsidRPr="00D5748F">
              <w:t>Ændringsforslag</w:t>
            </w:r>
          </w:p>
        </w:tc>
      </w:tr>
      <w:tr w:rsidR="00112990" w:rsidRPr="00D5748F" w:rsidTr="00932D06">
        <w:trPr>
          <w:jc w:val="center"/>
        </w:trPr>
        <w:tc>
          <w:tcPr>
            <w:tcW w:w="4876" w:type="dxa"/>
            <w:hideMark/>
          </w:tcPr>
          <w:p w:rsidR="00932D06" w:rsidRPr="00D5748F" w:rsidRDefault="0020623A">
            <w:pPr>
              <w:pStyle w:val="Normal6"/>
            </w:pPr>
            <w:r w:rsidRPr="00D5748F">
              <w:t>(1)</w:t>
            </w:r>
            <w:r w:rsidRPr="00D5748F">
              <w:tab/>
              <w:t>Europa-Parlamentets og Rådets direktiv (EU)</w:t>
            </w:r>
            <w:r w:rsidRPr="00D5748F">
              <w:t xml:space="preserve"> 2019/879</w:t>
            </w:r>
            <w:r w:rsidRPr="00D5748F">
              <w:rPr>
                <w:vertAlign w:val="superscript"/>
              </w:rPr>
              <w:t>16</w:t>
            </w:r>
            <w:r w:rsidRPr="00D5748F">
              <w:t xml:space="preserve"> og Europa-Parlamentets og Rådets forordning (EU) 2019/877</w:t>
            </w:r>
            <w:r w:rsidRPr="00D5748F">
              <w:rPr>
                <w:vertAlign w:val="superscript"/>
              </w:rPr>
              <w:t>17</w:t>
            </w:r>
            <w:r w:rsidRPr="00D5748F">
              <w:t xml:space="preserve"> ændrede minimumskravet til kapitalgrundlag og nedskrivningsrelevante passiver ("MREL") som fastsat i Europa-Parlamentets og Rådets direktiv 2014/59/EU</w:t>
            </w:r>
            <w:r w:rsidRPr="00D5748F">
              <w:rPr>
                <w:vertAlign w:val="superscript"/>
              </w:rPr>
              <w:t>18</w:t>
            </w:r>
            <w:r w:rsidRPr="00D5748F">
              <w:t xml:space="preserve"> og i Europa-Parlamentets og Råd</w:t>
            </w:r>
            <w:r w:rsidRPr="00D5748F">
              <w:t>ets forordning (EU) nr. 806/2014</w:t>
            </w:r>
            <w:r w:rsidRPr="00D5748F">
              <w:rPr>
                <w:vertAlign w:val="superscript"/>
              </w:rPr>
              <w:t>19</w:t>
            </w:r>
            <w:r w:rsidRPr="00D5748F">
              <w:t>, som finder anvendelse på kreditinstitutter og investeringsselskaber (institutter), der er etableret i Unionen, samt på enhver anden enhed, der er omfattet af anvendelsesområdet for direktiv 2014/59/EU eller forordning (E</w:t>
            </w:r>
            <w:r w:rsidRPr="00D5748F">
              <w:t xml:space="preserve">U) nr. 806/2014 (enheder). Disse ændringer forudsætter, at det interne MREL, dvs. MREL, der finder anvendelse på institutter og enheder, der er datterselskaber af afviklingsenheder, men som ikke selv er afviklingsenheder, kan opfyldes af disse enheder ved </w:t>
            </w:r>
            <w:r w:rsidRPr="00D5748F">
              <w:t>hjælp af instrumenter, der er udstedt til og købt af afviklingsenheden enten direkte eller indirekte gennem andre enheder i samme afviklingskoncern.</w:t>
            </w:r>
          </w:p>
        </w:tc>
        <w:tc>
          <w:tcPr>
            <w:tcW w:w="4876" w:type="dxa"/>
            <w:hideMark/>
          </w:tcPr>
          <w:p w:rsidR="00932D06" w:rsidRPr="00D5748F" w:rsidRDefault="0020623A">
            <w:pPr>
              <w:pStyle w:val="Normal6"/>
              <w:rPr>
                <w:szCs w:val="24"/>
              </w:rPr>
            </w:pPr>
            <w:r w:rsidRPr="00D5748F">
              <w:t>(1)</w:t>
            </w:r>
            <w:r w:rsidRPr="00D5748F">
              <w:tab/>
              <w:t>Europa-Parlamentets og Rådets direktiv (EU) 2019/879</w:t>
            </w:r>
            <w:r w:rsidRPr="00D5748F">
              <w:rPr>
                <w:vertAlign w:val="superscript"/>
              </w:rPr>
              <w:t>16</w:t>
            </w:r>
            <w:r w:rsidRPr="00D5748F">
              <w:t xml:space="preserve"> og Europa-Parlamentets og Rådets forordning (EU)</w:t>
            </w:r>
            <w:r w:rsidRPr="00D5748F">
              <w:t xml:space="preserve"> 2019/877</w:t>
            </w:r>
            <w:r w:rsidRPr="00D5748F">
              <w:rPr>
                <w:vertAlign w:val="superscript"/>
              </w:rPr>
              <w:t>17</w:t>
            </w:r>
            <w:r w:rsidRPr="00D5748F">
              <w:t xml:space="preserve"> ændrede minimumskravet til kapitalgrundlag og nedskrivningsrelevante passiver ("MREL") som fastsat i Europa-Parlamentets og Rådets direktiv 2014/59/EU</w:t>
            </w:r>
            <w:r w:rsidRPr="00D5748F">
              <w:rPr>
                <w:vertAlign w:val="superscript"/>
              </w:rPr>
              <w:t>18</w:t>
            </w:r>
            <w:r w:rsidRPr="00D5748F">
              <w:t xml:space="preserve"> og i Europa-Parlamentets og Rådets forordning (EU) nr. 806/2014</w:t>
            </w:r>
            <w:r w:rsidRPr="00D5748F">
              <w:rPr>
                <w:vertAlign w:val="superscript"/>
              </w:rPr>
              <w:t>19</w:t>
            </w:r>
            <w:r w:rsidRPr="00D5748F">
              <w:t>, som finder anvendelse på</w:t>
            </w:r>
            <w:r w:rsidRPr="00D5748F">
              <w:t xml:space="preserve"> kreditinstitutter og investeringsselskaber (institutter), der er etableret i Unionen, samt på enhver anden enhed, der er omfattet af anvendelsesområdet for direktiv 2014/59/EU eller forordning (EU) nr. 806/2014 (enheder). Disse ændringer forudsætter, at d</w:t>
            </w:r>
            <w:r w:rsidRPr="00D5748F">
              <w:t xml:space="preserve">et interne MREL, dvs. MREL, der finder anvendelse på institutter og enheder, der er datterselskaber af afviklingsenheder, men som ikke selv er afviklingsenheder, kan opfyldes af disse </w:t>
            </w:r>
            <w:r w:rsidRPr="00D5748F">
              <w:rPr>
                <w:b/>
                <w:bCs/>
                <w:i/>
                <w:iCs/>
              </w:rPr>
              <w:t>institutioner og</w:t>
            </w:r>
            <w:r w:rsidRPr="00D5748F">
              <w:t xml:space="preserve"> enheder ved hjælp af instrumenter, der er udstedt til o</w:t>
            </w:r>
            <w:r w:rsidRPr="00D5748F">
              <w:t>g købt af afviklingsenheden enten direkte eller indirekte gennem andre enheder i samme afviklingskoncern.</w:t>
            </w:r>
          </w:p>
        </w:tc>
      </w:tr>
      <w:tr w:rsidR="00112990" w:rsidRPr="00D5748F" w:rsidTr="00932D06">
        <w:trPr>
          <w:jc w:val="center"/>
        </w:trPr>
        <w:tc>
          <w:tcPr>
            <w:tcW w:w="4876" w:type="dxa"/>
            <w:hideMark/>
          </w:tcPr>
          <w:p w:rsidR="00932D06" w:rsidRPr="00D5748F" w:rsidRDefault="0020623A">
            <w:pPr>
              <w:pStyle w:val="Normal6"/>
            </w:pPr>
            <w:r w:rsidRPr="00D5748F">
              <w:t>__________________</w:t>
            </w:r>
          </w:p>
        </w:tc>
        <w:tc>
          <w:tcPr>
            <w:tcW w:w="4876" w:type="dxa"/>
            <w:hideMark/>
          </w:tcPr>
          <w:p w:rsidR="00932D06" w:rsidRPr="00D5748F" w:rsidRDefault="0020623A">
            <w:pPr>
              <w:pStyle w:val="Normal6"/>
              <w:rPr>
                <w:szCs w:val="24"/>
              </w:rPr>
            </w:pPr>
            <w:r w:rsidRPr="00D5748F">
              <w:t>__________________</w:t>
            </w:r>
          </w:p>
        </w:tc>
      </w:tr>
      <w:tr w:rsidR="00112990" w:rsidRPr="00D5748F" w:rsidTr="00932D06">
        <w:trPr>
          <w:jc w:val="center"/>
        </w:trPr>
        <w:tc>
          <w:tcPr>
            <w:tcW w:w="4876" w:type="dxa"/>
            <w:hideMark/>
          </w:tcPr>
          <w:p w:rsidR="00932D06" w:rsidRPr="00D5748F" w:rsidRDefault="0020623A">
            <w:pPr>
              <w:pStyle w:val="Normal6"/>
            </w:pPr>
            <w:r w:rsidRPr="00D5748F">
              <w:rPr>
                <w:vertAlign w:val="superscript"/>
              </w:rPr>
              <w:t>16</w:t>
            </w:r>
            <w:r w:rsidRPr="00D5748F">
              <w:t xml:space="preserve"> Europa-Parlamentets og Rådets direktiv (EU) 2019/879 af 20. maj 2019 om ændring af direktiv 2014/59/EU for </w:t>
            </w:r>
            <w:r w:rsidRPr="00D5748F">
              <w:t>så vidt angår kreditinstitutters og investeringsselskabers tabsabsorberings- og rekapitaliseringskapacitet og af direktiv 98/26/EF (EUT L 150 af 7.6.2019, s. 296).</w:t>
            </w:r>
          </w:p>
        </w:tc>
        <w:tc>
          <w:tcPr>
            <w:tcW w:w="4876" w:type="dxa"/>
            <w:hideMark/>
          </w:tcPr>
          <w:p w:rsidR="00932D06" w:rsidRPr="00D5748F" w:rsidRDefault="0020623A">
            <w:pPr>
              <w:pStyle w:val="Normal6"/>
              <w:rPr>
                <w:szCs w:val="24"/>
              </w:rPr>
            </w:pPr>
            <w:r w:rsidRPr="00D5748F">
              <w:rPr>
                <w:vertAlign w:val="superscript"/>
              </w:rPr>
              <w:t>16</w:t>
            </w:r>
            <w:r w:rsidRPr="00D5748F">
              <w:t xml:space="preserve"> Europa-Parlamentets og Rådets direktiv (EU) 2019/879 af 20. maj 2019 om ændring af direkt</w:t>
            </w:r>
            <w:r w:rsidRPr="00D5748F">
              <w:t>iv 2014/59/EU for så vidt angår kreditinstitutters og investeringsselskabers tabsabsorberings- og rekapitaliseringskapacitet og af direktiv 98/26/EF (EUT L 150 af 7.6.2019, s. 296).</w:t>
            </w:r>
          </w:p>
        </w:tc>
      </w:tr>
      <w:tr w:rsidR="00112990" w:rsidRPr="00D5748F" w:rsidTr="00932D06">
        <w:trPr>
          <w:jc w:val="center"/>
        </w:trPr>
        <w:tc>
          <w:tcPr>
            <w:tcW w:w="4876" w:type="dxa"/>
            <w:hideMark/>
          </w:tcPr>
          <w:p w:rsidR="00932D06" w:rsidRPr="00D5748F" w:rsidRDefault="0020623A">
            <w:pPr>
              <w:pStyle w:val="Normal6"/>
            </w:pPr>
            <w:r w:rsidRPr="00D5748F">
              <w:rPr>
                <w:vertAlign w:val="superscript"/>
              </w:rPr>
              <w:t>17</w:t>
            </w:r>
            <w:r w:rsidRPr="00D5748F">
              <w:t xml:space="preserve"> Europa-Parlamentets og Rådets forordning (EU) 2019/877 af 20. maj 2019</w:t>
            </w:r>
            <w:r w:rsidRPr="00D5748F">
              <w:t xml:space="preserve"> om ændring af forordning (EU) nr. 806/2014 for så vidt angår kreditinstitutters og investeringsselskabers tabsabsorberings- og rekapitaliseringskapacitet (EUT L 150 af </w:t>
            </w:r>
            <w:r w:rsidRPr="00D5748F">
              <w:lastRenderedPageBreak/>
              <w:t>7.6.2019, s. 226).</w:t>
            </w:r>
          </w:p>
        </w:tc>
        <w:tc>
          <w:tcPr>
            <w:tcW w:w="4876" w:type="dxa"/>
            <w:hideMark/>
          </w:tcPr>
          <w:p w:rsidR="00932D06" w:rsidRPr="00D5748F" w:rsidRDefault="0020623A">
            <w:pPr>
              <w:pStyle w:val="Normal6"/>
              <w:rPr>
                <w:szCs w:val="24"/>
              </w:rPr>
            </w:pPr>
            <w:r w:rsidRPr="00D5748F">
              <w:rPr>
                <w:vertAlign w:val="superscript"/>
              </w:rPr>
              <w:lastRenderedPageBreak/>
              <w:t>17</w:t>
            </w:r>
            <w:r w:rsidRPr="00D5748F">
              <w:t xml:space="preserve"> Europa-Parlamentets og Rådets forordning (EU) 2019/877 af 20. maj 2019 om ændring af forordning (EU) nr. 806/2014 for så vidt angår kreditinstitutters og investeringsselskabers tabsabsorberings- og rekapitaliseringskapacitet (EUT L 150 af </w:t>
            </w:r>
            <w:r w:rsidRPr="00D5748F">
              <w:lastRenderedPageBreak/>
              <w:t>7.6.2019, s. 226</w:t>
            </w:r>
            <w:r w:rsidRPr="00D5748F">
              <w:t>).</w:t>
            </w:r>
          </w:p>
        </w:tc>
      </w:tr>
      <w:tr w:rsidR="00112990" w:rsidRPr="00D5748F" w:rsidTr="00932D06">
        <w:trPr>
          <w:jc w:val="center"/>
        </w:trPr>
        <w:tc>
          <w:tcPr>
            <w:tcW w:w="4876" w:type="dxa"/>
            <w:hideMark/>
          </w:tcPr>
          <w:p w:rsidR="00932D06" w:rsidRPr="00D5748F" w:rsidRDefault="0020623A">
            <w:pPr>
              <w:pStyle w:val="Normal6"/>
            </w:pPr>
            <w:r w:rsidRPr="00D5748F">
              <w:rPr>
                <w:vertAlign w:val="superscript"/>
              </w:rPr>
              <w:lastRenderedPageBreak/>
              <w:t>18</w:t>
            </w:r>
            <w:r w:rsidRPr="00D5748F">
              <w:t xml:space="preserve"> Europa-Parlamentets og Rådets direktiv 2014/59/EU af 15. maj 2014 om et regelsæt for genopretning og afvikling af kreditinstitutter og investeringsselskaber og om ændring af Rådets direktiv 82/891/EØF og Europa-Parlamentets og Rådets direktiv 2001/2</w:t>
            </w:r>
            <w:r w:rsidRPr="00D5748F">
              <w:t>4/EF, 2002/47/EF, 2004/25/EF, 2005/56/EF, 2007/36/EF, 2011/35/EU, 2012/30/EU og 2013/36/EU samt forordning (EU) nr. 1093/2010 og (EU) nr. 648/2012 (EUT L 173 af 12.6.2014, s. 190).</w:t>
            </w:r>
          </w:p>
        </w:tc>
        <w:tc>
          <w:tcPr>
            <w:tcW w:w="4876" w:type="dxa"/>
            <w:hideMark/>
          </w:tcPr>
          <w:p w:rsidR="00932D06" w:rsidRPr="00D5748F" w:rsidRDefault="0020623A">
            <w:pPr>
              <w:pStyle w:val="Normal6"/>
              <w:rPr>
                <w:szCs w:val="24"/>
              </w:rPr>
            </w:pPr>
            <w:r w:rsidRPr="00D5748F">
              <w:rPr>
                <w:vertAlign w:val="superscript"/>
              </w:rPr>
              <w:t>18</w:t>
            </w:r>
            <w:r w:rsidRPr="00D5748F">
              <w:t xml:space="preserve"> Europa-Parlamentets og Rådets direktiv 2014/59/EU af 15. maj 2014 om et </w:t>
            </w:r>
            <w:r w:rsidRPr="00D5748F">
              <w:t>regelsæt for genopretning og afvikling af kreditinstitutter og investeringsselskaber og om ændring af Rådets direktiv 82/891/EØF og Europa-Parlamentets og Rådets direktiv 2001/24/EF, 2002/47/EF, 2004/25/EF, 2005/56/EF, 2007/36/EF, 2011/35/EU, 2012/30/EU og</w:t>
            </w:r>
            <w:r w:rsidRPr="00D5748F">
              <w:t xml:space="preserve"> 2013/36/EU samt forordning (EU) nr. 1093/2010 og (EU) nr. 648/2012 (EUT L 173 af 12.6.2014, s. 190).</w:t>
            </w:r>
          </w:p>
        </w:tc>
      </w:tr>
      <w:tr w:rsidR="00112990" w:rsidRPr="00D5748F" w:rsidTr="00932D06">
        <w:trPr>
          <w:jc w:val="center"/>
        </w:trPr>
        <w:tc>
          <w:tcPr>
            <w:tcW w:w="4876" w:type="dxa"/>
            <w:hideMark/>
          </w:tcPr>
          <w:p w:rsidR="00932D06" w:rsidRPr="00D5748F" w:rsidRDefault="0020623A">
            <w:pPr>
              <w:pStyle w:val="Normal6"/>
            </w:pPr>
            <w:r w:rsidRPr="00D5748F">
              <w:rPr>
                <w:vertAlign w:val="superscript"/>
              </w:rPr>
              <w:t>19</w:t>
            </w:r>
            <w:r w:rsidRPr="00D5748F">
              <w:t xml:space="preserve"> Europa-Parlamentets og Rådets forordning (EU) nr. 806/2014 af 15. juli 2014 om ensartede regler og en ensartet procedure for afvikling af kreditinstit</w:t>
            </w:r>
            <w:r w:rsidRPr="00D5748F">
              <w:t>utter og visse investeringsselskaber inden for rammerne af en fælles afviklingsmekanisme og en fælles afviklingsfond og om ændring af forordning (EU) nr. 1093/2010 (EUT L 225 af 30.7.2014, s. 1).</w:t>
            </w:r>
          </w:p>
        </w:tc>
        <w:tc>
          <w:tcPr>
            <w:tcW w:w="4876" w:type="dxa"/>
            <w:hideMark/>
          </w:tcPr>
          <w:p w:rsidR="00932D06" w:rsidRPr="00D5748F" w:rsidRDefault="0020623A">
            <w:pPr>
              <w:pStyle w:val="Normal6"/>
              <w:rPr>
                <w:szCs w:val="24"/>
              </w:rPr>
            </w:pPr>
            <w:r w:rsidRPr="00D5748F">
              <w:rPr>
                <w:vertAlign w:val="superscript"/>
              </w:rPr>
              <w:t>19</w:t>
            </w:r>
            <w:r w:rsidRPr="00D5748F">
              <w:t xml:space="preserve"> Europa-Parlamentets og Rådets forordning (EU) nr. 806/201</w:t>
            </w:r>
            <w:r w:rsidRPr="00D5748F">
              <w:t>4 af 15. juli 2014 om ensartede regler og en ensartet procedure for afvikling af kreditinstitutter og visse investeringsselskaber inden for rammerne af en fælles afviklingsmekanisme og en fælles afviklingsfond og om ændring af forordning (EU) nr. 1093/2010</w:t>
            </w:r>
            <w:r w:rsidRPr="00D5748F">
              <w:t xml:space="preserve"> (EUT L 225 af 30.7.2014, s. 1).</w:t>
            </w:r>
          </w:p>
        </w:tc>
      </w:tr>
    </w:tbl>
    <w:p w:rsidR="00932D06" w:rsidRPr="00D5748F" w:rsidRDefault="0020623A" w:rsidP="00932D06">
      <w:pPr>
        <w:pStyle w:val="Olang"/>
        <w:rPr>
          <w:sz w:val="24"/>
          <w:szCs w:val="24"/>
        </w:rPr>
      </w:pPr>
      <w:r w:rsidRPr="00D5748F">
        <w:rPr>
          <w:sz w:val="24"/>
          <w:szCs w:val="24"/>
        </w:rPr>
        <w:t xml:space="preserve">Or. </w:t>
      </w:r>
      <w:r w:rsidRPr="00D5748F">
        <w:rPr>
          <w:rStyle w:val="HideTWBExt"/>
        </w:rPr>
        <w:t>&lt;Original&gt;</w:t>
      </w:r>
      <w:r w:rsidRPr="00D5748F">
        <w:rPr>
          <w:rStyle w:val="HideTWBInt"/>
          <w:sz w:val="24"/>
          <w:szCs w:val="24"/>
        </w:rPr>
        <w:t>{EN}</w:t>
      </w:r>
      <w:r w:rsidRPr="00D5748F">
        <w:rPr>
          <w:sz w:val="24"/>
          <w:szCs w:val="24"/>
        </w:rPr>
        <w:t>en</w:t>
      </w:r>
      <w:r w:rsidRPr="00D5748F">
        <w:rPr>
          <w:rStyle w:val="HideTWBExt"/>
        </w:rPr>
        <w:t>&lt;/Original&gt;</w:t>
      </w:r>
    </w:p>
    <w:p w:rsidR="00932D06" w:rsidRPr="00D5748F" w:rsidRDefault="0020623A" w:rsidP="00932D06">
      <w:pPr>
        <w:rPr>
          <w:szCs w:val="24"/>
        </w:rPr>
      </w:pPr>
      <w:r w:rsidRPr="00D5748F">
        <w:rPr>
          <w:rStyle w:val="HideTWBExt"/>
        </w:rPr>
        <w:t>&lt;/Amend&gt;</w:t>
      </w:r>
    </w:p>
    <w:p w:rsidR="00932D06" w:rsidRPr="00D5748F" w:rsidRDefault="0020623A" w:rsidP="00932D06">
      <w:pPr>
        <w:pStyle w:val="AMNumberTabs0"/>
        <w:keepNext/>
      </w:pPr>
      <w:r w:rsidRPr="00D5748F">
        <w:rPr>
          <w:rStyle w:val="HideTWBExt"/>
          <w:b w:val="0"/>
        </w:rPr>
        <w:t>&lt;Amend&gt;</w:t>
      </w:r>
      <w:r w:rsidRPr="00D5748F">
        <w:t>Ændringsforslag</w:t>
      </w:r>
      <w:r w:rsidRPr="00D5748F">
        <w:tab/>
      </w:r>
      <w:r w:rsidRPr="00D5748F">
        <w:tab/>
      </w:r>
      <w:r w:rsidRPr="00D5748F">
        <w:rPr>
          <w:rStyle w:val="HideTWBExt"/>
          <w:b w:val="0"/>
        </w:rPr>
        <w:t>&lt;NumAm&gt;</w:t>
      </w:r>
      <w:r w:rsidRPr="00D5748F">
        <w:t>2</w:t>
      </w:r>
      <w:r w:rsidRPr="00D5748F">
        <w:rPr>
          <w:rStyle w:val="HideTWBExt"/>
          <w:b w:val="0"/>
        </w:rPr>
        <w:t>&lt;/NumAm&gt;</w:t>
      </w:r>
    </w:p>
    <w:p w:rsidR="00932D06" w:rsidRPr="00D5748F" w:rsidRDefault="0020623A" w:rsidP="00932D06">
      <w:pPr>
        <w:pStyle w:val="NormalBold12b"/>
        <w:keepNext/>
      </w:pPr>
      <w:r w:rsidRPr="00D5748F">
        <w:rPr>
          <w:rStyle w:val="HideTWBExt"/>
          <w:b w:val="0"/>
        </w:rPr>
        <w:t>&lt;DocAmend&gt;</w:t>
      </w:r>
      <w:r w:rsidRPr="00D5748F">
        <w:t>Forslag til direktiv</w:t>
      </w:r>
      <w:r w:rsidRPr="00D5748F">
        <w:rPr>
          <w:rStyle w:val="HideTWBExt"/>
          <w:b w:val="0"/>
        </w:rPr>
        <w:t>&lt;/DocAmend&gt;</w:t>
      </w:r>
    </w:p>
    <w:p w:rsidR="00932D06" w:rsidRPr="00D5748F" w:rsidRDefault="0020623A" w:rsidP="00932D06">
      <w:pPr>
        <w:pStyle w:val="NormalBold"/>
      </w:pPr>
      <w:r w:rsidRPr="00D5748F">
        <w:rPr>
          <w:rStyle w:val="HideTWBExt"/>
          <w:b w:val="0"/>
        </w:rPr>
        <w:t>&lt;Article&gt;</w:t>
      </w:r>
      <w:r w:rsidRPr="00D5748F">
        <w:t>Betragtning 3</w:t>
      </w:r>
      <w:r w:rsidRPr="00D5748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12990" w:rsidRPr="00D5748F" w:rsidTr="00932D06">
        <w:trPr>
          <w:jc w:val="center"/>
        </w:trPr>
        <w:tc>
          <w:tcPr>
            <w:tcW w:w="9752" w:type="dxa"/>
            <w:gridSpan w:val="2"/>
          </w:tcPr>
          <w:p w:rsidR="00932D06" w:rsidRPr="00D5748F" w:rsidRDefault="00932D06">
            <w:pPr>
              <w:keepNext/>
            </w:pPr>
          </w:p>
        </w:tc>
      </w:tr>
      <w:tr w:rsidR="00112990" w:rsidRPr="00D5748F" w:rsidTr="00932D06">
        <w:trPr>
          <w:jc w:val="center"/>
        </w:trPr>
        <w:tc>
          <w:tcPr>
            <w:tcW w:w="4876" w:type="dxa"/>
            <w:hideMark/>
          </w:tcPr>
          <w:p w:rsidR="00932D06" w:rsidRPr="00D5748F" w:rsidRDefault="0020623A">
            <w:pPr>
              <w:pStyle w:val="ColumnHeading"/>
              <w:keepNext/>
            </w:pPr>
            <w:r w:rsidRPr="00D5748F">
              <w:t>Kommissionens forslag</w:t>
            </w:r>
          </w:p>
        </w:tc>
        <w:tc>
          <w:tcPr>
            <w:tcW w:w="4876" w:type="dxa"/>
            <w:hideMark/>
          </w:tcPr>
          <w:p w:rsidR="00932D06" w:rsidRPr="00D5748F" w:rsidRDefault="0020623A">
            <w:pPr>
              <w:pStyle w:val="ColumnHeading"/>
              <w:keepNext/>
            </w:pPr>
            <w:r w:rsidRPr="00D5748F">
              <w:t>Ændringsforslag</w:t>
            </w:r>
          </w:p>
        </w:tc>
      </w:tr>
      <w:tr w:rsidR="00112990" w:rsidRPr="00D5748F" w:rsidTr="00932D06">
        <w:trPr>
          <w:jc w:val="center"/>
        </w:trPr>
        <w:tc>
          <w:tcPr>
            <w:tcW w:w="4876" w:type="dxa"/>
            <w:hideMark/>
          </w:tcPr>
          <w:p w:rsidR="00932D06" w:rsidRPr="00D5748F" w:rsidRDefault="0020623A">
            <w:pPr>
              <w:pStyle w:val="Normal6"/>
            </w:pPr>
            <w:r w:rsidRPr="00D5748F">
              <w:t>(3)</w:t>
            </w:r>
            <w:r w:rsidRPr="00D5748F">
              <w:tab/>
              <w:t xml:space="preserve">Kommissionens </w:t>
            </w:r>
            <w:r w:rsidRPr="00D5748F">
              <w:t>gennemgang viste, at det ville være hensigtsmæssigt og stå i et rimeligt forhold til de mål, der forfølges med reglerne om internt MREL, at gøre det muligt for afviklingsmyndighederne at fastsætte det interne MREL på et konsolideret grundlag for en vifte a</w:t>
            </w:r>
            <w:r w:rsidRPr="00D5748F">
              <w:t>f enheder, der er bredere end den vifte, der følger af anvendelsen af direktiv 2014/59/EU og forordning (EU) nr. 806/2014, når en sådan bredere vifte omfatter institutter og enheder, der ikke selv er afviklingsenheder, men som er datterselskaber af afvikli</w:t>
            </w:r>
            <w:r w:rsidRPr="00D5748F">
              <w:t xml:space="preserve">ngsenheder, og som selv kontrollerer datterselskaber, der er omfattet af MREL ("mellemliggende </w:t>
            </w:r>
            <w:r w:rsidRPr="00D5748F">
              <w:lastRenderedPageBreak/>
              <w:t>enheder"). Dette ville navnlig være tilfældet for de bankkoncerner, der ledes af et holdingselskab. I sådanne tilfælde centraliserer de mellemliggende enheder na</w:t>
            </w:r>
            <w:r w:rsidRPr="00D5748F">
              <w:t>turligt koncerninterne eksponeringer og kanaliserer de interne MREL-nedskrivningsrelevante ressourcer, der på forhånd er placeret af afviklingsenheden. På grund af denne struktur vil sådanne mellemliggende enheder blive uforholdsmæssigt hårdt ramt af fradr</w:t>
            </w:r>
            <w:r w:rsidRPr="00D5748F">
              <w:t>agsreglerne. Kommissionen konkluderede også, at MREL-rammen ville blive mere forholdsmæssig gennem fjernelse af likvidationsenheders udstedelser fra anvendelsesområdet for de eksponeringer, som en mellemliggende enhed skal fratrække i henhold til fradragsm</w:t>
            </w:r>
            <w:r w:rsidRPr="00D5748F">
              <w:t>ekanismen for indirekte tegning af nedskrivningsrelevante ressourcer med henblik på internt MREL. En likvidationsenhed skal ikke støttes af afviklingsenheden i tilfælde af sammenbrud, hvilket fjerner behovet for at beskytte eventuelle tabs- og kapitaloverf</w:t>
            </w:r>
            <w:r w:rsidRPr="00D5748F">
              <w:t>ørselsmekanismer inden for afviklingskoncerner, hvilket var formålet med de fradragsregler, der blev indført ved forordning (EU) 2022/2036. I modsætning hertil vil afviklingskoncernens resterende enheder skulle støttes af afviklingsenheden i tilfælde af va</w:t>
            </w:r>
            <w:r w:rsidRPr="00D5748F">
              <w:t>nskeligheder eller sammenbrud. De nødvendige MREL-ressourcer bør derfor være til stede på alle niveauer i afviklingskoncernen, og deres mulighed for tabsabsorbering og rekapitalisering bør sikres gennem fradragsmekanismen. I Kommissionens gennemgang blev d</w:t>
            </w:r>
            <w:r w:rsidRPr="00D5748F">
              <w:t>et således konkluderet, at mellemliggende enheder fortsat bør fratrække det fulde beløb af deres besiddelser af nedskrivningsrelevante ressourcer med henblik på internt MREL udstedt af andre ikke-likvidationsenheder i samme afviklingskoncern.</w:t>
            </w:r>
          </w:p>
        </w:tc>
        <w:tc>
          <w:tcPr>
            <w:tcW w:w="4876" w:type="dxa"/>
            <w:hideMark/>
          </w:tcPr>
          <w:p w:rsidR="00932D06" w:rsidRPr="00D5748F" w:rsidRDefault="0020623A" w:rsidP="006A17A3">
            <w:pPr>
              <w:pStyle w:val="Normal6"/>
              <w:rPr>
                <w:szCs w:val="24"/>
              </w:rPr>
            </w:pPr>
            <w:r w:rsidRPr="00D5748F">
              <w:lastRenderedPageBreak/>
              <w:t>(3)</w:t>
            </w:r>
            <w:r w:rsidRPr="00D5748F">
              <w:tab/>
              <w:t>Kommissio</w:t>
            </w:r>
            <w:r w:rsidRPr="00D5748F">
              <w:t>nens gennemgang viste, at det ville være hensigtsmæssigt og stå i et rimeligt forhold til de mål, der forfølges med reglerne om internt MREL, at gøre det muligt for afviklingsmyndighederne at fastsætte det interne MREL på et konsolideret grundlag for en vi</w:t>
            </w:r>
            <w:r w:rsidRPr="00D5748F">
              <w:t>fte af enheder, der er bredere end den vifte, der følger af anvendelsen af direktiv 2014/59/EU og forordning (EU) nr. 806/2014, når en sådan bredere vifte omfatter institutter og enheder, der ikke selv er afviklingsenheder, men som er datterselskaber af af</w:t>
            </w:r>
            <w:r w:rsidRPr="00D5748F">
              <w:t xml:space="preserve">viklingsenheder, og som selv kontrollerer </w:t>
            </w:r>
            <w:r w:rsidRPr="00D5748F">
              <w:rPr>
                <w:b/>
                <w:bCs/>
                <w:i/>
                <w:iCs/>
              </w:rPr>
              <w:t>andre</w:t>
            </w:r>
            <w:r w:rsidRPr="00D5748F">
              <w:t xml:space="preserve"> datterselskaber ("mellemliggende enheder"), </w:t>
            </w:r>
            <w:r w:rsidRPr="00D5748F">
              <w:rPr>
                <w:b/>
                <w:bCs/>
                <w:i/>
                <w:iCs/>
              </w:rPr>
              <w:t xml:space="preserve">inden for den </w:t>
            </w:r>
            <w:r w:rsidRPr="00D5748F">
              <w:rPr>
                <w:b/>
                <w:bCs/>
                <w:i/>
                <w:iCs/>
              </w:rPr>
              <w:lastRenderedPageBreak/>
              <w:t>samme afviklingskoncern</w:t>
            </w:r>
            <w:r w:rsidRPr="00D5748F">
              <w:t xml:space="preserve">. Dette ville navnlig være tilfældet for de bankkoncerner, der ledes af et holdingselskab. I sådanne tilfælde centraliserer de </w:t>
            </w:r>
            <w:r w:rsidRPr="00D5748F">
              <w:t xml:space="preserve">mellemliggende enheder naturligt koncerninterne eksponeringer og kanaliserer de interne MREL-nedskrivningsrelevante ressourcer, der på forhånd er placeret af afviklingsenheden. På grund af denne struktur </w:t>
            </w:r>
            <w:r w:rsidRPr="00D5748F">
              <w:rPr>
                <w:b/>
                <w:bCs/>
                <w:i/>
                <w:iCs/>
              </w:rPr>
              <w:t>kan</w:t>
            </w:r>
            <w:r w:rsidRPr="00D5748F">
              <w:t xml:space="preserve"> sådanne mellemliggende enheder blive uforholdsmæ</w:t>
            </w:r>
            <w:r w:rsidRPr="00D5748F">
              <w:t xml:space="preserve">ssigt hårdt ramt af fradragsreglerne. Kommissionen konkluderede også, at MREL-rammen ville blive </w:t>
            </w:r>
            <w:r w:rsidRPr="00D5748F">
              <w:rPr>
                <w:b/>
                <w:bCs/>
                <w:i/>
                <w:iCs/>
              </w:rPr>
              <w:t>gjort</w:t>
            </w:r>
            <w:r w:rsidRPr="00D5748F">
              <w:rPr>
                <w:b/>
                <w:bCs/>
              </w:rPr>
              <w:t xml:space="preserve"> </w:t>
            </w:r>
            <w:r w:rsidRPr="00D5748F">
              <w:t xml:space="preserve">mere forholdsmæssig gennem </w:t>
            </w:r>
            <w:r w:rsidRPr="00D5748F">
              <w:rPr>
                <w:b/>
                <w:bCs/>
                <w:i/>
                <w:iCs/>
              </w:rPr>
              <w:t xml:space="preserve">tilpasning af reglerne om </w:t>
            </w:r>
            <w:r w:rsidRPr="00D5748F">
              <w:t>anvendelsesområdet for de eksponeringer, som en mellemliggende enhed skal fratrække</w:t>
            </w:r>
            <w:r w:rsidRPr="00D5748F">
              <w:rPr>
                <w:b/>
                <w:bCs/>
                <w:i/>
                <w:iCs/>
              </w:rPr>
              <w:t>, i tilfælde hvor</w:t>
            </w:r>
            <w:r w:rsidRPr="00D5748F">
              <w:rPr>
                <w:b/>
                <w:bCs/>
                <w:i/>
                <w:iCs/>
              </w:rPr>
              <w:t xml:space="preserve"> den udstedende enhed er en likvidationsenhed, som ikke er omfattet af en MREL-afgørelse.</w:t>
            </w:r>
            <w:r w:rsidRPr="00D5748F">
              <w:rPr>
                <w:b/>
                <w:i/>
              </w:rPr>
              <w:t xml:space="preserve"> </w:t>
            </w:r>
            <w:r w:rsidRPr="00D5748F">
              <w:rPr>
                <w:b/>
                <w:bCs/>
                <w:i/>
                <w:iCs/>
              </w:rPr>
              <w:t>I disse tilfælde forventes det ikke, at nedskrivnings- og konverteringsbeføjelserne skal udøves med hensyn til sådanne likvidationsenheder</w:t>
            </w:r>
            <w:r w:rsidRPr="00D5748F">
              <w:t>, hvilket fjerner behovet fo</w:t>
            </w:r>
            <w:r w:rsidRPr="00D5748F">
              <w:t>r at beskytte eventuelle tabs- og kapitaloverførselsmekanismer inden for afviklingskoncerner, hvilket var formålet med de fradragsregler, der blev indført ved forordning (EU) 2022/2036. I modsætning hertil vil afviklingskoncernens resterende enheder skulle</w:t>
            </w:r>
            <w:r w:rsidRPr="00D5748F">
              <w:t xml:space="preserve"> støttes af afviklingsenheden i tilfælde af vanskeligheder eller sammenbrud. De nødvendige MREL-ressourcer bør derfor være til stede på alle niveauer i afviklingskoncernen, og deres mulighed for tabsabsorbering og rekapitalisering bør sikres gennem fradrag</w:t>
            </w:r>
            <w:r w:rsidRPr="00D5748F">
              <w:t>smekanismen. I Kommissionens gennemgang blev det således konkluderet, at mellemliggende enheder fortsat bør fratrække det fulde beløb af deres besiddelser af nedskrivningsrelevante ressourcer med henblik på internt MREL udstedt af andre ikke-likvidationsen</w:t>
            </w:r>
            <w:r w:rsidRPr="00D5748F">
              <w:t>heder i samme afviklingskoncern.</w:t>
            </w:r>
          </w:p>
        </w:tc>
      </w:tr>
    </w:tbl>
    <w:p w:rsidR="00932D06" w:rsidRPr="00D5748F" w:rsidRDefault="0020623A" w:rsidP="00932D06">
      <w:pPr>
        <w:pStyle w:val="Olang"/>
        <w:rPr>
          <w:sz w:val="24"/>
          <w:szCs w:val="24"/>
        </w:rPr>
      </w:pPr>
      <w:r w:rsidRPr="00D5748F">
        <w:rPr>
          <w:sz w:val="24"/>
          <w:szCs w:val="24"/>
        </w:rPr>
        <w:lastRenderedPageBreak/>
        <w:t xml:space="preserve">Or. </w:t>
      </w:r>
      <w:r w:rsidRPr="00D5748F">
        <w:rPr>
          <w:rStyle w:val="HideTWBExt"/>
        </w:rPr>
        <w:t>&lt;Original&gt;</w:t>
      </w:r>
      <w:r w:rsidRPr="00D5748F">
        <w:rPr>
          <w:rStyle w:val="HideTWBInt"/>
          <w:sz w:val="24"/>
          <w:szCs w:val="24"/>
        </w:rPr>
        <w:t>{EN}</w:t>
      </w:r>
      <w:r w:rsidRPr="00D5748F">
        <w:rPr>
          <w:sz w:val="24"/>
          <w:szCs w:val="24"/>
        </w:rPr>
        <w:t>en</w:t>
      </w:r>
      <w:r w:rsidRPr="00D5748F">
        <w:rPr>
          <w:rStyle w:val="HideTWBExt"/>
        </w:rPr>
        <w:t>&lt;/Original&gt;</w:t>
      </w:r>
    </w:p>
    <w:p w:rsidR="00932D06" w:rsidRPr="00D5748F" w:rsidRDefault="0020623A" w:rsidP="00932D06">
      <w:pPr>
        <w:rPr>
          <w:szCs w:val="24"/>
        </w:rPr>
      </w:pPr>
      <w:r w:rsidRPr="00D5748F">
        <w:rPr>
          <w:rStyle w:val="HideTWBExt"/>
        </w:rPr>
        <w:t>&lt;/Amend&gt;</w:t>
      </w:r>
    </w:p>
    <w:p w:rsidR="00932D06" w:rsidRPr="00D5748F" w:rsidRDefault="0020623A" w:rsidP="00932D06">
      <w:pPr>
        <w:pStyle w:val="AMNumberTabs0"/>
        <w:keepNext/>
      </w:pPr>
      <w:r w:rsidRPr="00D5748F">
        <w:rPr>
          <w:rStyle w:val="HideTWBExt"/>
          <w:b w:val="0"/>
        </w:rPr>
        <w:lastRenderedPageBreak/>
        <w:t>&lt;Amend&gt;</w:t>
      </w:r>
      <w:r w:rsidRPr="00D5748F">
        <w:t>Ændringsforslag</w:t>
      </w:r>
      <w:r w:rsidRPr="00D5748F">
        <w:tab/>
      </w:r>
      <w:r w:rsidRPr="00D5748F">
        <w:tab/>
      </w:r>
      <w:r w:rsidRPr="00D5748F">
        <w:rPr>
          <w:rStyle w:val="HideTWBExt"/>
          <w:b w:val="0"/>
        </w:rPr>
        <w:t>&lt;NumAm&gt;</w:t>
      </w:r>
      <w:r w:rsidRPr="00D5748F">
        <w:t>3</w:t>
      </w:r>
      <w:r w:rsidRPr="00D5748F">
        <w:rPr>
          <w:rStyle w:val="HideTWBExt"/>
          <w:b w:val="0"/>
        </w:rPr>
        <w:t>&lt;/NumAm&gt;</w:t>
      </w:r>
    </w:p>
    <w:p w:rsidR="00932D06" w:rsidRPr="00D5748F" w:rsidRDefault="0020623A" w:rsidP="00932D06">
      <w:pPr>
        <w:pStyle w:val="NormalBold12b"/>
        <w:keepNext/>
      </w:pPr>
      <w:r w:rsidRPr="00D5748F">
        <w:rPr>
          <w:rStyle w:val="HideTWBExt"/>
          <w:b w:val="0"/>
        </w:rPr>
        <w:t>&lt;DocAmend&gt;</w:t>
      </w:r>
      <w:r w:rsidRPr="00D5748F">
        <w:t>Forslag til direktiv</w:t>
      </w:r>
      <w:r w:rsidRPr="00D5748F">
        <w:rPr>
          <w:rStyle w:val="HideTWBExt"/>
          <w:b w:val="0"/>
        </w:rPr>
        <w:t>&lt;/DocAmend&gt;</w:t>
      </w:r>
    </w:p>
    <w:p w:rsidR="00932D06" w:rsidRPr="00D5748F" w:rsidRDefault="0020623A" w:rsidP="00932D06">
      <w:pPr>
        <w:pStyle w:val="NormalBold"/>
      </w:pPr>
      <w:r w:rsidRPr="00D5748F">
        <w:rPr>
          <w:rStyle w:val="HideTWBExt"/>
          <w:b w:val="0"/>
        </w:rPr>
        <w:t>&lt;Article&gt;</w:t>
      </w:r>
      <w:r w:rsidRPr="00D5748F">
        <w:t>Betragtning 5</w:t>
      </w:r>
      <w:r w:rsidRPr="00D5748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12990" w:rsidRPr="00D5748F" w:rsidTr="00932D06">
        <w:trPr>
          <w:jc w:val="center"/>
        </w:trPr>
        <w:tc>
          <w:tcPr>
            <w:tcW w:w="9752" w:type="dxa"/>
            <w:gridSpan w:val="2"/>
          </w:tcPr>
          <w:p w:rsidR="00932D06" w:rsidRPr="00D5748F" w:rsidRDefault="00932D06">
            <w:pPr>
              <w:keepNext/>
            </w:pPr>
          </w:p>
        </w:tc>
      </w:tr>
      <w:tr w:rsidR="00112990" w:rsidRPr="00D5748F" w:rsidTr="00932D06">
        <w:trPr>
          <w:jc w:val="center"/>
        </w:trPr>
        <w:tc>
          <w:tcPr>
            <w:tcW w:w="4876" w:type="dxa"/>
            <w:hideMark/>
          </w:tcPr>
          <w:p w:rsidR="00932D06" w:rsidRPr="00D5748F" w:rsidRDefault="0020623A">
            <w:pPr>
              <w:pStyle w:val="ColumnHeading"/>
              <w:keepNext/>
            </w:pPr>
            <w:r w:rsidRPr="00D5748F">
              <w:t>Kommissionens forslag</w:t>
            </w:r>
          </w:p>
        </w:tc>
        <w:tc>
          <w:tcPr>
            <w:tcW w:w="4876" w:type="dxa"/>
            <w:hideMark/>
          </w:tcPr>
          <w:p w:rsidR="00932D06" w:rsidRPr="00D5748F" w:rsidRDefault="0020623A">
            <w:pPr>
              <w:pStyle w:val="ColumnHeading"/>
              <w:keepNext/>
            </w:pPr>
            <w:r w:rsidRPr="00D5748F">
              <w:t>Ændringsforslag</w:t>
            </w:r>
          </w:p>
        </w:tc>
      </w:tr>
      <w:tr w:rsidR="00112990" w:rsidRPr="00D5748F" w:rsidTr="00932D06">
        <w:trPr>
          <w:jc w:val="center"/>
        </w:trPr>
        <w:tc>
          <w:tcPr>
            <w:tcW w:w="4876" w:type="dxa"/>
            <w:hideMark/>
          </w:tcPr>
          <w:p w:rsidR="00932D06" w:rsidRPr="00D5748F" w:rsidRDefault="0020623A">
            <w:pPr>
              <w:pStyle w:val="Normal6"/>
            </w:pPr>
            <w:r w:rsidRPr="00D5748F">
              <w:t>(5)</w:t>
            </w:r>
            <w:r w:rsidRPr="00D5748F">
              <w:tab/>
              <w:t xml:space="preserve">For at sikre, at </w:t>
            </w:r>
            <w:r w:rsidRPr="00D5748F">
              <w:t>muligheden for at overholde MREL på konsolideret grundlag kun er tilgængelig i de relevante tilfælde, der er udpeget i Kommissionens gennemgang, og ikke fører til mangel på nedskrivningsrelevante ressourcer med henblik på internt MREL i hele afviklingskonc</w:t>
            </w:r>
            <w:r w:rsidRPr="00D5748F">
              <w:t>ernen, bør beføjelsen til at fastsætte det interne MREL på et konsolideret grundlag for mellemliggende enheder være en skønsbeføjelse for afviklingsmyndigheden og være underlagt visse betingelser. Den mellemliggende enhed bør være det eneste direkte datter</w:t>
            </w:r>
            <w:r w:rsidRPr="00D5748F">
              <w:t>selskab, dvs. et institut eller en enhed, af en afviklingsenhed, som er et finansielt moderholdingselskab i Unionen eller et blandet finansielt moderholdingselskab i Unionen, som er etableret i samme medlemsstat og er en del af samme afviklingskoncern. Alt</w:t>
            </w:r>
            <w:r w:rsidRPr="00D5748F">
              <w:t>ernativt bør den pågældende mellemliggende enhed opfylde kravet om yderligere kapitalgrundlag eller det kombinerede bufferkrav på grundlag af dens konsoliderede situation. I begge tilfælde bør overholdelsen af det interne MREL på konsolideret grundlag imid</w:t>
            </w:r>
            <w:r w:rsidRPr="00D5748F">
              <w:t>lertid efter afviklingsmyndighedens vurdering ikke i væsentlig grad have negative virkninger for afviklingsmulighederne for den pågældende afviklingskoncern eller afviklingsmyndighedens anvendelse af beføjelsen til at nedskrive eller konvertere relevante k</w:t>
            </w:r>
            <w:r w:rsidRPr="00D5748F">
              <w:t>apitalinstrumenter og nedskrivningsrelevante passiver i den pågældende mellemliggende enhed eller andre enheder i dens afviklingskoncern.</w:t>
            </w:r>
          </w:p>
        </w:tc>
        <w:tc>
          <w:tcPr>
            <w:tcW w:w="4876" w:type="dxa"/>
            <w:hideMark/>
          </w:tcPr>
          <w:p w:rsidR="00932D06" w:rsidRPr="00D5748F" w:rsidRDefault="0020623A" w:rsidP="001C63AC">
            <w:pPr>
              <w:pStyle w:val="Normal6"/>
              <w:rPr>
                <w:szCs w:val="24"/>
              </w:rPr>
            </w:pPr>
            <w:r w:rsidRPr="00D5748F">
              <w:t>(5)</w:t>
            </w:r>
            <w:r w:rsidRPr="00D5748F">
              <w:tab/>
              <w:t>For at sikre, at muligheden for at overholde MREL på konsolideret grundlag kun er tilgængelig i de relevante tilfæ</w:t>
            </w:r>
            <w:r w:rsidRPr="00D5748F">
              <w:t>lde, der er udpeget i Kommissionens gennemgang, og ikke fører til mangel på nedskrivningsrelevante ressourcer med henblik på internt MREL i hele afviklingskoncernen, bør beføjelsen til at fastsætte det interne MREL på et konsolideret grundlag for mellemlig</w:t>
            </w:r>
            <w:r w:rsidRPr="00D5748F">
              <w:t>gende enheder være en skønsbeføjelse for afviklingsmyndigheden og være underlagt visse betingelser. Den mellemliggende enhed bør være det eneste direkte datterselskab, dvs. et institut eller en enhed, af en afviklingsenhed, som er et finansielt moderholdin</w:t>
            </w:r>
            <w:r w:rsidRPr="00D5748F">
              <w:t>gselskab i Unionen eller et blandet finansielt moderholdingselskab i Unionen, som er etableret i samme medlemsstat og er en del af samme afviklingskoncern. Alternativt bør den pågældende mellemliggende enhed opfylde kravet om yderligere kapitalgrundlag ell</w:t>
            </w:r>
            <w:r w:rsidRPr="00D5748F">
              <w:t>er det kombinerede bufferkrav på grundlag af dens konsoliderede situation. I begge tilfælde bør overholdelsen af det interne MREL på konsolideret grundlag imidlertid efter afviklingsmyndighedens vurdering ikke have negative virkninger for afviklingsmulighe</w:t>
            </w:r>
            <w:r w:rsidRPr="00D5748F">
              <w:t xml:space="preserve">derne for den pågældende afviklingskoncern eller afviklingsmyndighedens anvendelse af beføjelsen til at nedskrive eller konvertere relevante kapitalinstrumenter og nedskrivningsrelevante passiver i den pågældende mellemliggende enhed eller andre enheder i </w:t>
            </w:r>
            <w:r w:rsidRPr="00D5748F">
              <w:t xml:space="preserve">dens afviklingskoncern. </w:t>
            </w:r>
            <w:r w:rsidRPr="00D5748F">
              <w:rPr>
                <w:b/>
                <w:i/>
              </w:rPr>
              <w:t>En situation, hvor fastsættelsen af det interne MREL på et konsolideret grundlag ville være til skade for afviklingskoncernens afviklingsmuligheder, er, hvor beløbet for dette MREL ikke sikrer overholdelse af de individuelle kapital</w:t>
            </w:r>
            <w:r w:rsidRPr="00D5748F">
              <w:rPr>
                <w:b/>
                <w:i/>
              </w:rPr>
              <w:t xml:space="preserve">grundlagskrav, der </w:t>
            </w:r>
            <w:r w:rsidRPr="00D5748F">
              <w:rPr>
                <w:b/>
                <w:i/>
              </w:rPr>
              <w:lastRenderedPageBreak/>
              <w:t>finder anvendelse efter udøvelsen af nedskrivnings- og konverteringsbeføjelserne.</w:t>
            </w:r>
          </w:p>
        </w:tc>
      </w:tr>
    </w:tbl>
    <w:p w:rsidR="00932D06" w:rsidRPr="00D5748F" w:rsidRDefault="0020623A" w:rsidP="00932D06">
      <w:pPr>
        <w:pStyle w:val="Olang"/>
        <w:rPr>
          <w:sz w:val="24"/>
          <w:szCs w:val="24"/>
        </w:rPr>
      </w:pPr>
      <w:r w:rsidRPr="00D5748F">
        <w:rPr>
          <w:sz w:val="24"/>
          <w:szCs w:val="24"/>
        </w:rPr>
        <w:lastRenderedPageBreak/>
        <w:t xml:space="preserve">Or. </w:t>
      </w:r>
      <w:r w:rsidRPr="00D5748F">
        <w:rPr>
          <w:rStyle w:val="HideTWBExt"/>
        </w:rPr>
        <w:t>&lt;Original&gt;</w:t>
      </w:r>
      <w:r w:rsidRPr="00D5748F">
        <w:rPr>
          <w:rStyle w:val="HideTWBInt"/>
          <w:sz w:val="24"/>
          <w:szCs w:val="24"/>
        </w:rPr>
        <w:t>{EN}</w:t>
      </w:r>
      <w:r w:rsidRPr="00D5748F">
        <w:rPr>
          <w:sz w:val="24"/>
          <w:szCs w:val="24"/>
        </w:rPr>
        <w:t>en</w:t>
      </w:r>
      <w:r w:rsidRPr="00D5748F">
        <w:rPr>
          <w:rStyle w:val="HideTWBExt"/>
        </w:rPr>
        <w:t>&lt;/Original&gt;</w:t>
      </w:r>
    </w:p>
    <w:p w:rsidR="00932D06" w:rsidRPr="00D5748F" w:rsidRDefault="0020623A" w:rsidP="00932D06">
      <w:pPr>
        <w:rPr>
          <w:szCs w:val="24"/>
        </w:rPr>
      </w:pPr>
      <w:r w:rsidRPr="00D5748F">
        <w:rPr>
          <w:rStyle w:val="HideTWBExt"/>
        </w:rPr>
        <w:t>&lt;/Amend&gt;</w:t>
      </w:r>
    </w:p>
    <w:p w:rsidR="00932D06" w:rsidRPr="00D5748F" w:rsidRDefault="0020623A" w:rsidP="00932D06">
      <w:pPr>
        <w:pStyle w:val="AMNumberTabs0"/>
        <w:keepNext/>
      </w:pPr>
      <w:r w:rsidRPr="00D5748F">
        <w:rPr>
          <w:rStyle w:val="HideTWBExt"/>
          <w:b w:val="0"/>
        </w:rPr>
        <w:t>&lt;Amend&gt;</w:t>
      </w:r>
      <w:r w:rsidRPr="00D5748F">
        <w:t>Ændringsforslag</w:t>
      </w:r>
      <w:r w:rsidRPr="00D5748F">
        <w:tab/>
      </w:r>
      <w:r w:rsidRPr="00D5748F">
        <w:tab/>
      </w:r>
      <w:r w:rsidRPr="00D5748F">
        <w:rPr>
          <w:rStyle w:val="HideTWBExt"/>
          <w:b w:val="0"/>
        </w:rPr>
        <w:t>&lt;NumAm&gt;</w:t>
      </w:r>
      <w:r w:rsidRPr="00D5748F">
        <w:t>4</w:t>
      </w:r>
      <w:r w:rsidRPr="00D5748F">
        <w:rPr>
          <w:rStyle w:val="HideTWBExt"/>
          <w:b w:val="0"/>
        </w:rPr>
        <w:t>&lt;/NumAm&gt;</w:t>
      </w:r>
    </w:p>
    <w:p w:rsidR="00932D06" w:rsidRPr="00D5748F" w:rsidRDefault="0020623A" w:rsidP="00932D06">
      <w:pPr>
        <w:pStyle w:val="NormalBold12b"/>
        <w:keepNext/>
      </w:pPr>
      <w:r w:rsidRPr="00D5748F">
        <w:rPr>
          <w:rStyle w:val="HideTWBExt"/>
          <w:b w:val="0"/>
        </w:rPr>
        <w:t>&lt;DocAmend&gt;</w:t>
      </w:r>
      <w:r w:rsidRPr="00D5748F">
        <w:t>Forslag til direktiv</w:t>
      </w:r>
      <w:r w:rsidRPr="00D5748F">
        <w:rPr>
          <w:rStyle w:val="HideTWBExt"/>
          <w:b w:val="0"/>
        </w:rPr>
        <w:t>&lt;/DocAmend&gt;</w:t>
      </w:r>
    </w:p>
    <w:p w:rsidR="00932D06" w:rsidRPr="00D5748F" w:rsidRDefault="0020623A" w:rsidP="00932D06">
      <w:pPr>
        <w:pStyle w:val="NormalBold"/>
      </w:pPr>
      <w:r w:rsidRPr="00D5748F">
        <w:rPr>
          <w:rStyle w:val="HideTWBExt"/>
          <w:b w:val="0"/>
        </w:rPr>
        <w:t>&lt;Article&gt;</w:t>
      </w:r>
      <w:r w:rsidRPr="00D5748F">
        <w:t>Betragtning 6</w:t>
      </w:r>
      <w:r w:rsidRPr="00D5748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12990" w:rsidRPr="00D5748F" w:rsidTr="00932D06">
        <w:trPr>
          <w:jc w:val="center"/>
        </w:trPr>
        <w:tc>
          <w:tcPr>
            <w:tcW w:w="9752" w:type="dxa"/>
            <w:gridSpan w:val="2"/>
          </w:tcPr>
          <w:p w:rsidR="00932D06" w:rsidRPr="00D5748F" w:rsidRDefault="00932D06">
            <w:pPr>
              <w:keepNext/>
            </w:pPr>
          </w:p>
        </w:tc>
      </w:tr>
      <w:tr w:rsidR="00112990" w:rsidRPr="00D5748F" w:rsidTr="00932D06">
        <w:trPr>
          <w:jc w:val="center"/>
        </w:trPr>
        <w:tc>
          <w:tcPr>
            <w:tcW w:w="4876" w:type="dxa"/>
            <w:hideMark/>
          </w:tcPr>
          <w:p w:rsidR="00932D06" w:rsidRPr="00D5748F" w:rsidRDefault="0020623A">
            <w:pPr>
              <w:pStyle w:val="ColumnHeading"/>
              <w:keepNext/>
            </w:pPr>
            <w:r w:rsidRPr="00D5748F">
              <w:t>Kommissionens forslag</w:t>
            </w:r>
          </w:p>
        </w:tc>
        <w:tc>
          <w:tcPr>
            <w:tcW w:w="4876" w:type="dxa"/>
            <w:hideMark/>
          </w:tcPr>
          <w:p w:rsidR="00932D06" w:rsidRPr="00D5748F" w:rsidRDefault="0020623A">
            <w:pPr>
              <w:pStyle w:val="ColumnHeading"/>
              <w:keepNext/>
            </w:pPr>
            <w:r w:rsidRPr="00D5748F">
              <w:t>Ændringsforslag</w:t>
            </w:r>
          </w:p>
        </w:tc>
      </w:tr>
      <w:tr w:rsidR="00112990" w:rsidRPr="00D5748F" w:rsidTr="00932D06">
        <w:trPr>
          <w:jc w:val="center"/>
        </w:trPr>
        <w:tc>
          <w:tcPr>
            <w:tcW w:w="4876" w:type="dxa"/>
            <w:hideMark/>
          </w:tcPr>
          <w:p w:rsidR="00932D06" w:rsidRPr="00D5748F" w:rsidRDefault="0020623A">
            <w:pPr>
              <w:pStyle w:val="Normal6"/>
            </w:pPr>
            <w:r w:rsidRPr="00D5748F">
              <w:t>(6)</w:t>
            </w:r>
            <w:r w:rsidRPr="00D5748F">
              <w:tab/>
              <w:t>I henhold til artikel 45f, stk. 2, i direktiv 2014/59/EU og artikel 12g, stk. 2, i forordning (EU) nr. 806/2014 kan mellemliggende enheder opfylde det konsoliderede interne MREL ved hjælp af kapitalgr</w:t>
            </w:r>
            <w:r w:rsidRPr="00D5748F">
              <w:t>undlag og nedskrivningsrelevante passiver. For fuldt ud at kunne opfylde MREL-kravet på konsolideret grundlag er det nødvendigt at sikre, at de nedskrivningsrelevante passiver i mellemliggende enheder beregnes på en måde, der svarer til beregningen af kapi</w:t>
            </w:r>
            <w:r w:rsidRPr="00D5748F">
              <w:t>talgrundlaget. Kriterierne for nedskrivningsrelevante passiver, der kan anvendes til at opfylde det interne MREL på konsolideret grundlag, bør derfor tilpasses reglerne om beregning af konsolideret kapitalgrundlag i forordning (EU) nr. 575/2013. For at sik</w:t>
            </w:r>
            <w:r w:rsidRPr="00D5748F">
              <w:t>re overensstemmelse med de eksisterende regler om det eksterne MREL bør denne tilpasning også afspejle de eksisterende regler i artikel 45b, stk. 3, i direktiv 2014/59/EU og artikel 12d, stk. 3, i forordning (EU) nr. 806/2014 om beregning af nedskrivningsr</w:t>
            </w:r>
            <w:r w:rsidRPr="00D5748F">
              <w:t>elevante passiver, som afviklingsenheder kan anvende til at opfylde deres konsoliderede MREL. Det er navnlig nødvendigt at sikre, at nedskrivningsrelevante passiver, der er udstedt af datterselskaber af den enhed, der er omfattet af det konsoliderede inter</w:t>
            </w:r>
            <w:r w:rsidRPr="00D5748F">
              <w:t xml:space="preserve">ne MREL, og som besiddes af andre enheder i samme afviklingskoncern, men som ikke er omfattet af konsolideringen, herunder afviklingsenheden, eller af eksisterende aktionærer, der ikke tilhører samme </w:t>
            </w:r>
            <w:r w:rsidRPr="00D5748F">
              <w:lastRenderedPageBreak/>
              <w:t>afviklingskoncern, medregnes i kapitalgrundlaget og neds</w:t>
            </w:r>
            <w:r w:rsidRPr="00D5748F">
              <w:t>krivningsrelevante passiver i den enhed, der er omfattet af det konsoliderede interne MREL.</w:t>
            </w:r>
          </w:p>
        </w:tc>
        <w:tc>
          <w:tcPr>
            <w:tcW w:w="4876" w:type="dxa"/>
            <w:hideMark/>
          </w:tcPr>
          <w:p w:rsidR="00932D06" w:rsidRPr="00D5748F" w:rsidRDefault="0020623A">
            <w:pPr>
              <w:pStyle w:val="Normal6"/>
              <w:rPr>
                <w:szCs w:val="24"/>
              </w:rPr>
            </w:pPr>
            <w:r w:rsidRPr="00D5748F">
              <w:lastRenderedPageBreak/>
              <w:t>(6)</w:t>
            </w:r>
            <w:r w:rsidRPr="00D5748F">
              <w:tab/>
              <w:t>I henhold til artikel 45f, stk. 2, i direktiv 2014/59/EU og artikel 12g, stk. 2, i forordning (EU) nr. 806/2014 kan mellemliggende enheder opfylde det konsolide</w:t>
            </w:r>
            <w:r w:rsidRPr="00D5748F">
              <w:t xml:space="preserve">rede interne MREL ved hjælp af kapitalgrundlag og nedskrivningsrelevante passiver. For fuldt ud at kunne opfylde MREL-kravet på konsolideret grundlag er det nødvendigt at sikre, at de nedskrivningsrelevante passiver i mellemliggende enheder beregnes på en </w:t>
            </w:r>
            <w:r w:rsidRPr="00D5748F">
              <w:t xml:space="preserve">måde, der svarer til beregningen af kapitalgrundlaget. Kriterierne for nedskrivningsrelevante passiver, der kan anvendes til at opfylde det interne MREL på konsolideret grundlag, bør derfor tilpasses reglerne om beregning af konsolideret kapitalgrundlag i </w:t>
            </w:r>
            <w:r w:rsidRPr="00D5748F">
              <w:t>forordning (EU) nr. 575/2013. For at sikre overensstemmelse med de eksisterende regler om det eksterne MREL bør denne tilpasning også afspejle de eksisterende regler i artikel 45b, stk. 3, i direktiv 2014/59/EU og artikel 12d, stk. 3, i forordning (EU) nr.</w:t>
            </w:r>
            <w:r w:rsidRPr="00D5748F">
              <w:t> 806/2014 om beregning af nedskrivningsrelevante passiver, som afviklingsenheder kan anvende til at opfylde deres konsoliderede MREL. Det er navnlig nødvendigt at sikre, at nedskrivningsrelevante passiver, der er udstedt af datterselskaber af den enhed, de</w:t>
            </w:r>
            <w:r w:rsidRPr="00D5748F">
              <w:t xml:space="preserve">r er omfattet af det konsoliderede interne MREL, og som besiddes af </w:t>
            </w:r>
            <w:r w:rsidRPr="00D5748F">
              <w:rPr>
                <w:b/>
                <w:bCs/>
                <w:i/>
                <w:iCs/>
              </w:rPr>
              <w:t>afviklingsenheden, enten direkte eller indirekte gennem</w:t>
            </w:r>
            <w:r w:rsidRPr="00D5748F">
              <w:t xml:space="preserve"> andre enheder i samme afviklingskoncern, men som ikke er omfattet af konsolideringen eller af </w:t>
            </w:r>
            <w:r w:rsidRPr="00D5748F">
              <w:lastRenderedPageBreak/>
              <w:t>eksisterende aktionærer, der ikke tilhører samme afviklingskoncern, medregnes i kapitalgrundlaget og nedskrivningsrelevante passiver i den enhed, der er omfattet</w:t>
            </w:r>
            <w:r w:rsidRPr="00D5748F">
              <w:t xml:space="preserve"> af det konsoliderede interne MREL.</w:t>
            </w:r>
          </w:p>
        </w:tc>
      </w:tr>
    </w:tbl>
    <w:p w:rsidR="00932D06" w:rsidRPr="00D5748F" w:rsidRDefault="0020623A" w:rsidP="00932D06">
      <w:pPr>
        <w:pStyle w:val="Olang"/>
        <w:rPr>
          <w:sz w:val="24"/>
          <w:szCs w:val="24"/>
        </w:rPr>
      </w:pPr>
      <w:r w:rsidRPr="00D5748F">
        <w:rPr>
          <w:sz w:val="24"/>
          <w:szCs w:val="24"/>
        </w:rPr>
        <w:lastRenderedPageBreak/>
        <w:t xml:space="preserve">Or. </w:t>
      </w:r>
      <w:r w:rsidRPr="00D5748F">
        <w:rPr>
          <w:rStyle w:val="HideTWBExt"/>
        </w:rPr>
        <w:t>&lt;Original&gt;</w:t>
      </w:r>
      <w:r w:rsidRPr="00D5748F">
        <w:rPr>
          <w:rStyle w:val="HideTWBInt"/>
          <w:sz w:val="24"/>
          <w:szCs w:val="24"/>
        </w:rPr>
        <w:t>{EN}</w:t>
      </w:r>
      <w:r w:rsidRPr="00D5748F">
        <w:rPr>
          <w:sz w:val="24"/>
          <w:szCs w:val="24"/>
        </w:rPr>
        <w:t>en</w:t>
      </w:r>
      <w:r w:rsidRPr="00D5748F">
        <w:rPr>
          <w:rStyle w:val="HideTWBExt"/>
        </w:rPr>
        <w:t>&lt;/Original&gt;</w:t>
      </w:r>
    </w:p>
    <w:p w:rsidR="00932D06" w:rsidRPr="00D5748F" w:rsidRDefault="0020623A" w:rsidP="00932D06">
      <w:pPr>
        <w:rPr>
          <w:szCs w:val="24"/>
        </w:rPr>
      </w:pPr>
      <w:r w:rsidRPr="00D5748F">
        <w:rPr>
          <w:rStyle w:val="HideTWBExt"/>
        </w:rPr>
        <w:t>&lt;/Amend&gt;</w:t>
      </w:r>
    </w:p>
    <w:p w:rsidR="00932D06" w:rsidRPr="00D5748F" w:rsidRDefault="0020623A" w:rsidP="00932D06">
      <w:pPr>
        <w:pStyle w:val="AMNumberTabs0"/>
        <w:keepNext/>
      </w:pPr>
      <w:r w:rsidRPr="00D5748F">
        <w:rPr>
          <w:rStyle w:val="HideTWBExt"/>
          <w:b w:val="0"/>
        </w:rPr>
        <w:t>&lt;Amend&gt;</w:t>
      </w:r>
      <w:r w:rsidRPr="00D5748F">
        <w:t>Ændringsforslag</w:t>
      </w:r>
      <w:r w:rsidRPr="00D5748F">
        <w:tab/>
      </w:r>
      <w:r w:rsidRPr="00D5748F">
        <w:tab/>
      </w:r>
      <w:r w:rsidRPr="00D5748F">
        <w:rPr>
          <w:rStyle w:val="HideTWBExt"/>
          <w:b w:val="0"/>
        </w:rPr>
        <w:t>&lt;NumAm&gt;</w:t>
      </w:r>
      <w:r w:rsidRPr="00D5748F">
        <w:t>5</w:t>
      </w:r>
      <w:r w:rsidRPr="00D5748F">
        <w:rPr>
          <w:rStyle w:val="HideTWBExt"/>
          <w:b w:val="0"/>
        </w:rPr>
        <w:t>&lt;/NumAm&gt;</w:t>
      </w:r>
    </w:p>
    <w:p w:rsidR="00932D06" w:rsidRPr="00D5748F" w:rsidRDefault="0020623A" w:rsidP="00932D06">
      <w:pPr>
        <w:pStyle w:val="NormalBold12b"/>
        <w:keepNext/>
      </w:pPr>
      <w:r w:rsidRPr="00D5748F">
        <w:rPr>
          <w:rStyle w:val="HideTWBExt"/>
          <w:b w:val="0"/>
        </w:rPr>
        <w:t>&lt;DocAmend&gt;</w:t>
      </w:r>
      <w:r w:rsidRPr="00D5748F">
        <w:t>Forslag til direktiv</w:t>
      </w:r>
      <w:r w:rsidRPr="00D5748F">
        <w:rPr>
          <w:rStyle w:val="HideTWBExt"/>
          <w:b w:val="0"/>
        </w:rPr>
        <w:t>&lt;/DocAmend&gt;</w:t>
      </w:r>
    </w:p>
    <w:p w:rsidR="00932D06" w:rsidRPr="00D5748F" w:rsidRDefault="0020623A" w:rsidP="00932D06">
      <w:pPr>
        <w:pStyle w:val="NormalBold"/>
      </w:pPr>
      <w:r w:rsidRPr="00D5748F">
        <w:rPr>
          <w:rStyle w:val="HideTWBExt"/>
          <w:b w:val="0"/>
        </w:rPr>
        <w:t>&lt;Article&gt;</w:t>
      </w:r>
      <w:r w:rsidRPr="00D5748F">
        <w:t>Betragtning 7</w:t>
      </w:r>
      <w:r w:rsidRPr="00D5748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12990" w:rsidRPr="00D5748F" w:rsidTr="00932D06">
        <w:trPr>
          <w:jc w:val="center"/>
        </w:trPr>
        <w:tc>
          <w:tcPr>
            <w:tcW w:w="9752" w:type="dxa"/>
            <w:gridSpan w:val="2"/>
          </w:tcPr>
          <w:p w:rsidR="00932D06" w:rsidRPr="00D5748F" w:rsidRDefault="00932D06">
            <w:pPr>
              <w:keepNext/>
            </w:pPr>
          </w:p>
        </w:tc>
      </w:tr>
      <w:tr w:rsidR="00112990" w:rsidRPr="00D5748F" w:rsidTr="00932D06">
        <w:trPr>
          <w:jc w:val="center"/>
        </w:trPr>
        <w:tc>
          <w:tcPr>
            <w:tcW w:w="4876" w:type="dxa"/>
            <w:hideMark/>
          </w:tcPr>
          <w:p w:rsidR="00932D06" w:rsidRPr="00D5748F" w:rsidRDefault="0020623A">
            <w:pPr>
              <w:pStyle w:val="ColumnHeading"/>
              <w:keepNext/>
            </w:pPr>
            <w:r w:rsidRPr="00D5748F">
              <w:t>Kommissionens forslag</w:t>
            </w:r>
          </w:p>
        </w:tc>
        <w:tc>
          <w:tcPr>
            <w:tcW w:w="4876" w:type="dxa"/>
            <w:hideMark/>
          </w:tcPr>
          <w:p w:rsidR="00932D06" w:rsidRPr="00D5748F" w:rsidRDefault="0020623A">
            <w:pPr>
              <w:pStyle w:val="ColumnHeading"/>
              <w:keepNext/>
            </w:pPr>
            <w:r w:rsidRPr="00D5748F">
              <w:t>Ændringsforslag</w:t>
            </w:r>
          </w:p>
        </w:tc>
      </w:tr>
      <w:tr w:rsidR="00112990" w:rsidRPr="00D5748F" w:rsidTr="00932D06">
        <w:trPr>
          <w:jc w:val="center"/>
        </w:trPr>
        <w:tc>
          <w:tcPr>
            <w:tcW w:w="4876" w:type="dxa"/>
            <w:hideMark/>
          </w:tcPr>
          <w:p w:rsidR="00932D06" w:rsidRPr="00D5748F" w:rsidRDefault="0020623A">
            <w:pPr>
              <w:pStyle w:val="Normal6"/>
            </w:pPr>
            <w:r w:rsidRPr="00D5748F">
              <w:t>(7)</w:t>
            </w:r>
            <w:r w:rsidRPr="00D5748F">
              <w:tab/>
              <w:t xml:space="preserve">For </w:t>
            </w:r>
            <w:r w:rsidRPr="00D5748F">
              <w:t>likvidationsenheder er MREL-kravet normalt begrænset til det beløb, der er nødvendigt for tabsabsorbering, hvilket svarer til kapitalgrundlagskravene. I sådanne tilfælde medfører MREL ikke for likvidationsenheden yderligere krav, der er direkte knyttet til</w:t>
            </w:r>
            <w:r w:rsidRPr="00D5748F">
              <w:t xml:space="preserve"> afviklingsrammen. Det betyder, at en likvidationsenhed fuldt ud kan opfylde MREL-kravet ved at opfylde kapitalgrundlagskravene, og at afviklingsmyndighedens særlige afgørelse om fastsættelse af MREL ikke bidrager på en meningsfuld måde til likvidationsenh</w:t>
            </w:r>
            <w:r w:rsidRPr="00D5748F">
              <w:t>edernes afviklingsmuligheder. En sådan afgørelse medfører mange proceduremæssige forpligtelser for afviklingsmyndighederne og for likvidationsenhederne uden en tilsvarende fordel i form af bedre afviklingsmuligheder. Derfor bør afviklingsmyndighederne ikke</w:t>
            </w:r>
            <w:r w:rsidRPr="00D5748F">
              <w:t xml:space="preserve"> fastsætte et MREL for likvidationsenheder.</w:t>
            </w:r>
          </w:p>
        </w:tc>
        <w:tc>
          <w:tcPr>
            <w:tcW w:w="4876" w:type="dxa"/>
            <w:hideMark/>
          </w:tcPr>
          <w:p w:rsidR="00932D06" w:rsidRPr="00D5748F" w:rsidRDefault="0020623A" w:rsidP="006A17A3">
            <w:pPr>
              <w:pStyle w:val="Normal6"/>
              <w:rPr>
                <w:szCs w:val="24"/>
              </w:rPr>
            </w:pPr>
            <w:r w:rsidRPr="00D5748F">
              <w:t>(7)</w:t>
            </w:r>
            <w:r w:rsidRPr="00D5748F">
              <w:tab/>
            </w:r>
            <w:r w:rsidRPr="00D5748F">
              <w:rPr>
                <w:b/>
                <w:bCs/>
                <w:i/>
                <w:iCs/>
              </w:rPr>
              <w:t>I henhold til den nuværende MREL-ramme er</w:t>
            </w:r>
            <w:r w:rsidRPr="00D5748F">
              <w:t xml:space="preserve"> MREL-kravet </w:t>
            </w:r>
            <w:r w:rsidRPr="00D5748F">
              <w:rPr>
                <w:b/>
                <w:bCs/>
                <w:i/>
                <w:iCs/>
              </w:rPr>
              <w:t>for enheder, der er øremærket til likvidation, i de fleste tilfælde fastsat</w:t>
            </w:r>
            <w:r w:rsidRPr="00D5748F">
              <w:t xml:space="preserve"> til det beløb, der er nødvendigt for tabsabsorbering, hvilket svarer til kapit</w:t>
            </w:r>
            <w:r w:rsidRPr="00D5748F">
              <w:t xml:space="preserve">algrundlagskravene I sådanne tilfælde medfører MREL ikke for likvidationsenheden yderligere krav, der er direkte knyttet til afviklingsrammen. Det betyder, at en likvidationsenhed fuldt ud kan opfylde MREL-kravet ved at opfylde kapitalgrundlagskravene, og </w:t>
            </w:r>
            <w:r w:rsidRPr="00D5748F">
              <w:t>at afviklingsmyndighedens særlige afgørelse om fastsættelse af MREL ikke bidrager på en meningsfuld måde til likvidationsenhedernes afviklingsmuligheder. En sådan afgørelse medfører mange proceduremæssige forpligtelser for afviklingsmyndighederne og for li</w:t>
            </w:r>
            <w:r w:rsidRPr="00D5748F">
              <w:t>kvidationsenhederne uden en tilsvarende fordel i form af bedre afviklingsmuligheder. Derfor bør afviklingsmyndighederne ikke fastsætte et MREL for likvidationsenheder.</w:t>
            </w:r>
          </w:p>
        </w:tc>
      </w:tr>
    </w:tbl>
    <w:p w:rsidR="00932D06" w:rsidRPr="00D5748F" w:rsidRDefault="0020623A" w:rsidP="00932D06">
      <w:pPr>
        <w:pStyle w:val="Olang"/>
        <w:rPr>
          <w:sz w:val="24"/>
          <w:szCs w:val="24"/>
        </w:rPr>
      </w:pPr>
      <w:r w:rsidRPr="00D5748F">
        <w:rPr>
          <w:sz w:val="24"/>
          <w:szCs w:val="24"/>
        </w:rPr>
        <w:t xml:space="preserve">Or. </w:t>
      </w:r>
      <w:r w:rsidRPr="00D5748F">
        <w:rPr>
          <w:rStyle w:val="HideTWBExt"/>
        </w:rPr>
        <w:t>&lt;Original&gt;</w:t>
      </w:r>
      <w:r w:rsidRPr="00D5748F">
        <w:rPr>
          <w:rStyle w:val="HideTWBInt"/>
          <w:sz w:val="24"/>
          <w:szCs w:val="24"/>
        </w:rPr>
        <w:t>{EN}</w:t>
      </w:r>
      <w:r w:rsidRPr="00D5748F">
        <w:rPr>
          <w:sz w:val="24"/>
          <w:szCs w:val="24"/>
        </w:rPr>
        <w:t>en</w:t>
      </w:r>
      <w:r w:rsidRPr="00D5748F">
        <w:rPr>
          <w:rStyle w:val="HideTWBExt"/>
        </w:rPr>
        <w:t>&lt;/Original&gt;</w:t>
      </w:r>
    </w:p>
    <w:p w:rsidR="00932D06" w:rsidRPr="00D5748F" w:rsidRDefault="0020623A" w:rsidP="00932D06">
      <w:pPr>
        <w:rPr>
          <w:szCs w:val="24"/>
        </w:rPr>
      </w:pPr>
      <w:r w:rsidRPr="00D5748F">
        <w:rPr>
          <w:rStyle w:val="HideTWBExt"/>
        </w:rPr>
        <w:t>&lt;/Amend&gt;</w:t>
      </w:r>
    </w:p>
    <w:p w:rsidR="00932D06" w:rsidRPr="00D5748F" w:rsidRDefault="0020623A" w:rsidP="00932D06">
      <w:pPr>
        <w:pStyle w:val="AMNumberTabs0"/>
        <w:keepNext/>
      </w:pPr>
      <w:r w:rsidRPr="00D5748F">
        <w:rPr>
          <w:rStyle w:val="HideTWBExt"/>
          <w:b w:val="0"/>
        </w:rPr>
        <w:t>&lt;Amend&gt;</w:t>
      </w:r>
      <w:r w:rsidRPr="00D5748F">
        <w:t>Ændringsforslag</w:t>
      </w:r>
      <w:r w:rsidRPr="00D5748F">
        <w:tab/>
      </w:r>
      <w:r w:rsidRPr="00D5748F">
        <w:tab/>
      </w:r>
      <w:r w:rsidRPr="00D5748F">
        <w:rPr>
          <w:rStyle w:val="HideTWBExt"/>
          <w:b w:val="0"/>
        </w:rPr>
        <w:t>&lt;NumAm&gt;</w:t>
      </w:r>
      <w:r w:rsidRPr="00D5748F">
        <w:t>6</w:t>
      </w:r>
      <w:r w:rsidRPr="00D5748F">
        <w:rPr>
          <w:rStyle w:val="HideTWBExt"/>
          <w:b w:val="0"/>
        </w:rPr>
        <w:t>&lt;/NumAm&gt;</w:t>
      </w:r>
    </w:p>
    <w:p w:rsidR="00932D06" w:rsidRPr="00D5748F" w:rsidRDefault="0020623A" w:rsidP="00932D06">
      <w:pPr>
        <w:pStyle w:val="NormalBold12b"/>
        <w:keepNext/>
      </w:pPr>
      <w:r w:rsidRPr="00D5748F">
        <w:rPr>
          <w:rStyle w:val="HideTWBExt"/>
          <w:b w:val="0"/>
        </w:rPr>
        <w:t>&lt;DocAmend&gt;</w:t>
      </w:r>
      <w:r w:rsidRPr="00D5748F">
        <w:t>Forslag til direktiv</w:t>
      </w:r>
      <w:r w:rsidRPr="00D5748F">
        <w:rPr>
          <w:rStyle w:val="HideTWBExt"/>
          <w:b w:val="0"/>
        </w:rPr>
        <w:t>&lt;/DocAmend&gt;</w:t>
      </w:r>
    </w:p>
    <w:p w:rsidR="00932D06" w:rsidRPr="00D5748F" w:rsidRDefault="0020623A" w:rsidP="00932D06">
      <w:pPr>
        <w:pStyle w:val="NormalBold"/>
      </w:pPr>
      <w:r w:rsidRPr="00D5748F">
        <w:rPr>
          <w:rStyle w:val="HideTWBExt"/>
          <w:b w:val="0"/>
        </w:rPr>
        <w:t>&lt;Article&gt;</w:t>
      </w:r>
      <w:r w:rsidRPr="00D5748F">
        <w:t>Betragtning 8</w:t>
      </w:r>
      <w:r w:rsidRPr="00D5748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12990" w:rsidRPr="00D5748F" w:rsidTr="00932D06">
        <w:trPr>
          <w:jc w:val="center"/>
        </w:trPr>
        <w:tc>
          <w:tcPr>
            <w:tcW w:w="9752" w:type="dxa"/>
            <w:gridSpan w:val="2"/>
          </w:tcPr>
          <w:p w:rsidR="00932D06" w:rsidRPr="00D5748F" w:rsidRDefault="00932D06">
            <w:pPr>
              <w:keepNext/>
            </w:pPr>
          </w:p>
        </w:tc>
      </w:tr>
      <w:tr w:rsidR="00112990" w:rsidRPr="00D5748F" w:rsidTr="00932D06">
        <w:trPr>
          <w:jc w:val="center"/>
        </w:trPr>
        <w:tc>
          <w:tcPr>
            <w:tcW w:w="4876" w:type="dxa"/>
            <w:hideMark/>
          </w:tcPr>
          <w:p w:rsidR="00932D06" w:rsidRPr="00D5748F" w:rsidRDefault="0020623A">
            <w:pPr>
              <w:pStyle w:val="ColumnHeading"/>
              <w:keepNext/>
            </w:pPr>
            <w:r w:rsidRPr="00D5748F">
              <w:t>Kommissionens forslag</w:t>
            </w:r>
          </w:p>
        </w:tc>
        <w:tc>
          <w:tcPr>
            <w:tcW w:w="4876" w:type="dxa"/>
            <w:hideMark/>
          </w:tcPr>
          <w:p w:rsidR="00932D06" w:rsidRPr="00D5748F" w:rsidRDefault="0020623A">
            <w:pPr>
              <w:pStyle w:val="ColumnHeading"/>
              <w:keepNext/>
            </w:pPr>
            <w:r w:rsidRPr="00D5748F">
              <w:t>Ændringsforslag</w:t>
            </w:r>
          </w:p>
        </w:tc>
      </w:tr>
      <w:tr w:rsidR="00112990" w:rsidRPr="00D5748F" w:rsidTr="00932D06">
        <w:trPr>
          <w:jc w:val="center"/>
        </w:trPr>
        <w:tc>
          <w:tcPr>
            <w:tcW w:w="4876" w:type="dxa"/>
            <w:hideMark/>
          </w:tcPr>
          <w:p w:rsidR="00932D06" w:rsidRPr="00D5748F" w:rsidRDefault="0020623A">
            <w:pPr>
              <w:pStyle w:val="Normal6"/>
            </w:pPr>
            <w:r w:rsidRPr="00D5748F">
              <w:t>(8)</w:t>
            </w:r>
            <w:r w:rsidRPr="00D5748F">
              <w:tab/>
              <w:t xml:space="preserve">Hvis afviklingsmyndigheden finder, at en enhed, der er en del af en afviklingskoncern, kan betragtes som en likvidationsenhed, bør </w:t>
            </w:r>
            <w:r w:rsidRPr="00D5748F">
              <w:t>mellemliggende enheder ikke være forpligtet til fra deres interne MREL-kapacitet at fratrække deres besiddelser af kapitalgrundlag eller andre passiver, som ville opfylde betingelserne for overholdelse af det interne MREL, og som er udstedt af likvidations</w:t>
            </w:r>
            <w:r w:rsidRPr="00D5748F">
              <w:t>enheder.</w:t>
            </w:r>
            <w:r w:rsidRPr="00D5748F">
              <w:rPr>
                <w:b/>
                <w:i/>
              </w:rPr>
              <w:t xml:space="preserve"> </w:t>
            </w:r>
            <w:r w:rsidRPr="00D5748F">
              <w:t>I et sådant tilfælde er likvidationsenheden ikke længere forpligtet til at overholde MREL-kravet, og der er derfor ingen indirekte tegning af nedskrivningsrelevante ressourcer med henblik på internt MREL gennem den kæde, der udgøres af afviklingse</w:t>
            </w:r>
            <w:r w:rsidRPr="00D5748F">
              <w:t>nheden, den mellemliggende enhed og likvidationsenheden. I tilfælde af sammenbrud er det i afviklingsstrategien ikke forudset, at likvidationsenheden vil blive støttet af afviklingsenheden. Det betyder, at der ikke forventes en upstreaming af tab fra likvi</w:t>
            </w:r>
            <w:r w:rsidRPr="00D5748F">
              <w:t>dationsenheden til afviklingsenheden via den mellemliggende enhed, og det samme gælder downstreamingen af kapital i den modsatte retning. Denne justering af omfanget af de besiddelser, der skal fratrækkes i forbindelse med den indirekte tegning af nedskriv</w:t>
            </w:r>
            <w:r w:rsidRPr="00D5748F">
              <w:t>ningsrelevante ressourcer med henblik på internt MREL, vil således ikke påvirke rammens tilsynsmæssige soliditet.</w:t>
            </w:r>
          </w:p>
        </w:tc>
        <w:tc>
          <w:tcPr>
            <w:tcW w:w="4876" w:type="dxa"/>
            <w:hideMark/>
          </w:tcPr>
          <w:p w:rsidR="00932D06" w:rsidRPr="00D5748F" w:rsidRDefault="0020623A">
            <w:pPr>
              <w:pStyle w:val="Normal6"/>
              <w:rPr>
                <w:szCs w:val="24"/>
              </w:rPr>
            </w:pPr>
            <w:r w:rsidRPr="00D5748F">
              <w:t>(8)</w:t>
            </w:r>
            <w:r w:rsidRPr="00D5748F">
              <w:tab/>
            </w:r>
            <w:r w:rsidRPr="00D5748F">
              <w:rPr>
                <w:b/>
                <w:bCs/>
                <w:i/>
                <w:iCs/>
              </w:rPr>
              <w:t>Når afviklingsmyndighederne udarbejder afviklingsplaner og vurderer afviklingsmulighederne for afviklingskoncerner, kan de anse en koncern</w:t>
            </w:r>
            <w:r w:rsidRPr="00D5748F">
              <w:rPr>
                <w:b/>
                <w:bCs/>
                <w:i/>
                <w:iCs/>
              </w:rPr>
              <w:t>enhed for at kunne</w:t>
            </w:r>
            <w:r w:rsidRPr="00D5748F">
              <w:t xml:space="preserve"> betragtes som en likvidationsenhed,</w:t>
            </w:r>
            <w:r w:rsidRPr="00D5748F">
              <w:rPr>
                <w:b/>
                <w:bCs/>
                <w:i/>
                <w:iCs/>
              </w:rPr>
              <w:t xml:space="preserve"> da udøvelsen af nedskrivnings- og konverteringsbeføjelserne ikke er påtænkt for den pågældende enhed.</w:t>
            </w:r>
            <w:r w:rsidRPr="00D5748F">
              <w:rPr>
                <w:b/>
                <w:i/>
              </w:rPr>
              <w:t xml:space="preserve"> Hvis dette er tilfældet, behøver koncernenheden muligvis ikke at have et kapitalgrundlag og nedskri</w:t>
            </w:r>
            <w:r w:rsidRPr="00D5748F">
              <w:rPr>
                <w:b/>
                <w:i/>
              </w:rPr>
              <w:t xml:space="preserve">vningsrelevante passiver, der overstiger dens kapitalgrundlagskrav. </w:t>
            </w:r>
            <w:r w:rsidRPr="00D5748F">
              <w:rPr>
                <w:b/>
                <w:bCs/>
                <w:i/>
                <w:iCs/>
              </w:rPr>
              <w:t>I sådanne tilfælde</w:t>
            </w:r>
            <w:r w:rsidRPr="00D5748F">
              <w:t xml:space="preserve"> bør mellemliggende enheder ikke være forpligtet til fra deres interne MREL-kapacitet at fratrække deres besiddelser af kapitalgrundlag,</w:t>
            </w:r>
            <w:r w:rsidRPr="00D5748F">
              <w:rPr>
                <w:b/>
                <w:bCs/>
                <w:i/>
                <w:iCs/>
              </w:rPr>
              <w:t xml:space="preserve"> som er udstedt af likvidationsenh</w:t>
            </w:r>
            <w:r w:rsidRPr="00D5748F">
              <w:rPr>
                <w:b/>
                <w:bCs/>
                <w:i/>
                <w:iCs/>
              </w:rPr>
              <w:t>eder, der ikke er omfattet af en MREL-afgørelse.</w:t>
            </w:r>
            <w:r w:rsidRPr="00D5748F">
              <w:rPr>
                <w:b/>
                <w:i/>
              </w:rPr>
              <w:t xml:space="preserve"> </w:t>
            </w:r>
            <w:r w:rsidRPr="00D5748F">
              <w:rPr>
                <w:b/>
                <w:bCs/>
                <w:i/>
                <w:iCs/>
              </w:rPr>
              <w:t>De bør dog ikke være forpligtet til at fratrække passiver</w:t>
            </w:r>
            <w:r w:rsidRPr="00D5748F">
              <w:t>, som ville opfylde betingelserne for overholdelse af det interne MREL. I tilfælde af sammenbrud er det i afviklingsstrategien ikke forudset, at likvi</w:t>
            </w:r>
            <w:r w:rsidRPr="00D5748F">
              <w:t xml:space="preserve">dationsenheden vil blive </w:t>
            </w:r>
            <w:r w:rsidRPr="00D5748F">
              <w:rPr>
                <w:b/>
                <w:bCs/>
                <w:i/>
                <w:iCs/>
              </w:rPr>
              <w:t>rekapitaliseret</w:t>
            </w:r>
            <w:r w:rsidRPr="00D5748F">
              <w:t xml:space="preserve"> af afviklingsenheden. Det betyder, at der ikke forventes en upstreaming af tab </w:t>
            </w:r>
            <w:r w:rsidRPr="00D5748F">
              <w:rPr>
                <w:b/>
                <w:bCs/>
                <w:i/>
                <w:iCs/>
              </w:rPr>
              <w:t>over de eksisterende kapitalgrundlagskrav</w:t>
            </w:r>
            <w:r w:rsidRPr="00D5748F">
              <w:t xml:space="preserve"> fra likvidationsenheden til afviklingsenheden via den mellemliggende enhed, og det samme gælde</w:t>
            </w:r>
            <w:r w:rsidRPr="00D5748F">
              <w:t>r downstreamingen af kapital i den modsatte retning. Denne justering af omfanget af de besiddelser, der skal fratrækkes i forbindelse med den indirekte tegning af nedskrivningsrelevante ressourcer med henblik på internt MREL, vil således ikke påvirke ramme</w:t>
            </w:r>
            <w:r w:rsidRPr="00D5748F">
              <w:t>ns tilsynsmæssige soliditet.</w:t>
            </w:r>
          </w:p>
        </w:tc>
      </w:tr>
    </w:tbl>
    <w:p w:rsidR="00932D06" w:rsidRPr="00D5748F" w:rsidRDefault="0020623A" w:rsidP="00932D06">
      <w:pPr>
        <w:pStyle w:val="Olang"/>
        <w:rPr>
          <w:sz w:val="24"/>
          <w:szCs w:val="24"/>
        </w:rPr>
      </w:pPr>
      <w:r w:rsidRPr="00D5748F">
        <w:rPr>
          <w:sz w:val="24"/>
          <w:szCs w:val="24"/>
        </w:rPr>
        <w:t xml:space="preserve">Or. </w:t>
      </w:r>
      <w:r w:rsidRPr="00D5748F">
        <w:rPr>
          <w:rStyle w:val="HideTWBExt"/>
        </w:rPr>
        <w:t>&lt;Original&gt;</w:t>
      </w:r>
      <w:r w:rsidRPr="00D5748F">
        <w:rPr>
          <w:rStyle w:val="HideTWBInt"/>
          <w:sz w:val="24"/>
          <w:szCs w:val="24"/>
        </w:rPr>
        <w:t>{EN}</w:t>
      </w:r>
      <w:r w:rsidRPr="00D5748F">
        <w:rPr>
          <w:sz w:val="24"/>
          <w:szCs w:val="24"/>
        </w:rPr>
        <w:t>en</w:t>
      </w:r>
      <w:r w:rsidRPr="00D5748F">
        <w:rPr>
          <w:rStyle w:val="HideTWBExt"/>
        </w:rPr>
        <w:t>&lt;/Original&gt;</w:t>
      </w:r>
    </w:p>
    <w:p w:rsidR="00932D06" w:rsidRPr="00D5748F" w:rsidRDefault="0020623A" w:rsidP="00932D06">
      <w:pPr>
        <w:rPr>
          <w:szCs w:val="24"/>
        </w:rPr>
      </w:pPr>
      <w:r w:rsidRPr="00D5748F">
        <w:rPr>
          <w:rStyle w:val="HideTWBExt"/>
        </w:rPr>
        <w:t>&lt;/Amend&gt;</w:t>
      </w:r>
    </w:p>
    <w:p w:rsidR="00932D06" w:rsidRPr="00D5748F" w:rsidRDefault="0020623A" w:rsidP="00932D06">
      <w:pPr>
        <w:pStyle w:val="AMNumberTabs0"/>
        <w:keepNext/>
      </w:pPr>
      <w:r w:rsidRPr="00D5748F">
        <w:rPr>
          <w:rStyle w:val="HideTWBExt"/>
          <w:b w:val="0"/>
        </w:rPr>
        <w:t>&lt;Amend&gt;</w:t>
      </w:r>
      <w:r w:rsidRPr="00D5748F">
        <w:t>Ændringsforslag</w:t>
      </w:r>
      <w:r w:rsidRPr="00D5748F">
        <w:tab/>
      </w:r>
      <w:r w:rsidRPr="00D5748F">
        <w:tab/>
      </w:r>
      <w:r w:rsidRPr="00D5748F">
        <w:rPr>
          <w:rStyle w:val="HideTWBExt"/>
          <w:b w:val="0"/>
        </w:rPr>
        <w:t>&lt;NumAm&gt;</w:t>
      </w:r>
      <w:r w:rsidRPr="00D5748F">
        <w:t>7</w:t>
      </w:r>
      <w:r w:rsidRPr="00D5748F">
        <w:rPr>
          <w:rStyle w:val="HideTWBExt"/>
          <w:b w:val="0"/>
        </w:rPr>
        <w:t>&lt;/NumAm&gt;</w:t>
      </w:r>
    </w:p>
    <w:p w:rsidR="00932D06" w:rsidRPr="00D5748F" w:rsidRDefault="0020623A" w:rsidP="00932D06">
      <w:pPr>
        <w:pStyle w:val="NormalBold12b"/>
        <w:keepNext/>
      </w:pPr>
      <w:r w:rsidRPr="00D5748F">
        <w:rPr>
          <w:rStyle w:val="HideTWBExt"/>
          <w:b w:val="0"/>
        </w:rPr>
        <w:t>&lt;DocAmend&gt;</w:t>
      </w:r>
      <w:r w:rsidRPr="00D5748F">
        <w:t>Forslag til direktiv</w:t>
      </w:r>
      <w:r w:rsidRPr="00D5748F">
        <w:rPr>
          <w:rStyle w:val="HideTWBExt"/>
          <w:b w:val="0"/>
        </w:rPr>
        <w:t>&lt;/DocAmend&gt;</w:t>
      </w:r>
    </w:p>
    <w:p w:rsidR="00932D06" w:rsidRPr="00D5748F" w:rsidRDefault="0020623A" w:rsidP="00932D06">
      <w:pPr>
        <w:pStyle w:val="NormalBold"/>
      </w:pPr>
      <w:r w:rsidRPr="00D5748F">
        <w:rPr>
          <w:rStyle w:val="HideTWBExt"/>
          <w:b w:val="0"/>
        </w:rPr>
        <w:t>&lt;Article&gt;</w:t>
      </w:r>
      <w:r w:rsidRPr="00D5748F">
        <w:t>Betragtning 9</w:t>
      </w:r>
      <w:r w:rsidRPr="00D5748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12990" w:rsidRPr="00D5748F" w:rsidTr="00932D06">
        <w:trPr>
          <w:jc w:val="center"/>
        </w:trPr>
        <w:tc>
          <w:tcPr>
            <w:tcW w:w="9752" w:type="dxa"/>
            <w:gridSpan w:val="2"/>
          </w:tcPr>
          <w:p w:rsidR="00932D06" w:rsidRPr="00D5748F" w:rsidRDefault="00932D06">
            <w:pPr>
              <w:keepNext/>
            </w:pPr>
          </w:p>
        </w:tc>
      </w:tr>
      <w:tr w:rsidR="00112990" w:rsidRPr="00D5748F" w:rsidTr="00932D06">
        <w:trPr>
          <w:jc w:val="center"/>
        </w:trPr>
        <w:tc>
          <w:tcPr>
            <w:tcW w:w="4876" w:type="dxa"/>
            <w:hideMark/>
          </w:tcPr>
          <w:p w:rsidR="00932D06" w:rsidRPr="00D5748F" w:rsidRDefault="0020623A">
            <w:pPr>
              <w:pStyle w:val="ColumnHeading"/>
              <w:keepNext/>
            </w:pPr>
            <w:r w:rsidRPr="00D5748F">
              <w:t>Kommissionens forslag</w:t>
            </w:r>
          </w:p>
        </w:tc>
        <w:tc>
          <w:tcPr>
            <w:tcW w:w="4876" w:type="dxa"/>
            <w:hideMark/>
          </w:tcPr>
          <w:p w:rsidR="00932D06" w:rsidRPr="00D5748F" w:rsidRDefault="0020623A">
            <w:pPr>
              <w:pStyle w:val="ColumnHeading"/>
              <w:keepNext/>
            </w:pPr>
            <w:r w:rsidRPr="00D5748F">
              <w:t>Ændringsforslag</w:t>
            </w:r>
          </w:p>
        </w:tc>
      </w:tr>
      <w:tr w:rsidR="00112990" w:rsidRPr="00D5748F" w:rsidTr="00932D06">
        <w:trPr>
          <w:jc w:val="center"/>
        </w:trPr>
        <w:tc>
          <w:tcPr>
            <w:tcW w:w="4876" w:type="dxa"/>
            <w:hideMark/>
          </w:tcPr>
          <w:p w:rsidR="00932D06" w:rsidRPr="00D5748F" w:rsidRDefault="0020623A">
            <w:pPr>
              <w:pStyle w:val="Normal6"/>
            </w:pPr>
            <w:r w:rsidRPr="00D5748F">
              <w:t>(9)</w:t>
            </w:r>
            <w:r w:rsidRPr="00D5748F">
              <w:tab/>
              <w:t xml:space="preserve">Hovedformålet med </w:t>
            </w:r>
            <w:r w:rsidRPr="00D5748F">
              <w:t xml:space="preserve">tilladelsesordningen for reduktion af nedskrivningsrelevante passivinstrumenter som fastsat i artikel 77, stk. 2, og artikel 78a i forordning (EU) nr. 575/2013, som også finder anvendelse på institutter og enheder, der er omfattet af MREL, og på passiver, </w:t>
            </w:r>
            <w:r w:rsidRPr="00D5748F">
              <w:t>der er udstedt med henblik på opfyldelse af MREL, er at gøre det muligt for afviklingsmyndighederne at overvåge de foranstaltninger, der fører til en reduktion af beholdningen af nedskrivningsrelevante passiver, og at forbyde enhver foranstaltning, der sva</w:t>
            </w:r>
            <w:r w:rsidRPr="00D5748F">
              <w:t xml:space="preserve">rer til en reduktion ud over det niveau, som afviklingsmyndighederne finder passende. Hvis afviklingsmyndigheden ikke har vedtaget en afgørelse om fastsættelse af MREL for et institut eller en enhed, er dette mål ikke relevant. </w:t>
            </w:r>
            <w:r w:rsidRPr="00D5748F">
              <w:rPr>
                <w:b/>
                <w:i/>
              </w:rPr>
              <w:t>Desuden har institutter elle</w:t>
            </w:r>
            <w:r w:rsidRPr="00D5748F">
              <w:rPr>
                <w:b/>
                <w:i/>
              </w:rPr>
              <w:t>r enheder, der ikke er omfattet af en afgørelse om fastsættelse af MREL, ikke nedskrivningsrelevante passiver på deres balance.</w:t>
            </w:r>
            <w:r w:rsidRPr="00D5748F">
              <w:t xml:space="preserve"> Institutter eller enheder, for hvilke der ikke er vedtaget nogen afgørelser om fastsættelse af MREL, bør derfor ikke være forpli</w:t>
            </w:r>
            <w:r w:rsidRPr="00D5748F">
              <w:t>gtet til at indhente forudgående tilladelse fra afviklingsmyndigheden til at foretage opkrævning, indfrielse, tilbagebetaling eller genkøb af passiver, der opfylder kravene til MREL.</w:t>
            </w:r>
          </w:p>
        </w:tc>
        <w:tc>
          <w:tcPr>
            <w:tcW w:w="4876" w:type="dxa"/>
            <w:hideMark/>
          </w:tcPr>
          <w:p w:rsidR="00932D06" w:rsidRPr="00D5748F" w:rsidRDefault="0020623A">
            <w:pPr>
              <w:pStyle w:val="Normal6"/>
              <w:rPr>
                <w:szCs w:val="24"/>
              </w:rPr>
            </w:pPr>
            <w:r w:rsidRPr="00D5748F">
              <w:t>(9)</w:t>
            </w:r>
            <w:r w:rsidRPr="00D5748F">
              <w:tab/>
              <w:t xml:space="preserve">Hovedformålet med tilladelsesordningen for reduktion af </w:t>
            </w:r>
            <w:r w:rsidRPr="00D5748F">
              <w:t>nedskrivningsrelevante passivinstrumenter som fastsat i artikel 77, stk. 2, og artikel 78a i forordning (EU) nr. 575/2013, som også finder anvendelse på institutter og enheder, der er omfattet af MREL, og på passiver, der er udstedt med henblik på opfyldel</w:t>
            </w:r>
            <w:r w:rsidRPr="00D5748F">
              <w:t>se af MREL, er at gøre det muligt for afviklingsmyndighederne at overvåge de foranstaltninger, der fører til en reduktion af beholdningen af nedskrivningsrelevante passiver, og at forbyde enhver foranstaltning, der svarer til en reduktion ud over det nivea</w:t>
            </w:r>
            <w:r w:rsidRPr="00D5748F">
              <w:t>u, som afviklingsmyndighederne finder passende. Hvis afviklingsmyndigheden ikke har vedtaget en afgørelse om fastsættelse af MREL for et institut eller en enhed, er dette mål ikke relevant. Institutter eller enheder, for hvilke der ikke er vedtaget nogen a</w:t>
            </w:r>
            <w:r w:rsidRPr="00D5748F">
              <w:t>fgørelser om fastsættelse af MREL, bør derfor ikke være forpligtet til at indhente forudgående tilladelse fra afviklingsmyndigheden til at foretage opkrævning, indfrielse, tilbagebetaling eller genkøb af passiver, der opfylder kravene til MREL.</w:t>
            </w:r>
          </w:p>
        </w:tc>
      </w:tr>
    </w:tbl>
    <w:p w:rsidR="00932D06" w:rsidRPr="00D5748F" w:rsidRDefault="0020623A" w:rsidP="00932D06">
      <w:pPr>
        <w:pStyle w:val="Olang"/>
        <w:rPr>
          <w:sz w:val="24"/>
          <w:szCs w:val="24"/>
        </w:rPr>
      </w:pPr>
      <w:r w:rsidRPr="00D5748F">
        <w:rPr>
          <w:sz w:val="24"/>
          <w:szCs w:val="24"/>
        </w:rPr>
        <w:t xml:space="preserve">Or. </w:t>
      </w:r>
      <w:r w:rsidRPr="00D5748F">
        <w:rPr>
          <w:rStyle w:val="HideTWBExt"/>
        </w:rPr>
        <w:t>&lt;Origi</w:t>
      </w:r>
      <w:r w:rsidRPr="00D5748F">
        <w:rPr>
          <w:rStyle w:val="HideTWBExt"/>
        </w:rPr>
        <w:t>nal&gt;</w:t>
      </w:r>
      <w:r w:rsidRPr="00D5748F">
        <w:rPr>
          <w:rStyle w:val="HideTWBInt"/>
          <w:sz w:val="24"/>
          <w:szCs w:val="24"/>
        </w:rPr>
        <w:t>{EN}</w:t>
      </w:r>
      <w:r w:rsidRPr="00D5748F">
        <w:rPr>
          <w:sz w:val="24"/>
          <w:szCs w:val="24"/>
        </w:rPr>
        <w:t>en</w:t>
      </w:r>
      <w:r w:rsidRPr="00D5748F">
        <w:rPr>
          <w:rStyle w:val="HideTWBExt"/>
        </w:rPr>
        <w:t>&lt;/Original&gt;</w:t>
      </w:r>
    </w:p>
    <w:p w:rsidR="00932D06" w:rsidRPr="00D5748F" w:rsidRDefault="0020623A" w:rsidP="00932D06">
      <w:pPr>
        <w:rPr>
          <w:szCs w:val="24"/>
        </w:rPr>
      </w:pPr>
      <w:r w:rsidRPr="00D5748F">
        <w:rPr>
          <w:rStyle w:val="HideTWBExt"/>
        </w:rPr>
        <w:t>&lt;/Amend&gt;</w:t>
      </w:r>
    </w:p>
    <w:p w:rsidR="00932D06" w:rsidRPr="00D5748F" w:rsidRDefault="0020623A" w:rsidP="00932D06">
      <w:pPr>
        <w:pStyle w:val="AMNumberTabs0"/>
        <w:keepNext/>
      </w:pPr>
      <w:r w:rsidRPr="00D5748F">
        <w:rPr>
          <w:rStyle w:val="HideTWBExt"/>
          <w:b w:val="0"/>
        </w:rPr>
        <w:t>&lt;Amend&gt;</w:t>
      </w:r>
      <w:r w:rsidRPr="00D5748F">
        <w:t>Ændringsforslag</w:t>
      </w:r>
      <w:r w:rsidRPr="00D5748F">
        <w:tab/>
      </w:r>
      <w:r w:rsidRPr="00D5748F">
        <w:tab/>
      </w:r>
      <w:r w:rsidRPr="00D5748F">
        <w:rPr>
          <w:rStyle w:val="HideTWBExt"/>
          <w:b w:val="0"/>
        </w:rPr>
        <w:t>&lt;NumAm&gt;</w:t>
      </w:r>
      <w:r w:rsidRPr="00D5748F">
        <w:t>8</w:t>
      </w:r>
      <w:r w:rsidRPr="00D5748F">
        <w:rPr>
          <w:rStyle w:val="HideTWBExt"/>
          <w:b w:val="0"/>
        </w:rPr>
        <w:t>&lt;/NumAm&gt;</w:t>
      </w:r>
    </w:p>
    <w:p w:rsidR="00932D06" w:rsidRPr="00D5748F" w:rsidRDefault="0020623A" w:rsidP="00932D06">
      <w:pPr>
        <w:pStyle w:val="NormalBold12b"/>
        <w:keepNext/>
      </w:pPr>
      <w:r w:rsidRPr="00D5748F">
        <w:rPr>
          <w:rStyle w:val="HideTWBExt"/>
          <w:b w:val="0"/>
        </w:rPr>
        <w:t>&lt;DocAmend&gt;</w:t>
      </w:r>
      <w:r w:rsidRPr="00D5748F">
        <w:t>Forslag til direktiv</w:t>
      </w:r>
      <w:r w:rsidRPr="00D5748F">
        <w:rPr>
          <w:rStyle w:val="HideTWBExt"/>
          <w:b w:val="0"/>
        </w:rPr>
        <w:t>&lt;/DocAmend&gt;</w:t>
      </w:r>
    </w:p>
    <w:p w:rsidR="00932D06" w:rsidRPr="00D5748F" w:rsidRDefault="0020623A" w:rsidP="00932D06">
      <w:pPr>
        <w:pStyle w:val="NormalBold"/>
      </w:pPr>
      <w:r w:rsidRPr="00D5748F">
        <w:rPr>
          <w:rStyle w:val="HideTWBExt"/>
          <w:b w:val="0"/>
        </w:rPr>
        <w:t>&lt;Article&gt;</w:t>
      </w:r>
      <w:r w:rsidRPr="00D5748F">
        <w:t>Betragtning 10</w:t>
      </w:r>
      <w:r w:rsidRPr="00D5748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12990" w:rsidRPr="00D5748F" w:rsidTr="00932D06">
        <w:trPr>
          <w:jc w:val="center"/>
        </w:trPr>
        <w:tc>
          <w:tcPr>
            <w:tcW w:w="9752" w:type="dxa"/>
            <w:gridSpan w:val="2"/>
          </w:tcPr>
          <w:p w:rsidR="00932D06" w:rsidRPr="00D5748F" w:rsidRDefault="00932D06">
            <w:pPr>
              <w:keepNext/>
            </w:pPr>
          </w:p>
        </w:tc>
      </w:tr>
      <w:tr w:rsidR="00112990" w:rsidRPr="00D5748F" w:rsidTr="00932D06">
        <w:trPr>
          <w:jc w:val="center"/>
        </w:trPr>
        <w:tc>
          <w:tcPr>
            <w:tcW w:w="4876" w:type="dxa"/>
            <w:hideMark/>
          </w:tcPr>
          <w:p w:rsidR="00932D06" w:rsidRPr="00D5748F" w:rsidRDefault="0020623A">
            <w:pPr>
              <w:pStyle w:val="ColumnHeading"/>
              <w:keepNext/>
            </w:pPr>
            <w:r w:rsidRPr="00D5748F">
              <w:t>Kommissionens forslag</w:t>
            </w:r>
          </w:p>
        </w:tc>
        <w:tc>
          <w:tcPr>
            <w:tcW w:w="4876" w:type="dxa"/>
            <w:hideMark/>
          </w:tcPr>
          <w:p w:rsidR="00932D06" w:rsidRPr="00D5748F" w:rsidRDefault="0020623A">
            <w:pPr>
              <w:pStyle w:val="ColumnHeading"/>
              <w:keepNext/>
            </w:pPr>
            <w:r w:rsidRPr="00D5748F">
              <w:t>Ændringsforslag</w:t>
            </w:r>
          </w:p>
        </w:tc>
      </w:tr>
      <w:tr w:rsidR="00112990" w:rsidRPr="00D5748F" w:rsidTr="00932D06">
        <w:trPr>
          <w:jc w:val="center"/>
        </w:trPr>
        <w:tc>
          <w:tcPr>
            <w:tcW w:w="4876" w:type="dxa"/>
            <w:hideMark/>
          </w:tcPr>
          <w:p w:rsidR="00932D06" w:rsidRPr="00D5748F" w:rsidRDefault="0020623A">
            <w:pPr>
              <w:pStyle w:val="Normal6"/>
            </w:pPr>
            <w:r w:rsidRPr="00D5748F">
              <w:t>(10)</w:t>
            </w:r>
            <w:r w:rsidRPr="00D5748F">
              <w:tab/>
              <w:t xml:space="preserve">Der er likvidationsenheder, for hvilke MREL-kravet overstiger </w:t>
            </w:r>
            <w:r w:rsidRPr="00D5748F">
              <w:t>værdien af kapitalgrundlagskravene, og afviklingsmyndighederne bør i et sådant tilfælde kunne fastsætte MREL.</w:t>
            </w:r>
            <w:r w:rsidRPr="00D5748F">
              <w:rPr>
                <w:b/>
                <w:i/>
              </w:rPr>
              <w:t xml:space="preserve"> </w:t>
            </w:r>
            <w:r w:rsidRPr="00D5748F">
              <w:t xml:space="preserve">Dette </w:t>
            </w:r>
            <w:r w:rsidRPr="00D5748F">
              <w:lastRenderedPageBreak/>
              <w:t>MREL bør fastsættes til et beløb, der overstiger beløbet for tabsabsorbering, hvis afviklingsmyndighederne finder, at et sådant beløb er nød</w:t>
            </w:r>
            <w:r w:rsidRPr="00D5748F">
              <w:t>vendigt for at beskytte den finansielle stabilitet eller imødegå risikoen for afsmitning på det finansielle system. I disse situationer bør likvidationsenheden opfylde MREL-kravet og bør ikke undtages fra den ordning med forudgående tilladelse, der er fast</w:t>
            </w:r>
            <w:r w:rsidRPr="00D5748F">
              <w:t>sat i artikel 77, stk. 2, og artikel 78a i forordning (EU) nr. 575/2013. Alle mellemliggende enheder, der tilhører den samme afviklingskoncern som den pågældende likvidationsenhed, bør fortsat være forpligtet til fra deres interne MREL-kapacitet at fratræk</w:t>
            </w:r>
            <w:r w:rsidRPr="00D5748F">
              <w:t>ke deres besiddelser af nedskrivningsrelevante ressourcer med henblik på internt MREL udstedt af den pågældende likvidationsenhed. Da likvidationsprocedurer finder sted i den juridiske enhed, bør likvidationsenheder, der stadig er underlagt MREL, desuden k</w:t>
            </w:r>
            <w:r w:rsidRPr="00D5748F">
              <w:t xml:space="preserve">un opfylde kravet på individuelt grundlag. Endelig er visse krav til at være nedskrivningsrelevant vedrørende ejerskabet af det pågældende passiv ikke relevante, da der ikke er behov for at sikre overførsel af tab og kapital fra likvidationsenheden til en </w:t>
            </w:r>
            <w:r w:rsidRPr="00D5748F">
              <w:t>afviklingsenhed, og de bør derfor ikke finde anvendelse.</w:t>
            </w:r>
          </w:p>
        </w:tc>
        <w:tc>
          <w:tcPr>
            <w:tcW w:w="4876" w:type="dxa"/>
            <w:hideMark/>
          </w:tcPr>
          <w:p w:rsidR="00932D06" w:rsidRPr="00D5748F" w:rsidRDefault="0020623A" w:rsidP="000A7B09">
            <w:pPr>
              <w:pStyle w:val="Normal6"/>
              <w:rPr>
                <w:szCs w:val="24"/>
              </w:rPr>
            </w:pPr>
            <w:r w:rsidRPr="00D5748F">
              <w:lastRenderedPageBreak/>
              <w:t>(10)</w:t>
            </w:r>
            <w:r w:rsidRPr="00D5748F">
              <w:tab/>
              <w:t xml:space="preserve">Der er likvidationsenheder, for hvilke MREL-kravet </w:t>
            </w:r>
            <w:r w:rsidRPr="00D5748F">
              <w:rPr>
                <w:b/>
                <w:bCs/>
                <w:i/>
                <w:iCs/>
              </w:rPr>
              <w:t>skal overstige</w:t>
            </w:r>
            <w:r w:rsidRPr="00D5748F">
              <w:t xml:space="preserve"> beløbet for tabsabsorbering</w:t>
            </w:r>
            <w:r w:rsidRPr="00D5748F">
              <w:rPr>
                <w:b/>
                <w:bCs/>
                <w:i/>
                <w:iCs/>
              </w:rPr>
              <w:t>.</w:t>
            </w:r>
            <w:r w:rsidRPr="00D5748F">
              <w:rPr>
                <w:b/>
                <w:i/>
              </w:rPr>
              <w:t xml:space="preserve"> </w:t>
            </w:r>
            <w:r w:rsidRPr="00D5748F">
              <w:rPr>
                <w:b/>
                <w:bCs/>
                <w:i/>
                <w:iCs/>
              </w:rPr>
              <w:t>Dette er tilfældet,</w:t>
            </w:r>
            <w:r w:rsidRPr="00D5748F">
              <w:t xml:space="preserve"> hvis afviklingsmyndighederne finder, at et sådant </w:t>
            </w:r>
            <w:r w:rsidRPr="00D5748F">
              <w:rPr>
                <w:b/>
                <w:bCs/>
                <w:i/>
                <w:iCs/>
              </w:rPr>
              <w:t>højere</w:t>
            </w:r>
            <w:r w:rsidRPr="00D5748F">
              <w:t xml:space="preserve"> beløb er nødvendigt fo</w:t>
            </w:r>
            <w:r w:rsidRPr="00D5748F">
              <w:t xml:space="preserve">r at </w:t>
            </w:r>
            <w:r w:rsidRPr="00D5748F">
              <w:lastRenderedPageBreak/>
              <w:t xml:space="preserve">beskytte den finansielle stabilitet eller imødegå risikoen for afsmitning på det finansielle system. I disse situationer </w:t>
            </w:r>
            <w:r w:rsidRPr="00D5748F">
              <w:rPr>
                <w:b/>
                <w:bCs/>
                <w:i/>
                <w:iCs/>
              </w:rPr>
              <w:t>bør afviklingsmyndighederne fastsætte et MREL-krav for likvidationsenheden bestående af et beløb, der er tilstrækkeligt til at abs</w:t>
            </w:r>
            <w:r w:rsidRPr="00D5748F">
              <w:rPr>
                <w:b/>
                <w:bCs/>
                <w:i/>
                <w:iCs/>
              </w:rPr>
              <w:t>orbere tab, forhøjet med det beløb, der er nødvendigt for at imødegå de potentielle risici, som afviklingsmyndighederne har udpeget.</w:t>
            </w:r>
            <w:r w:rsidRPr="00D5748F">
              <w:t xml:space="preserve"> </w:t>
            </w:r>
            <w:r w:rsidRPr="00D5748F">
              <w:rPr>
                <w:b/>
                <w:bCs/>
                <w:i/>
                <w:iCs/>
              </w:rPr>
              <w:t>Likvidationsenheden bør</w:t>
            </w:r>
            <w:r w:rsidRPr="00D5748F">
              <w:t xml:space="preserve"> opfylde MREL-kravet og bør ikke undtages fra den ordning med forudgående tilladelse, der er fastsat</w:t>
            </w:r>
            <w:r w:rsidRPr="00D5748F">
              <w:t xml:space="preserve"> i artikel 77, stk. 2, og artikel 78a i forordning (EU) nr. 575/2013. Alle mellemliggende enheder, der tilhører den samme afviklingskoncern som den pågældende likvidationsenhed, bør fortsat være forpligtet til fra deres interne MREL-kapacitet at fratrække </w:t>
            </w:r>
            <w:r w:rsidRPr="00D5748F">
              <w:t xml:space="preserve">deres besiddelser af nedskrivningsrelevante ressourcer med henblik på internt MREL udstedt af den pågældende likvidationsenhed. Da likvidationsprocedurer finder sted i den juridiske enhed, bør likvidationsenheder, der stadig er underlagt MREL, desuden kun </w:t>
            </w:r>
            <w:r w:rsidRPr="00D5748F">
              <w:t xml:space="preserve">opfylde kravet på individuelt grundlag. Endelig er visse krav til at være nedskrivningsrelevant vedrørende ejerskabet af det pågældende passiv ikke relevante, da der </w:t>
            </w:r>
            <w:r w:rsidRPr="00D5748F">
              <w:rPr>
                <w:b/>
                <w:bCs/>
                <w:i/>
                <w:iCs/>
              </w:rPr>
              <w:t>uden udøvelsen af nedskrivnings- og konverteringsbeføjelserne</w:t>
            </w:r>
            <w:r w:rsidRPr="00D5748F">
              <w:t xml:space="preserve"> ikke </w:t>
            </w:r>
            <w:r w:rsidRPr="00D5748F">
              <w:rPr>
                <w:b/>
                <w:bCs/>
                <w:i/>
                <w:iCs/>
              </w:rPr>
              <w:t>vil være</w:t>
            </w:r>
            <w:r w:rsidRPr="00D5748F">
              <w:t xml:space="preserve"> behov for at </w:t>
            </w:r>
            <w:r w:rsidRPr="00D5748F">
              <w:rPr>
                <w:b/>
                <w:bCs/>
                <w:i/>
                <w:iCs/>
              </w:rPr>
              <w:t>b</w:t>
            </w:r>
            <w:r w:rsidRPr="00D5748F">
              <w:rPr>
                <w:b/>
                <w:bCs/>
                <w:i/>
                <w:iCs/>
              </w:rPr>
              <w:t>evare kontrollen med datterselskabet gennem afviklingsenheden,</w:t>
            </w:r>
            <w:r w:rsidRPr="00D5748F">
              <w:t xml:space="preserve"> og de bør derfor ikke finde anvendelse.</w:t>
            </w:r>
          </w:p>
        </w:tc>
      </w:tr>
    </w:tbl>
    <w:p w:rsidR="00932D06" w:rsidRPr="00D5748F" w:rsidRDefault="0020623A" w:rsidP="00932D06">
      <w:pPr>
        <w:pStyle w:val="Olang"/>
        <w:rPr>
          <w:sz w:val="24"/>
          <w:szCs w:val="24"/>
        </w:rPr>
      </w:pPr>
      <w:r w:rsidRPr="00D5748F">
        <w:rPr>
          <w:sz w:val="24"/>
          <w:szCs w:val="24"/>
        </w:rPr>
        <w:lastRenderedPageBreak/>
        <w:t xml:space="preserve">Or. </w:t>
      </w:r>
      <w:r w:rsidRPr="00D5748F">
        <w:rPr>
          <w:rStyle w:val="HideTWBExt"/>
        </w:rPr>
        <w:t>&lt;Original&gt;</w:t>
      </w:r>
      <w:r w:rsidRPr="00D5748F">
        <w:rPr>
          <w:rStyle w:val="HideTWBInt"/>
          <w:sz w:val="24"/>
          <w:szCs w:val="24"/>
        </w:rPr>
        <w:t>{EN}</w:t>
      </w:r>
      <w:r w:rsidRPr="00D5748F">
        <w:rPr>
          <w:sz w:val="24"/>
          <w:szCs w:val="24"/>
        </w:rPr>
        <w:t>en</w:t>
      </w:r>
      <w:r w:rsidRPr="00D5748F">
        <w:rPr>
          <w:rStyle w:val="HideTWBExt"/>
        </w:rPr>
        <w:t>&lt;/Original&gt;</w:t>
      </w:r>
    </w:p>
    <w:p w:rsidR="00932D06" w:rsidRPr="00D5748F" w:rsidRDefault="0020623A" w:rsidP="00932D06">
      <w:pPr>
        <w:rPr>
          <w:szCs w:val="24"/>
        </w:rPr>
      </w:pPr>
      <w:r w:rsidRPr="00D5748F">
        <w:rPr>
          <w:rStyle w:val="HideTWBExt"/>
        </w:rPr>
        <w:t>&lt;/Amend&gt;</w:t>
      </w:r>
    </w:p>
    <w:p w:rsidR="00932D06" w:rsidRPr="00D5748F" w:rsidRDefault="0020623A" w:rsidP="00932D06">
      <w:pPr>
        <w:pStyle w:val="AMNumberTabs0"/>
        <w:keepNext/>
      </w:pPr>
      <w:r w:rsidRPr="00D5748F">
        <w:rPr>
          <w:rStyle w:val="HideTWBExt"/>
          <w:b w:val="0"/>
        </w:rPr>
        <w:t>&lt;Amend&gt;</w:t>
      </w:r>
      <w:r w:rsidRPr="00D5748F">
        <w:t>Ændringsforslag</w:t>
      </w:r>
      <w:r w:rsidRPr="00D5748F">
        <w:tab/>
      </w:r>
      <w:r w:rsidRPr="00D5748F">
        <w:tab/>
      </w:r>
      <w:r w:rsidRPr="00D5748F">
        <w:rPr>
          <w:rStyle w:val="HideTWBExt"/>
          <w:b w:val="0"/>
        </w:rPr>
        <w:t>&lt;NumAm&gt;</w:t>
      </w:r>
      <w:r w:rsidRPr="00D5748F">
        <w:t>9</w:t>
      </w:r>
      <w:r w:rsidRPr="00D5748F">
        <w:rPr>
          <w:rStyle w:val="HideTWBExt"/>
          <w:b w:val="0"/>
        </w:rPr>
        <w:t>&lt;/NumAm&gt;</w:t>
      </w:r>
    </w:p>
    <w:p w:rsidR="00932D06" w:rsidRPr="00D5748F" w:rsidRDefault="0020623A" w:rsidP="00932D06">
      <w:pPr>
        <w:pStyle w:val="NormalBold12b"/>
        <w:keepNext/>
      </w:pPr>
      <w:r w:rsidRPr="00D5748F">
        <w:rPr>
          <w:rStyle w:val="HideTWBExt"/>
          <w:b w:val="0"/>
        </w:rPr>
        <w:t>&lt;DocAmend&gt;</w:t>
      </w:r>
      <w:r w:rsidRPr="00D5748F">
        <w:t>Forslag til direktiv</w:t>
      </w:r>
      <w:r w:rsidRPr="00D5748F">
        <w:rPr>
          <w:rStyle w:val="HideTWBExt"/>
          <w:b w:val="0"/>
        </w:rPr>
        <w:t>&lt;/DocAmend&gt;</w:t>
      </w:r>
    </w:p>
    <w:p w:rsidR="00932D06" w:rsidRPr="00D5748F" w:rsidRDefault="0020623A" w:rsidP="00932D06">
      <w:pPr>
        <w:pStyle w:val="NormalBold"/>
      </w:pPr>
      <w:r w:rsidRPr="00D5748F">
        <w:rPr>
          <w:rStyle w:val="HideTWBExt"/>
          <w:b w:val="0"/>
        </w:rPr>
        <w:t>&lt;Article&gt;</w:t>
      </w:r>
      <w:r w:rsidRPr="00D5748F">
        <w:t>Betragtning 14</w:t>
      </w:r>
      <w:r w:rsidRPr="00D5748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12990" w:rsidRPr="00D5748F" w:rsidTr="00932D06">
        <w:trPr>
          <w:jc w:val="center"/>
        </w:trPr>
        <w:tc>
          <w:tcPr>
            <w:tcW w:w="9752" w:type="dxa"/>
            <w:gridSpan w:val="2"/>
          </w:tcPr>
          <w:p w:rsidR="00932D06" w:rsidRPr="00D5748F" w:rsidRDefault="00932D06">
            <w:pPr>
              <w:keepNext/>
            </w:pPr>
          </w:p>
        </w:tc>
      </w:tr>
      <w:tr w:rsidR="00112990" w:rsidRPr="00D5748F" w:rsidTr="00932D06">
        <w:trPr>
          <w:jc w:val="center"/>
        </w:trPr>
        <w:tc>
          <w:tcPr>
            <w:tcW w:w="4876" w:type="dxa"/>
            <w:hideMark/>
          </w:tcPr>
          <w:p w:rsidR="00932D06" w:rsidRPr="00D5748F" w:rsidRDefault="0020623A">
            <w:pPr>
              <w:pStyle w:val="ColumnHeading"/>
              <w:keepNext/>
            </w:pPr>
            <w:r w:rsidRPr="00D5748F">
              <w:t>Kommissionens forslag</w:t>
            </w:r>
          </w:p>
        </w:tc>
        <w:tc>
          <w:tcPr>
            <w:tcW w:w="4876" w:type="dxa"/>
            <w:hideMark/>
          </w:tcPr>
          <w:p w:rsidR="00932D06" w:rsidRPr="00D5748F" w:rsidRDefault="0020623A">
            <w:pPr>
              <w:pStyle w:val="ColumnHeading"/>
              <w:keepNext/>
            </w:pPr>
            <w:r w:rsidRPr="00D5748F">
              <w:t>Ændringsforslag</w:t>
            </w:r>
          </w:p>
        </w:tc>
      </w:tr>
      <w:tr w:rsidR="00112990" w:rsidRPr="00D5748F" w:rsidTr="00932D06">
        <w:trPr>
          <w:jc w:val="center"/>
        </w:trPr>
        <w:tc>
          <w:tcPr>
            <w:tcW w:w="4876" w:type="dxa"/>
            <w:hideMark/>
          </w:tcPr>
          <w:p w:rsidR="00932D06" w:rsidRPr="00D5748F" w:rsidRDefault="0020623A">
            <w:pPr>
              <w:pStyle w:val="Normal6"/>
            </w:pPr>
            <w:r w:rsidRPr="00D5748F">
              <w:t>(14)</w:t>
            </w:r>
            <w:r w:rsidRPr="00D5748F">
              <w:tab/>
              <w:t>Målene for dette direktiv, nemlig at tilpasse behandlingen af likvidationsenheder i henhold til MREL-</w:t>
            </w:r>
            <w:r w:rsidRPr="00D5748F">
              <w:lastRenderedPageBreak/>
              <w:t xml:space="preserve">rammen og mulighederne for at opfylde det interne MREL-krav på konsolideret grundlag, kan ikke i </w:t>
            </w:r>
            <w:r w:rsidRPr="00D5748F">
              <w:t>tilstrækkelig grad opfyldes af medlemsstaterne, men kan ved at ændre regler, der allerede er fastsat på EU-plan, bedre nås på EU-plan; Unionen kan derfor vedtage foranstaltninger i overensstemmelse med nærhedsprincippet, jf. artikel 5 i traktaten om Den Eu</w:t>
            </w:r>
            <w:r w:rsidRPr="00D5748F">
              <w:t>ropæiske Union. I overensstemmelse med proportionalitetsprincippet, jf. nævnte artikel, går dette direktiv ikke videre, end hvad der er nødvendigt for at nå disse mål —</w:t>
            </w:r>
          </w:p>
        </w:tc>
        <w:tc>
          <w:tcPr>
            <w:tcW w:w="4876" w:type="dxa"/>
            <w:hideMark/>
          </w:tcPr>
          <w:p w:rsidR="00932D06" w:rsidRPr="00D5748F" w:rsidRDefault="0020623A">
            <w:pPr>
              <w:pStyle w:val="Normal6"/>
              <w:rPr>
                <w:szCs w:val="24"/>
              </w:rPr>
            </w:pPr>
            <w:r w:rsidRPr="00D5748F">
              <w:lastRenderedPageBreak/>
              <w:t>(14)</w:t>
            </w:r>
            <w:r w:rsidRPr="00D5748F">
              <w:tab/>
              <w:t xml:space="preserve">Målene for dette direktiv, nemlig at tilpasse behandlingen af likvidationsenheder </w:t>
            </w:r>
            <w:r w:rsidRPr="00D5748F">
              <w:t>i henhold til MREL-</w:t>
            </w:r>
            <w:r w:rsidRPr="00D5748F">
              <w:lastRenderedPageBreak/>
              <w:t xml:space="preserve">rammen og </w:t>
            </w:r>
            <w:r w:rsidRPr="00D5748F">
              <w:rPr>
                <w:b/>
                <w:bCs/>
                <w:i/>
                <w:iCs/>
              </w:rPr>
              <w:t>afviklingsmyndighedernes mulighed for at fastætte</w:t>
            </w:r>
            <w:r w:rsidRPr="00D5748F">
              <w:t xml:space="preserve"> det interne MREL-krav på konsolideret grundlag, kan ikke i tilstrækkelig grad opfyldes af medlemsstaterne, men kan ved at ændre regler, der allerede er fastsat på EU-plan, bedre</w:t>
            </w:r>
            <w:r w:rsidRPr="00D5748F">
              <w:t xml:space="preserve"> nås på EU-plan; Unionen kan derfor vedtage foranstaltninger i overensstemmelse med nærhedsprincippet, jf. artikel 5 i traktaten om Den Europæiske Union. I overensstemmelse med proportionalitetsprincippet, jf. nævnte artikel, går dette direktiv ikke videre</w:t>
            </w:r>
            <w:r w:rsidRPr="00D5748F">
              <w:t>, end hvad der er nødvendigt for at nå disse mål –</w:t>
            </w:r>
          </w:p>
        </w:tc>
      </w:tr>
    </w:tbl>
    <w:p w:rsidR="00932D06" w:rsidRPr="00D5748F" w:rsidRDefault="0020623A" w:rsidP="00932D06">
      <w:pPr>
        <w:pStyle w:val="Olang"/>
        <w:rPr>
          <w:sz w:val="24"/>
          <w:szCs w:val="24"/>
        </w:rPr>
      </w:pPr>
      <w:r w:rsidRPr="00D5748F">
        <w:rPr>
          <w:sz w:val="24"/>
          <w:szCs w:val="24"/>
        </w:rPr>
        <w:lastRenderedPageBreak/>
        <w:t xml:space="preserve">Or. </w:t>
      </w:r>
      <w:r w:rsidRPr="00D5748F">
        <w:rPr>
          <w:rStyle w:val="HideTWBExt"/>
        </w:rPr>
        <w:t>&lt;Original&gt;</w:t>
      </w:r>
      <w:r w:rsidRPr="00D5748F">
        <w:rPr>
          <w:rStyle w:val="HideTWBInt"/>
          <w:sz w:val="24"/>
          <w:szCs w:val="24"/>
        </w:rPr>
        <w:t>{EN}</w:t>
      </w:r>
      <w:r w:rsidRPr="00D5748F">
        <w:rPr>
          <w:sz w:val="24"/>
          <w:szCs w:val="24"/>
        </w:rPr>
        <w:t>en</w:t>
      </w:r>
      <w:r w:rsidRPr="00D5748F">
        <w:rPr>
          <w:rStyle w:val="HideTWBExt"/>
        </w:rPr>
        <w:t>&lt;/Original&gt;</w:t>
      </w:r>
    </w:p>
    <w:p w:rsidR="00932D06" w:rsidRPr="00D5748F" w:rsidRDefault="0020623A" w:rsidP="00932D06">
      <w:pPr>
        <w:rPr>
          <w:szCs w:val="24"/>
        </w:rPr>
      </w:pPr>
      <w:r w:rsidRPr="00D5748F">
        <w:rPr>
          <w:rStyle w:val="HideTWBExt"/>
        </w:rPr>
        <w:t>&lt;/Amend&gt;</w:t>
      </w:r>
    </w:p>
    <w:p w:rsidR="00932D06" w:rsidRPr="00D5748F" w:rsidRDefault="0020623A" w:rsidP="00932D06">
      <w:pPr>
        <w:pStyle w:val="AMNumberTabs0"/>
        <w:keepNext/>
      </w:pPr>
      <w:r w:rsidRPr="00D5748F">
        <w:rPr>
          <w:rStyle w:val="HideTWBExt"/>
          <w:b w:val="0"/>
        </w:rPr>
        <w:t>&lt;Amend&gt;</w:t>
      </w:r>
      <w:r w:rsidRPr="00D5748F">
        <w:t>Ændringsforslag</w:t>
      </w:r>
      <w:r w:rsidRPr="00D5748F">
        <w:tab/>
      </w:r>
      <w:r w:rsidRPr="00D5748F">
        <w:tab/>
      </w:r>
      <w:r w:rsidRPr="00D5748F">
        <w:rPr>
          <w:rStyle w:val="HideTWBExt"/>
          <w:b w:val="0"/>
        </w:rPr>
        <w:t>&lt;NumAm&gt;</w:t>
      </w:r>
      <w:r w:rsidRPr="00D5748F">
        <w:t>10</w:t>
      </w:r>
      <w:r w:rsidRPr="00D5748F">
        <w:rPr>
          <w:rStyle w:val="HideTWBExt"/>
          <w:b w:val="0"/>
        </w:rPr>
        <w:t>&lt;/NumAm&gt;</w:t>
      </w:r>
    </w:p>
    <w:p w:rsidR="00932D06" w:rsidRPr="00D5748F" w:rsidRDefault="0020623A" w:rsidP="00932D06">
      <w:pPr>
        <w:pStyle w:val="NormalBold12b"/>
        <w:keepNext/>
      </w:pPr>
      <w:r w:rsidRPr="00D5748F">
        <w:rPr>
          <w:rStyle w:val="HideTWBExt"/>
          <w:b w:val="0"/>
        </w:rPr>
        <w:t>&lt;DocAmend&gt;</w:t>
      </w:r>
      <w:r w:rsidRPr="00D5748F">
        <w:t>Forslag til direktiv</w:t>
      </w:r>
      <w:r w:rsidRPr="00D5748F">
        <w:rPr>
          <w:rStyle w:val="HideTWBExt"/>
          <w:b w:val="0"/>
        </w:rPr>
        <w:t>&lt;/DocAmend&gt;</w:t>
      </w:r>
    </w:p>
    <w:p w:rsidR="00932D06" w:rsidRPr="00D5748F" w:rsidRDefault="0020623A" w:rsidP="00932D06">
      <w:pPr>
        <w:pStyle w:val="NormalBold"/>
      </w:pPr>
      <w:r w:rsidRPr="00D5748F">
        <w:rPr>
          <w:rStyle w:val="HideTWBExt"/>
          <w:b w:val="0"/>
        </w:rPr>
        <w:t>&lt;Article&gt;</w:t>
      </w:r>
      <w:r w:rsidRPr="00D5748F">
        <w:t>Artikel 1 – stk. 1 – nr. 1</w:t>
      </w:r>
      <w:r w:rsidRPr="00D5748F">
        <w:rPr>
          <w:rStyle w:val="HideTWBExt"/>
          <w:b w:val="0"/>
        </w:rPr>
        <w:t>&lt;/Article&gt;</w:t>
      </w:r>
    </w:p>
    <w:p w:rsidR="00932D06" w:rsidRPr="00D5748F" w:rsidRDefault="0020623A" w:rsidP="00932D06">
      <w:pPr>
        <w:keepNext/>
      </w:pPr>
      <w:r w:rsidRPr="00D5748F">
        <w:rPr>
          <w:rStyle w:val="HideTWBExt"/>
        </w:rPr>
        <w:t>&lt;DocAmend2&gt;</w:t>
      </w:r>
      <w:r w:rsidRPr="00D5748F">
        <w:t>Direktiv 2014/59/EU</w:t>
      </w:r>
      <w:r w:rsidRPr="00D5748F">
        <w:rPr>
          <w:rStyle w:val="HideTWBExt"/>
        </w:rPr>
        <w:t>&lt;/D</w:t>
      </w:r>
      <w:r w:rsidRPr="00D5748F">
        <w:rPr>
          <w:rStyle w:val="HideTWBExt"/>
        </w:rPr>
        <w:t>ocAmend2&gt;</w:t>
      </w:r>
    </w:p>
    <w:p w:rsidR="00932D06" w:rsidRPr="00D5748F" w:rsidRDefault="0020623A" w:rsidP="00932D06">
      <w:r w:rsidRPr="00D5748F">
        <w:rPr>
          <w:rStyle w:val="HideTWBExt"/>
        </w:rPr>
        <w:t>&lt;Article2&gt;</w:t>
      </w:r>
      <w:r w:rsidRPr="00D5748F">
        <w:t>Artikel 2 – stk. 1 – nr. 83aa</w:t>
      </w:r>
      <w:r w:rsidRPr="00D5748F">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12990" w:rsidRPr="00D5748F" w:rsidTr="00932D06">
        <w:trPr>
          <w:jc w:val="center"/>
        </w:trPr>
        <w:tc>
          <w:tcPr>
            <w:tcW w:w="9752" w:type="dxa"/>
            <w:gridSpan w:val="2"/>
          </w:tcPr>
          <w:p w:rsidR="00932D06" w:rsidRPr="00D5748F" w:rsidRDefault="00932D06">
            <w:pPr>
              <w:keepNext/>
            </w:pPr>
          </w:p>
        </w:tc>
      </w:tr>
      <w:tr w:rsidR="00112990" w:rsidRPr="00D5748F" w:rsidTr="00932D06">
        <w:trPr>
          <w:jc w:val="center"/>
        </w:trPr>
        <w:tc>
          <w:tcPr>
            <w:tcW w:w="4876" w:type="dxa"/>
            <w:hideMark/>
          </w:tcPr>
          <w:p w:rsidR="00932D06" w:rsidRPr="00D5748F" w:rsidRDefault="0020623A">
            <w:pPr>
              <w:pStyle w:val="ColumnHeading"/>
              <w:keepNext/>
            </w:pPr>
            <w:r w:rsidRPr="00D5748F">
              <w:t>Kommissionens forslag</w:t>
            </w:r>
          </w:p>
        </w:tc>
        <w:tc>
          <w:tcPr>
            <w:tcW w:w="4876" w:type="dxa"/>
            <w:hideMark/>
          </w:tcPr>
          <w:p w:rsidR="00932D06" w:rsidRPr="00D5748F" w:rsidRDefault="0020623A">
            <w:pPr>
              <w:pStyle w:val="ColumnHeading"/>
              <w:keepNext/>
            </w:pPr>
            <w:r w:rsidRPr="00D5748F">
              <w:t>Ændringsforslag</w:t>
            </w:r>
          </w:p>
        </w:tc>
      </w:tr>
      <w:tr w:rsidR="00112990" w:rsidRPr="00D5748F" w:rsidTr="00932D06">
        <w:trPr>
          <w:jc w:val="center"/>
        </w:trPr>
        <w:tc>
          <w:tcPr>
            <w:tcW w:w="4876" w:type="dxa"/>
            <w:hideMark/>
          </w:tcPr>
          <w:p w:rsidR="00932D06" w:rsidRPr="00D5748F" w:rsidRDefault="0020623A">
            <w:pPr>
              <w:pStyle w:val="Normal6"/>
            </w:pPr>
            <w:r w:rsidRPr="00D5748F">
              <w:t>83aa)</w:t>
            </w:r>
            <w:r w:rsidRPr="00D5748F">
              <w:tab/>
              <w:t xml:space="preserve">"likvidationsenhed": en juridisk person, der er etableret i Unionen, for hvilken koncernafviklingsplanen eller, for enheder, der ikke er en del af </w:t>
            </w:r>
            <w:r w:rsidRPr="00D5748F">
              <w:t>en koncern, afviklingsplanen fastsætter, at enheden skal likvideres på en velordnet måde i overensstemmelse med gældende national ret".</w:t>
            </w:r>
          </w:p>
        </w:tc>
        <w:tc>
          <w:tcPr>
            <w:tcW w:w="4876" w:type="dxa"/>
            <w:hideMark/>
          </w:tcPr>
          <w:p w:rsidR="00932D06" w:rsidRPr="00D5748F" w:rsidRDefault="0020623A" w:rsidP="000A7B09">
            <w:pPr>
              <w:pStyle w:val="Normal6"/>
              <w:rPr>
                <w:szCs w:val="24"/>
              </w:rPr>
            </w:pPr>
            <w:r w:rsidRPr="00D5748F">
              <w:t>83aa)</w:t>
            </w:r>
            <w:r w:rsidRPr="00D5748F">
              <w:tab/>
              <w:t>"likvidationsenhed": en juridisk person, der er etableret i Unionen, for hvilken koncernafviklingsplanen eller, fo</w:t>
            </w:r>
            <w:r w:rsidRPr="00D5748F">
              <w:t xml:space="preserve">r enheder, der ikke er en del af en koncern, afviklingsplanen fastsætter, at enheden skal likvideres </w:t>
            </w:r>
            <w:r w:rsidRPr="00D5748F">
              <w:rPr>
                <w:b/>
                <w:bCs/>
                <w:i/>
                <w:iCs/>
              </w:rPr>
              <w:t>i henhold til almindelig insolvensbehandling eller den ikke påtænker udøvelsen af nedskrivnings- og konverteringsbeføjelser med hensyn til den enhed.</w:t>
            </w:r>
          </w:p>
        </w:tc>
      </w:tr>
    </w:tbl>
    <w:p w:rsidR="00932D06" w:rsidRPr="00D5748F" w:rsidRDefault="0020623A" w:rsidP="00932D06">
      <w:pPr>
        <w:pStyle w:val="Olang"/>
        <w:rPr>
          <w:sz w:val="24"/>
          <w:szCs w:val="24"/>
        </w:rPr>
      </w:pPr>
      <w:r w:rsidRPr="00D5748F">
        <w:rPr>
          <w:sz w:val="24"/>
          <w:szCs w:val="24"/>
        </w:rPr>
        <w:t xml:space="preserve">Or. </w:t>
      </w:r>
      <w:r w:rsidRPr="00D5748F">
        <w:rPr>
          <w:rStyle w:val="HideTWBExt"/>
        </w:rPr>
        <w:t>&lt;Original&gt;</w:t>
      </w:r>
      <w:r w:rsidRPr="00D5748F">
        <w:rPr>
          <w:rStyle w:val="HideTWBInt"/>
          <w:sz w:val="24"/>
          <w:szCs w:val="24"/>
        </w:rPr>
        <w:t>{EN}</w:t>
      </w:r>
      <w:r w:rsidRPr="00D5748F">
        <w:rPr>
          <w:sz w:val="24"/>
          <w:szCs w:val="24"/>
        </w:rPr>
        <w:t>en</w:t>
      </w:r>
      <w:r w:rsidRPr="00D5748F">
        <w:rPr>
          <w:rStyle w:val="HideTWBExt"/>
        </w:rPr>
        <w:t>&lt;/Original&gt;</w:t>
      </w:r>
    </w:p>
    <w:p w:rsidR="00932D06" w:rsidRPr="00D5748F" w:rsidRDefault="0020623A" w:rsidP="00932D06">
      <w:pPr>
        <w:rPr>
          <w:szCs w:val="24"/>
        </w:rPr>
      </w:pPr>
      <w:r w:rsidRPr="00D5748F">
        <w:rPr>
          <w:rStyle w:val="HideTWBExt"/>
        </w:rPr>
        <w:t>&lt;/Amend&gt;</w:t>
      </w:r>
    </w:p>
    <w:p w:rsidR="00932D06" w:rsidRPr="00D5748F" w:rsidRDefault="0020623A" w:rsidP="00932D06">
      <w:pPr>
        <w:pStyle w:val="AMNumberTabs0"/>
        <w:keepNext/>
      </w:pPr>
      <w:r w:rsidRPr="00D5748F">
        <w:rPr>
          <w:rStyle w:val="HideTWBExt"/>
          <w:b w:val="0"/>
        </w:rPr>
        <w:t>&lt;Amend&gt;</w:t>
      </w:r>
      <w:r w:rsidRPr="00D5748F">
        <w:t>Ændringsforslag</w:t>
      </w:r>
      <w:r w:rsidRPr="00D5748F">
        <w:tab/>
      </w:r>
      <w:r w:rsidRPr="00D5748F">
        <w:tab/>
      </w:r>
      <w:r w:rsidRPr="00D5748F">
        <w:rPr>
          <w:rStyle w:val="HideTWBExt"/>
          <w:b w:val="0"/>
        </w:rPr>
        <w:t>&lt;NumAm&gt;</w:t>
      </w:r>
      <w:r w:rsidRPr="00D5748F">
        <w:t>11</w:t>
      </w:r>
      <w:r w:rsidRPr="00D5748F">
        <w:rPr>
          <w:rStyle w:val="HideTWBExt"/>
          <w:b w:val="0"/>
        </w:rPr>
        <w:t>&lt;/NumAm&gt;</w:t>
      </w:r>
    </w:p>
    <w:p w:rsidR="00932D06" w:rsidRPr="00D5748F" w:rsidRDefault="0020623A" w:rsidP="00932D06">
      <w:pPr>
        <w:pStyle w:val="NormalBold12b"/>
        <w:keepNext/>
      </w:pPr>
      <w:r w:rsidRPr="00D5748F">
        <w:rPr>
          <w:rStyle w:val="HideTWBExt"/>
          <w:b w:val="0"/>
        </w:rPr>
        <w:t>&lt;DocAmend&gt;</w:t>
      </w:r>
      <w:r w:rsidRPr="00D5748F">
        <w:t>Forslag til direktiv</w:t>
      </w:r>
      <w:r w:rsidRPr="00D5748F">
        <w:rPr>
          <w:rStyle w:val="HideTWBExt"/>
          <w:b w:val="0"/>
        </w:rPr>
        <w:t>&lt;/DocAmend&gt;</w:t>
      </w:r>
    </w:p>
    <w:p w:rsidR="00932D06" w:rsidRPr="00D5748F" w:rsidRDefault="0020623A" w:rsidP="00932D06">
      <w:pPr>
        <w:pStyle w:val="NormalBold"/>
      </w:pPr>
      <w:r w:rsidRPr="00D5748F">
        <w:rPr>
          <w:rStyle w:val="HideTWBExt"/>
          <w:b w:val="0"/>
        </w:rPr>
        <w:t>&lt;Article&gt;</w:t>
      </w:r>
      <w:r w:rsidRPr="00D5748F">
        <w:t>Artikel 1 – stk. 1 – nr. 2 – litra b</w:t>
      </w:r>
      <w:r w:rsidRPr="00D5748F">
        <w:rPr>
          <w:rStyle w:val="HideTWBExt"/>
          <w:b w:val="0"/>
        </w:rPr>
        <w:t>&lt;/Article&gt;</w:t>
      </w:r>
    </w:p>
    <w:p w:rsidR="00932D06" w:rsidRPr="00D5748F" w:rsidRDefault="0020623A" w:rsidP="00932D06">
      <w:pPr>
        <w:keepNext/>
      </w:pPr>
      <w:r w:rsidRPr="00D5748F">
        <w:rPr>
          <w:rStyle w:val="HideTWBExt"/>
        </w:rPr>
        <w:t>&lt;DocAmend2&gt;</w:t>
      </w:r>
      <w:r w:rsidRPr="00D5748F">
        <w:t>Direktiv 2014/59/EU</w:t>
      </w:r>
      <w:r w:rsidRPr="00D5748F">
        <w:rPr>
          <w:rStyle w:val="HideTWBExt"/>
        </w:rPr>
        <w:t>&lt;/DocAmend2&gt;</w:t>
      </w:r>
    </w:p>
    <w:p w:rsidR="00932D06" w:rsidRPr="00D5748F" w:rsidRDefault="0020623A" w:rsidP="00932D06">
      <w:r w:rsidRPr="00D5748F">
        <w:rPr>
          <w:rStyle w:val="HideTWBExt"/>
        </w:rPr>
        <w:t>&lt;Article2&gt;</w:t>
      </w:r>
      <w:r w:rsidRPr="00D5748F">
        <w:t xml:space="preserve">Artikel 45c – stk. 2a – </w:t>
      </w:r>
      <w:r w:rsidRPr="00D5748F">
        <w:t>afsnit 2</w:t>
      </w:r>
      <w:r w:rsidRPr="00D5748F">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12990" w:rsidRPr="00D5748F" w:rsidTr="00932D06">
        <w:trPr>
          <w:jc w:val="center"/>
        </w:trPr>
        <w:tc>
          <w:tcPr>
            <w:tcW w:w="9752" w:type="dxa"/>
            <w:gridSpan w:val="2"/>
          </w:tcPr>
          <w:p w:rsidR="00932D06" w:rsidRPr="00D5748F" w:rsidRDefault="00932D06">
            <w:pPr>
              <w:keepNext/>
            </w:pPr>
          </w:p>
        </w:tc>
      </w:tr>
      <w:tr w:rsidR="00112990" w:rsidRPr="00D5748F" w:rsidTr="00932D06">
        <w:trPr>
          <w:jc w:val="center"/>
        </w:trPr>
        <w:tc>
          <w:tcPr>
            <w:tcW w:w="4876" w:type="dxa"/>
            <w:hideMark/>
          </w:tcPr>
          <w:p w:rsidR="00932D06" w:rsidRPr="00D5748F" w:rsidRDefault="0020623A">
            <w:pPr>
              <w:pStyle w:val="ColumnHeading"/>
              <w:keepNext/>
            </w:pPr>
            <w:r w:rsidRPr="00D5748F">
              <w:t>Kommissionens forslag</w:t>
            </w:r>
          </w:p>
        </w:tc>
        <w:tc>
          <w:tcPr>
            <w:tcW w:w="4876" w:type="dxa"/>
            <w:hideMark/>
          </w:tcPr>
          <w:p w:rsidR="00932D06" w:rsidRPr="00D5748F" w:rsidRDefault="0020623A">
            <w:pPr>
              <w:pStyle w:val="ColumnHeading"/>
              <w:keepNext/>
            </w:pPr>
            <w:r w:rsidRPr="00D5748F">
              <w:t>Ændringsforslag</w:t>
            </w:r>
          </w:p>
        </w:tc>
      </w:tr>
      <w:tr w:rsidR="00112990" w:rsidRPr="00D5748F" w:rsidTr="00932D06">
        <w:trPr>
          <w:jc w:val="center"/>
        </w:trPr>
        <w:tc>
          <w:tcPr>
            <w:tcW w:w="4876" w:type="dxa"/>
            <w:hideMark/>
          </w:tcPr>
          <w:p w:rsidR="00932D06" w:rsidRPr="00D5748F" w:rsidRDefault="0020623A">
            <w:pPr>
              <w:pStyle w:val="Normal6"/>
            </w:pPr>
            <w:r w:rsidRPr="00D5748F">
              <w:t xml:space="preserve">Uanset første afsnit, og hvis det er </w:t>
            </w:r>
            <w:r w:rsidRPr="00D5748F">
              <w:lastRenderedPageBreak/>
              <w:t>nødvendigt for at beskytte den finansielle stabilitet eller begrænse den potentielle afsmitning på det finansielle system, kan afviklingsmyndighederne undtage</w:t>
            </w:r>
            <w:r w:rsidRPr="00D5748F">
              <w:t xml:space="preserve">lsesvis fastsætte det i artikel 45, stk. 1, omhandlede krav til likvidationsenheder på individuelt grundlag i form af et beløb, der er tilstrækkeligt til at absorbere tab i overensstemmelse med nærværende artikels stk. 2, litra a), forhøjet til det beløb, </w:t>
            </w:r>
            <w:r w:rsidRPr="00D5748F">
              <w:t>der er nødvendigt for at nå disse mål. I disse tilfælde skal likvidationsenheder opfylde kravet i artikel 45, stk. 1, ved at anvende en eller flere af følgende:</w:t>
            </w:r>
          </w:p>
        </w:tc>
        <w:tc>
          <w:tcPr>
            <w:tcW w:w="4876" w:type="dxa"/>
            <w:hideMark/>
          </w:tcPr>
          <w:p w:rsidR="00932D06" w:rsidRPr="00D5748F" w:rsidRDefault="0020623A">
            <w:pPr>
              <w:pStyle w:val="Normal6"/>
              <w:rPr>
                <w:szCs w:val="24"/>
              </w:rPr>
            </w:pPr>
            <w:r w:rsidRPr="00D5748F">
              <w:lastRenderedPageBreak/>
              <w:t xml:space="preserve">Uanset første afsnit </w:t>
            </w:r>
            <w:r w:rsidRPr="00D5748F">
              <w:rPr>
                <w:b/>
                <w:bCs/>
                <w:i/>
                <w:iCs/>
              </w:rPr>
              <w:t xml:space="preserve">skal </w:t>
            </w:r>
            <w:r w:rsidRPr="00D5748F">
              <w:rPr>
                <w:b/>
                <w:bCs/>
                <w:i/>
                <w:iCs/>
              </w:rPr>
              <w:lastRenderedPageBreak/>
              <w:t>afviklingsmyndigheden vurdere, om det er berettiget at</w:t>
            </w:r>
            <w:r w:rsidRPr="00D5748F">
              <w:t xml:space="preserve"> fastsætte det i artikel 45, stk. 1, omhandlede krav til likvidationsenheder på individuelt grundlag i form af et beløb</w:t>
            </w:r>
            <w:r w:rsidRPr="00D5748F">
              <w:rPr>
                <w:b/>
                <w:bCs/>
                <w:i/>
                <w:iCs/>
              </w:rPr>
              <w:t>, der overstiger det beløb, der</w:t>
            </w:r>
            <w:r w:rsidRPr="00D5748F">
              <w:t xml:space="preserve"> er tilstrækkeligt til at absorbere tab i overensstemmelse med nærværende artikels stk. 2, litra a)</w:t>
            </w:r>
            <w:r w:rsidRPr="00D5748F">
              <w:rPr>
                <w:b/>
                <w:bCs/>
                <w:i/>
                <w:iCs/>
              </w:rPr>
              <w:t>.</w:t>
            </w:r>
            <w:r w:rsidRPr="00D5748F">
              <w:rPr>
                <w:b/>
                <w:i/>
              </w:rPr>
              <w:t xml:space="preserve"> </w:t>
            </w:r>
            <w:r w:rsidRPr="00D5748F">
              <w:rPr>
                <w:b/>
                <w:bCs/>
                <w:i/>
                <w:iCs/>
              </w:rPr>
              <w:t>Afvik</w:t>
            </w:r>
            <w:r w:rsidRPr="00D5748F">
              <w:rPr>
                <w:b/>
                <w:bCs/>
                <w:i/>
                <w:iCs/>
              </w:rPr>
              <w:t>lingsmyndighedens vurdering skal tage hensyn til de mulige konsekvenser af den pågældende likvidationsenheds sammenbrud og skal navnlig tage hensyn til eventuelle konsekvenser for den finansielle stabilitet og risikoen for afsmitning på det finansielle sys</w:t>
            </w:r>
            <w:r w:rsidRPr="00D5748F">
              <w:rPr>
                <w:b/>
                <w:bCs/>
                <w:i/>
                <w:iCs/>
              </w:rPr>
              <w:t>tem.</w:t>
            </w:r>
            <w:r w:rsidRPr="00D5748F">
              <w:t xml:space="preserve"> I disse tilfælde skal likvidationsenheder opfylde kravet i artikel 45, stk. 1, ved at anvende en eller flere af følgende:</w:t>
            </w:r>
          </w:p>
        </w:tc>
      </w:tr>
    </w:tbl>
    <w:p w:rsidR="00932D06" w:rsidRPr="00D5748F" w:rsidRDefault="0020623A" w:rsidP="00932D06">
      <w:pPr>
        <w:pStyle w:val="Olang"/>
        <w:rPr>
          <w:sz w:val="24"/>
          <w:szCs w:val="24"/>
        </w:rPr>
      </w:pPr>
      <w:r w:rsidRPr="00D5748F">
        <w:rPr>
          <w:sz w:val="24"/>
          <w:szCs w:val="24"/>
        </w:rPr>
        <w:lastRenderedPageBreak/>
        <w:t xml:space="preserve">Or. </w:t>
      </w:r>
      <w:r w:rsidRPr="00D5748F">
        <w:rPr>
          <w:rStyle w:val="HideTWBExt"/>
        </w:rPr>
        <w:t>&lt;Original&gt;</w:t>
      </w:r>
      <w:r w:rsidRPr="00D5748F">
        <w:rPr>
          <w:rStyle w:val="HideTWBInt"/>
          <w:sz w:val="24"/>
          <w:szCs w:val="24"/>
        </w:rPr>
        <w:t>{EN}</w:t>
      </w:r>
      <w:r w:rsidRPr="00D5748F">
        <w:rPr>
          <w:sz w:val="24"/>
          <w:szCs w:val="24"/>
        </w:rPr>
        <w:t>en</w:t>
      </w:r>
      <w:r w:rsidRPr="00D5748F">
        <w:rPr>
          <w:rStyle w:val="HideTWBExt"/>
        </w:rPr>
        <w:t>&lt;/Original&gt;</w:t>
      </w:r>
    </w:p>
    <w:p w:rsidR="00932D06" w:rsidRPr="00D5748F" w:rsidRDefault="0020623A" w:rsidP="00932D06">
      <w:pPr>
        <w:rPr>
          <w:szCs w:val="24"/>
        </w:rPr>
      </w:pPr>
      <w:r w:rsidRPr="00D5748F">
        <w:rPr>
          <w:rStyle w:val="HideTWBExt"/>
        </w:rPr>
        <w:t>&lt;/Amend&gt;</w:t>
      </w:r>
    </w:p>
    <w:p w:rsidR="00932D06" w:rsidRPr="00D5748F" w:rsidRDefault="0020623A" w:rsidP="00932D06">
      <w:pPr>
        <w:pStyle w:val="AMNumberTabs0"/>
        <w:keepNext/>
      </w:pPr>
      <w:r w:rsidRPr="00D5748F">
        <w:rPr>
          <w:rStyle w:val="HideTWBExt"/>
          <w:b w:val="0"/>
        </w:rPr>
        <w:t>&lt;Amend&gt;</w:t>
      </w:r>
      <w:r w:rsidRPr="00D5748F">
        <w:t>Ændringsforslag</w:t>
      </w:r>
      <w:r w:rsidRPr="00D5748F">
        <w:tab/>
      </w:r>
      <w:r w:rsidRPr="00D5748F">
        <w:tab/>
      </w:r>
      <w:r w:rsidRPr="00D5748F">
        <w:rPr>
          <w:rStyle w:val="HideTWBExt"/>
          <w:b w:val="0"/>
        </w:rPr>
        <w:t>&lt;NumAm&gt;</w:t>
      </w:r>
      <w:r w:rsidRPr="00D5748F">
        <w:t>12</w:t>
      </w:r>
      <w:r w:rsidRPr="00D5748F">
        <w:rPr>
          <w:rStyle w:val="HideTWBExt"/>
          <w:b w:val="0"/>
        </w:rPr>
        <w:t>&lt;/NumAm&gt;</w:t>
      </w:r>
    </w:p>
    <w:p w:rsidR="00932D06" w:rsidRPr="00D5748F" w:rsidRDefault="0020623A" w:rsidP="00932D06">
      <w:pPr>
        <w:pStyle w:val="NormalBold12b"/>
        <w:keepNext/>
      </w:pPr>
      <w:r w:rsidRPr="00D5748F">
        <w:rPr>
          <w:rStyle w:val="HideTWBExt"/>
          <w:b w:val="0"/>
        </w:rPr>
        <w:t>&lt;DocAmend&gt;</w:t>
      </w:r>
      <w:r w:rsidRPr="00D5748F">
        <w:t>Forslag til direktiv</w:t>
      </w:r>
      <w:r w:rsidRPr="00D5748F">
        <w:rPr>
          <w:rStyle w:val="HideTWBExt"/>
          <w:b w:val="0"/>
        </w:rPr>
        <w:t>&lt;/DocAmend&gt;</w:t>
      </w:r>
    </w:p>
    <w:p w:rsidR="00932D06" w:rsidRPr="00D5748F" w:rsidRDefault="0020623A" w:rsidP="00932D06">
      <w:pPr>
        <w:pStyle w:val="NormalBold"/>
      </w:pPr>
      <w:r w:rsidRPr="00D5748F">
        <w:rPr>
          <w:rStyle w:val="HideTWBExt"/>
          <w:b w:val="0"/>
        </w:rPr>
        <w:t>&lt;Article&gt;</w:t>
      </w:r>
      <w:r w:rsidRPr="00D5748F">
        <w:t>Artikel 1 – stk. 1 – nr. 2 – litra b</w:t>
      </w:r>
      <w:r w:rsidRPr="00D5748F">
        <w:rPr>
          <w:rStyle w:val="HideTWBExt"/>
          <w:b w:val="0"/>
        </w:rPr>
        <w:t>&lt;/Article&gt;</w:t>
      </w:r>
    </w:p>
    <w:p w:rsidR="00932D06" w:rsidRPr="00D5748F" w:rsidRDefault="0020623A" w:rsidP="00932D06">
      <w:pPr>
        <w:keepNext/>
      </w:pPr>
      <w:r w:rsidRPr="00D5748F">
        <w:rPr>
          <w:rStyle w:val="HideTWBExt"/>
        </w:rPr>
        <w:t>&lt;DocAmend2&gt;</w:t>
      </w:r>
      <w:r w:rsidRPr="00D5748F">
        <w:t>Direktiv 2014/59/EU</w:t>
      </w:r>
      <w:r w:rsidRPr="00D5748F">
        <w:rPr>
          <w:rStyle w:val="HideTWBExt"/>
        </w:rPr>
        <w:t>&lt;/DocAmend2&gt;</w:t>
      </w:r>
    </w:p>
    <w:p w:rsidR="00932D06" w:rsidRPr="00D5748F" w:rsidRDefault="0020623A" w:rsidP="00932D06">
      <w:r w:rsidRPr="00D5748F">
        <w:rPr>
          <w:rStyle w:val="HideTWBExt"/>
        </w:rPr>
        <w:t>&lt;Article2&gt;</w:t>
      </w:r>
      <w:r w:rsidRPr="00D5748F">
        <w:t>Artikel 45c – stk. 2a – afsnit 4</w:t>
      </w:r>
      <w:r w:rsidRPr="00D5748F">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12990" w:rsidRPr="00D5748F" w:rsidTr="00932D06">
        <w:trPr>
          <w:jc w:val="center"/>
        </w:trPr>
        <w:tc>
          <w:tcPr>
            <w:tcW w:w="9752" w:type="dxa"/>
            <w:gridSpan w:val="2"/>
          </w:tcPr>
          <w:p w:rsidR="00932D06" w:rsidRPr="00D5748F" w:rsidRDefault="00932D06">
            <w:pPr>
              <w:keepNext/>
            </w:pPr>
          </w:p>
        </w:tc>
      </w:tr>
      <w:tr w:rsidR="00112990" w:rsidRPr="00D5748F" w:rsidTr="00932D06">
        <w:trPr>
          <w:jc w:val="center"/>
        </w:trPr>
        <w:tc>
          <w:tcPr>
            <w:tcW w:w="4876" w:type="dxa"/>
            <w:hideMark/>
          </w:tcPr>
          <w:p w:rsidR="00932D06" w:rsidRPr="00D5748F" w:rsidRDefault="0020623A">
            <w:pPr>
              <w:pStyle w:val="ColumnHeading"/>
              <w:keepNext/>
            </w:pPr>
            <w:r w:rsidRPr="00D5748F">
              <w:t>Kommissionens forslag</w:t>
            </w:r>
          </w:p>
        </w:tc>
        <w:tc>
          <w:tcPr>
            <w:tcW w:w="4876" w:type="dxa"/>
            <w:hideMark/>
          </w:tcPr>
          <w:p w:rsidR="00932D06" w:rsidRPr="00D5748F" w:rsidRDefault="0020623A">
            <w:pPr>
              <w:pStyle w:val="ColumnHeading"/>
              <w:keepNext/>
            </w:pPr>
            <w:r w:rsidRPr="00D5748F">
              <w:t>Ændringsforslag</w:t>
            </w:r>
          </w:p>
        </w:tc>
      </w:tr>
      <w:tr w:rsidR="00112990" w:rsidRPr="00D5748F" w:rsidTr="00932D06">
        <w:trPr>
          <w:jc w:val="center"/>
        </w:trPr>
        <w:tc>
          <w:tcPr>
            <w:tcW w:w="4876" w:type="dxa"/>
            <w:hideMark/>
          </w:tcPr>
          <w:p w:rsidR="00932D06" w:rsidRPr="00D5748F" w:rsidRDefault="0020623A">
            <w:pPr>
              <w:pStyle w:val="Normal6"/>
            </w:pPr>
            <w:r w:rsidRPr="00D5748F">
              <w:t>Besiddelser af kapitalgrundlagsinstrumenter eller passiver uds</w:t>
            </w:r>
            <w:r w:rsidRPr="00D5748F">
              <w:t>tedt af datterselskaber, som er likvidationsenheder, for hvilke afviklingsmyndigheden ikke har fastlagt det krav, der er omhandlet i artikel 45, stk. 1, fratrækkes ikke i henhold til artikel 72e, stk. 5, i forordning (EU) nr. 575/2013.</w:t>
            </w:r>
          </w:p>
        </w:tc>
        <w:tc>
          <w:tcPr>
            <w:tcW w:w="4876" w:type="dxa"/>
            <w:hideMark/>
          </w:tcPr>
          <w:p w:rsidR="00932D06" w:rsidRPr="00D5748F" w:rsidRDefault="0020623A">
            <w:pPr>
              <w:pStyle w:val="Normal6"/>
              <w:rPr>
                <w:szCs w:val="24"/>
              </w:rPr>
            </w:pPr>
            <w:r w:rsidRPr="00D5748F">
              <w:t xml:space="preserve">Besiddelser af </w:t>
            </w:r>
            <w:r w:rsidRPr="00D5748F">
              <w:rPr>
                <w:b/>
                <w:bCs/>
                <w:i/>
                <w:iCs/>
              </w:rPr>
              <w:t>passi</w:t>
            </w:r>
            <w:r w:rsidRPr="00D5748F">
              <w:rPr>
                <w:b/>
                <w:bCs/>
                <w:i/>
                <w:iCs/>
              </w:rPr>
              <w:t>ver, der ikke kan betegnes som kapitalgrundlagsinstrumenter</w:t>
            </w:r>
            <w:r w:rsidRPr="00D5748F">
              <w:t xml:space="preserve"> udstedt af datterselskaber, som er likvidationsenheder, for hvilke afviklingsmyndigheden ikke har fastlagt det krav, der er omhandlet i artikel 45, stk. 1, fratrækkes ikke i henhold til artikel 72</w:t>
            </w:r>
            <w:r w:rsidRPr="00D5748F">
              <w:t>e, stk. 5, i forordning (EU) nr. 575/2013.</w:t>
            </w:r>
          </w:p>
        </w:tc>
      </w:tr>
    </w:tbl>
    <w:p w:rsidR="00932D06" w:rsidRPr="00D5748F" w:rsidRDefault="0020623A" w:rsidP="00932D06">
      <w:pPr>
        <w:pStyle w:val="Olang"/>
        <w:rPr>
          <w:sz w:val="24"/>
          <w:szCs w:val="24"/>
        </w:rPr>
      </w:pPr>
      <w:r w:rsidRPr="00D5748F">
        <w:rPr>
          <w:sz w:val="24"/>
          <w:szCs w:val="24"/>
        </w:rPr>
        <w:t xml:space="preserve">Or. </w:t>
      </w:r>
      <w:r w:rsidRPr="00D5748F">
        <w:rPr>
          <w:rStyle w:val="HideTWBExt"/>
        </w:rPr>
        <w:t>&lt;Original&gt;</w:t>
      </w:r>
      <w:r w:rsidRPr="00D5748F">
        <w:rPr>
          <w:rStyle w:val="HideTWBInt"/>
          <w:sz w:val="24"/>
          <w:szCs w:val="24"/>
        </w:rPr>
        <w:t>{EN}</w:t>
      </w:r>
      <w:r w:rsidRPr="00D5748F">
        <w:rPr>
          <w:sz w:val="24"/>
          <w:szCs w:val="24"/>
        </w:rPr>
        <w:t>en</w:t>
      </w:r>
      <w:r w:rsidRPr="00D5748F">
        <w:rPr>
          <w:rStyle w:val="HideTWBExt"/>
        </w:rPr>
        <w:t>&lt;/Original&gt;</w:t>
      </w:r>
    </w:p>
    <w:p w:rsidR="00932D06" w:rsidRPr="00D5748F" w:rsidRDefault="0020623A" w:rsidP="00932D06">
      <w:pPr>
        <w:rPr>
          <w:szCs w:val="24"/>
        </w:rPr>
      </w:pPr>
      <w:r w:rsidRPr="00D5748F">
        <w:rPr>
          <w:rStyle w:val="HideTWBExt"/>
        </w:rPr>
        <w:t>&lt;/Amend&gt;</w:t>
      </w:r>
    </w:p>
    <w:p w:rsidR="00932D06" w:rsidRPr="00D5748F" w:rsidRDefault="0020623A" w:rsidP="00932D06">
      <w:pPr>
        <w:pStyle w:val="AMNumberTabs0"/>
        <w:keepNext/>
      </w:pPr>
      <w:r w:rsidRPr="00D5748F">
        <w:rPr>
          <w:rStyle w:val="HideTWBExt"/>
          <w:b w:val="0"/>
        </w:rPr>
        <w:t>&lt;Amend&gt;</w:t>
      </w:r>
      <w:r w:rsidRPr="00D5748F">
        <w:t>Ændringsforslag</w:t>
      </w:r>
      <w:r w:rsidRPr="00D5748F">
        <w:tab/>
      </w:r>
      <w:r w:rsidRPr="00D5748F">
        <w:tab/>
      </w:r>
      <w:r w:rsidRPr="00D5748F">
        <w:rPr>
          <w:rStyle w:val="HideTWBExt"/>
          <w:b w:val="0"/>
        </w:rPr>
        <w:t>&lt;NumAm&gt;</w:t>
      </w:r>
      <w:r w:rsidRPr="00D5748F">
        <w:t>13</w:t>
      </w:r>
      <w:r w:rsidRPr="00D5748F">
        <w:rPr>
          <w:rStyle w:val="HideTWBExt"/>
          <w:b w:val="0"/>
        </w:rPr>
        <w:t>&lt;/NumAm&gt;</w:t>
      </w:r>
    </w:p>
    <w:p w:rsidR="00932D06" w:rsidRPr="00D5748F" w:rsidRDefault="0020623A" w:rsidP="00932D06">
      <w:pPr>
        <w:pStyle w:val="NormalBold12b"/>
        <w:keepNext/>
      </w:pPr>
      <w:r w:rsidRPr="00D5748F">
        <w:rPr>
          <w:rStyle w:val="HideTWBExt"/>
          <w:b w:val="0"/>
        </w:rPr>
        <w:t>&lt;DocAmend&gt;</w:t>
      </w:r>
      <w:r w:rsidRPr="00D5748F">
        <w:t>Forslag til direktiv</w:t>
      </w:r>
      <w:r w:rsidRPr="00D5748F">
        <w:rPr>
          <w:rStyle w:val="HideTWBExt"/>
          <w:b w:val="0"/>
        </w:rPr>
        <w:t>&lt;/DocAmend&gt;</w:t>
      </w:r>
    </w:p>
    <w:p w:rsidR="00932D06" w:rsidRPr="00D5748F" w:rsidRDefault="0020623A" w:rsidP="00932D06">
      <w:pPr>
        <w:pStyle w:val="NormalBold"/>
      </w:pPr>
      <w:r w:rsidRPr="00D5748F">
        <w:rPr>
          <w:rStyle w:val="HideTWBExt"/>
          <w:b w:val="0"/>
        </w:rPr>
        <w:t>&lt;Article&gt;</w:t>
      </w:r>
      <w:r w:rsidRPr="00D5748F">
        <w:t>Artikel 1 – stk. 1 – nr. 3 – litra a</w:t>
      </w:r>
      <w:r w:rsidRPr="00D5748F">
        <w:rPr>
          <w:rStyle w:val="HideTWBExt"/>
          <w:b w:val="0"/>
        </w:rPr>
        <w:t>&lt;/Article&gt;</w:t>
      </w:r>
    </w:p>
    <w:p w:rsidR="00932D06" w:rsidRPr="00D5748F" w:rsidRDefault="0020623A" w:rsidP="00932D06">
      <w:pPr>
        <w:keepNext/>
      </w:pPr>
      <w:r w:rsidRPr="00D5748F">
        <w:rPr>
          <w:rStyle w:val="HideTWBExt"/>
        </w:rPr>
        <w:t>&lt;DocAmend2&gt;</w:t>
      </w:r>
      <w:r w:rsidRPr="00D5748F">
        <w:t>Direktiv 2014/59/EU</w:t>
      </w:r>
      <w:r w:rsidRPr="00D5748F">
        <w:rPr>
          <w:rStyle w:val="HideTWBExt"/>
        </w:rPr>
        <w:t>&lt;/DocAmend2&gt;</w:t>
      </w:r>
    </w:p>
    <w:p w:rsidR="00932D06" w:rsidRPr="00D5748F" w:rsidRDefault="0020623A" w:rsidP="00932D06">
      <w:r w:rsidRPr="00D5748F">
        <w:rPr>
          <w:rStyle w:val="HideTWBExt"/>
        </w:rPr>
        <w:t>&lt;Article2&gt;</w:t>
      </w:r>
      <w:r w:rsidRPr="00D5748F">
        <w:t>Artikel 45f – stk. 1 – afsnit 3a – litra a – nr. ii</w:t>
      </w:r>
      <w:r w:rsidRPr="00D5748F">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12990" w:rsidRPr="00D5748F" w:rsidTr="00932D06">
        <w:trPr>
          <w:jc w:val="center"/>
        </w:trPr>
        <w:tc>
          <w:tcPr>
            <w:tcW w:w="9752" w:type="dxa"/>
            <w:gridSpan w:val="2"/>
          </w:tcPr>
          <w:p w:rsidR="00932D06" w:rsidRPr="00D5748F" w:rsidRDefault="00932D06">
            <w:pPr>
              <w:keepNext/>
            </w:pPr>
          </w:p>
        </w:tc>
      </w:tr>
      <w:tr w:rsidR="00112990" w:rsidRPr="00D5748F" w:rsidTr="00932D06">
        <w:trPr>
          <w:jc w:val="center"/>
        </w:trPr>
        <w:tc>
          <w:tcPr>
            <w:tcW w:w="4876" w:type="dxa"/>
            <w:hideMark/>
          </w:tcPr>
          <w:p w:rsidR="00932D06" w:rsidRPr="00D5748F" w:rsidRDefault="0020623A">
            <w:pPr>
              <w:pStyle w:val="ColumnHeading"/>
              <w:keepNext/>
            </w:pPr>
            <w:r w:rsidRPr="00D5748F">
              <w:t>Kommissionens forslag</w:t>
            </w:r>
          </w:p>
        </w:tc>
        <w:tc>
          <w:tcPr>
            <w:tcW w:w="4876" w:type="dxa"/>
            <w:hideMark/>
          </w:tcPr>
          <w:p w:rsidR="00932D06" w:rsidRPr="00D5748F" w:rsidRDefault="0020623A">
            <w:pPr>
              <w:pStyle w:val="ColumnHeading"/>
              <w:keepNext/>
            </w:pPr>
            <w:r w:rsidRPr="00D5748F">
              <w:t>Ændringsforslag</w:t>
            </w:r>
          </w:p>
        </w:tc>
      </w:tr>
      <w:tr w:rsidR="00112990" w:rsidRPr="00D5748F" w:rsidTr="00932D06">
        <w:trPr>
          <w:jc w:val="center"/>
        </w:trPr>
        <w:tc>
          <w:tcPr>
            <w:tcW w:w="4876" w:type="dxa"/>
            <w:hideMark/>
          </w:tcPr>
          <w:p w:rsidR="00932D06" w:rsidRPr="00D5748F" w:rsidRDefault="0020623A">
            <w:pPr>
              <w:pStyle w:val="Normal6"/>
            </w:pPr>
            <w:r w:rsidRPr="00D5748F">
              <w:t>ii)</w:t>
            </w:r>
            <w:r w:rsidRPr="00D5748F">
              <w:tab/>
              <w:t xml:space="preserve">datterselskabet er omfattet af kravet i artikel 104a i direktiv 2013/36/EU eller det kombinerede bufferkrav på konsolideret </w:t>
            </w:r>
            <w:r w:rsidRPr="00D5748F">
              <w:t>grundlag</w:t>
            </w:r>
          </w:p>
        </w:tc>
        <w:tc>
          <w:tcPr>
            <w:tcW w:w="4876" w:type="dxa"/>
            <w:hideMark/>
          </w:tcPr>
          <w:p w:rsidR="00932D06" w:rsidRPr="00D5748F" w:rsidRDefault="0020623A">
            <w:pPr>
              <w:pStyle w:val="Normal6"/>
              <w:rPr>
                <w:szCs w:val="24"/>
              </w:rPr>
            </w:pPr>
            <w:r w:rsidRPr="00D5748F">
              <w:t>ii)</w:t>
            </w:r>
            <w:r w:rsidRPr="00D5748F">
              <w:tab/>
              <w:t xml:space="preserve">datterselskabet er omfattet af kravet i artikel 104a i direktiv 2013/36/EU på konsolideret grundlag </w:t>
            </w:r>
            <w:r w:rsidRPr="00D5748F">
              <w:rPr>
                <w:b/>
                <w:bCs/>
                <w:i/>
                <w:iCs/>
              </w:rPr>
              <w:t>alene</w:t>
            </w:r>
          </w:p>
        </w:tc>
      </w:tr>
    </w:tbl>
    <w:p w:rsidR="00932D06" w:rsidRPr="00D5748F" w:rsidRDefault="0020623A" w:rsidP="00932D06">
      <w:pPr>
        <w:pStyle w:val="Olang"/>
        <w:rPr>
          <w:sz w:val="24"/>
          <w:szCs w:val="24"/>
        </w:rPr>
      </w:pPr>
      <w:r w:rsidRPr="00D5748F">
        <w:rPr>
          <w:sz w:val="24"/>
          <w:szCs w:val="24"/>
        </w:rPr>
        <w:t xml:space="preserve">Or. </w:t>
      </w:r>
      <w:r w:rsidRPr="00D5748F">
        <w:rPr>
          <w:rStyle w:val="HideTWBExt"/>
        </w:rPr>
        <w:t>&lt;Original&gt;</w:t>
      </w:r>
      <w:r w:rsidRPr="00D5748F">
        <w:rPr>
          <w:rStyle w:val="HideTWBInt"/>
          <w:sz w:val="24"/>
          <w:szCs w:val="24"/>
        </w:rPr>
        <w:t>{EN}</w:t>
      </w:r>
      <w:r w:rsidRPr="00D5748F">
        <w:rPr>
          <w:sz w:val="24"/>
          <w:szCs w:val="24"/>
        </w:rPr>
        <w:t>en</w:t>
      </w:r>
      <w:r w:rsidRPr="00D5748F">
        <w:rPr>
          <w:rStyle w:val="HideTWBExt"/>
        </w:rPr>
        <w:t>&lt;/Original&gt;</w:t>
      </w:r>
    </w:p>
    <w:p w:rsidR="00932D06" w:rsidRPr="00D5748F" w:rsidRDefault="0020623A" w:rsidP="00932D06">
      <w:pPr>
        <w:rPr>
          <w:szCs w:val="24"/>
        </w:rPr>
      </w:pPr>
      <w:r w:rsidRPr="00D5748F">
        <w:rPr>
          <w:rStyle w:val="HideTWBExt"/>
        </w:rPr>
        <w:t>&lt;/Amend&gt;</w:t>
      </w:r>
    </w:p>
    <w:p w:rsidR="00932D06" w:rsidRPr="00D5748F" w:rsidRDefault="0020623A" w:rsidP="00932D06">
      <w:pPr>
        <w:pStyle w:val="AMNumberTabs0"/>
        <w:keepNext/>
      </w:pPr>
      <w:r w:rsidRPr="00D5748F">
        <w:rPr>
          <w:rStyle w:val="HideTWBExt"/>
          <w:b w:val="0"/>
        </w:rPr>
        <w:t>&lt;Amend&gt;</w:t>
      </w:r>
      <w:r w:rsidRPr="00D5748F">
        <w:t>Ændringsforslag</w:t>
      </w:r>
      <w:r w:rsidRPr="00D5748F">
        <w:tab/>
      </w:r>
      <w:r w:rsidRPr="00D5748F">
        <w:tab/>
      </w:r>
      <w:r w:rsidRPr="00D5748F">
        <w:rPr>
          <w:rStyle w:val="HideTWBExt"/>
          <w:b w:val="0"/>
        </w:rPr>
        <w:t>&lt;NumAm&gt;</w:t>
      </w:r>
      <w:r w:rsidRPr="00D5748F">
        <w:t>14</w:t>
      </w:r>
      <w:r w:rsidRPr="00D5748F">
        <w:rPr>
          <w:rStyle w:val="HideTWBExt"/>
          <w:b w:val="0"/>
        </w:rPr>
        <w:t>&lt;/NumAm&gt;</w:t>
      </w:r>
    </w:p>
    <w:p w:rsidR="00932D06" w:rsidRPr="00D5748F" w:rsidRDefault="0020623A" w:rsidP="00932D06">
      <w:pPr>
        <w:pStyle w:val="NormalBold12b"/>
        <w:keepNext/>
      </w:pPr>
      <w:r w:rsidRPr="00D5748F">
        <w:rPr>
          <w:rStyle w:val="HideTWBExt"/>
          <w:b w:val="0"/>
        </w:rPr>
        <w:t>&lt;DocAmend&gt;</w:t>
      </w:r>
      <w:r w:rsidRPr="00D5748F">
        <w:t>Forslag til direktiv</w:t>
      </w:r>
      <w:r w:rsidRPr="00D5748F">
        <w:rPr>
          <w:rStyle w:val="HideTWBExt"/>
          <w:b w:val="0"/>
        </w:rPr>
        <w:t>&lt;/DocAmend&gt;</w:t>
      </w:r>
    </w:p>
    <w:p w:rsidR="00932D06" w:rsidRPr="00D5748F" w:rsidRDefault="0020623A" w:rsidP="00932D06">
      <w:pPr>
        <w:pStyle w:val="NormalBold"/>
      </w:pPr>
      <w:r w:rsidRPr="00D5748F">
        <w:rPr>
          <w:rStyle w:val="HideTWBExt"/>
          <w:b w:val="0"/>
        </w:rPr>
        <w:t>&lt;Article&gt;</w:t>
      </w:r>
      <w:r w:rsidRPr="00D5748F">
        <w:t>Artikel 1 – stk. 1 – nr. 3 – litra a</w:t>
      </w:r>
      <w:r w:rsidRPr="00D5748F">
        <w:rPr>
          <w:rStyle w:val="HideTWBExt"/>
          <w:b w:val="0"/>
        </w:rPr>
        <w:t>&lt;/Article&gt;</w:t>
      </w:r>
    </w:p>
    <w:p w:rsidR="00932D06" w:rsidRPr="00D5748F" w:rsidRDefault="0020623A" w:rsidP="00932D06">
      <w:pPr>
        <w:keepNext/>
      </w:pPr>
      <w:r w:rsidRPr="00D5748F">
        <w:rPr>
          <w:rStyle w:val="HideTWBExt"/>
        </w:rPr>
        <w:t>&lt;DocAmend2&gt;</w:t>
      </w:r>
      <w:r w:rsidRPr="00D5748F">
        <w:t>Direktiv 2014/59/EU</w:t>
      </w:r>
      <w:r w:rsidRPr="00D5748F">
        <w:rPr>
          <w:rStyle w:val="HideTWBExt"/>
        </w:rPr>
        <w:t>&lt;/DocAmend2&gt;</w:t>
      </w:r>
    </w:p>
    <w:p w:rsidR="00932D06" w:rsidRPr="00D5748F" w:rsidRDefault="0020623A" w:rsidP="00932D06">
      <w:r w:rsidRPr="00D5748F">
        <w:rPr>
          <w:rStyle w:val="HideTWBExt"/>
        </w:rPr>
        <w:t>&lt;Article2&gt;</w:t>
      </w:r>
      <w:r w:rsidRPr="00D5748F">
        <w:t>Artikel 45f – stk. 1 – afsnit 3a – litra b</w:t>
      </w:r>
      <w:r w:rsidRPr="00D5748F">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12990" w:rsidRPr="00D5748F" w:rsidTr="00932D06">
        <w:trPr>
          <w:jc w:val="center"/>
        </w:trPr>
        <w:tc>
          <w:tcPr>
            <w:tcW w:w="9752" w:type="dxa"/>
            <w:gridSpan w:val="2"/>
          </w:tcPr>
          <w:p w:rsidR="00932D06" w:rsidRPr="00D5748F" w:rsidRDefault="00932D06">
            <w:pPr>
              <w:keepNext/>
            </w:pPr>
          </w:p>
        </w:tc>
      </w:tr>
      <w:tr w:rsidR="00112990" w:rsidRPr="00D5748F" w:rsidTr="00932D06">
        <w:trPr>
          <w:jc w:val="center"/>
        </w:trPr>
        <w:tc>
          <w:tcPr>
            <w:tcW w:w="4876" w:type="dxa"/>
            <w:hideMark/>
          </w:tcPr>
          <w:p w:rsidR="00932D06" w:rsidRPr="00D5748F" w:rsidRDefault="0020623A">
            <w:pPr>
              <w:pStyle w:val="ColumnHeading"/>
              <w:keepNext/>
            </w:pPr>
            <w:r w:rsidRPr="00D5748F">
              <w:t>Kommissionens forslag</w:t>
            </w:r>
          </w:p>
        </w:tc>
        <w:tc>
          <w:tcPr>
            <w:tcW w:w="4876" w:type="dxa"/>
            <w:hideMark/>
          </w:tcPr>
          <w:p w:rsidR="00932D06" w:rsidRPr="00D5748F" w:rsidRDefault="0020623A">
            <w:pPr>
              <w:pStyle w:val="ColumnHeading"/>
              <w:keepNext/>
            </w:pPr>
            <w:r w:rsidRPr="00D5748F">
              <w:t>Ændringsforslag</w:t>
            </w:r>
          </w:p>
        </w:tc>
      </w:tr>
      <w:tr w:rsidR="00112990" w:rsidRPr="00D5748F" w:rsidTr="00932D06">
        <w:trPr>
          <w:jc w:val="center"/>
        </w:trPr>
        <w:tc>
          <w:tcPr>
            <w:tcW w:w="4876" w:type="dxa"/>
            <w:hideMark/>
          </w:tcPr>
          <w:p w:rsidR="00932D06" w:rsidRPr="00D5748F" w:rsidRDefault="0020623A">
            <w:pPr>
              <w:pStyle w:val="Normal6"/>
            </w:pPr>
            <w:r w:rsidRPr="00D5748F">
              <w:t>b)</w:t>
            </w:r>
            <w:r w:rsidRPr="00D5748F">
              <w:tab/>
              <w:t xml:space="preserve">opfyldelse af kravet i artikel 45c på konsolideret </w:t>
            </w:r>
            <w:r w:rsidRPr="00D5748F">
              <w:t>grundlag har ikke nogen væsentlig negativ indvirkning på afviklingskoncernens afviklingsmuligheder eller nedskrivningen eller konverteringen i overensstemmelse med artikel 59 af relevante kapitalinstrumenter og nedskrivningsrelevante passiver i det pågælde</w:t>
            </w:r>
            <w:r w:rsidRPr="00D5748F">
              <w:t>nde datterselskab eller andre enheder i afviklingskoncernen.</w:t>
            </w:r>
          </w:p>
        </w:tc>
        <w:tc>
          <w:tcPr>
            <w:tcW w:w="4876" w:type="dxa"/>
            <w:hideMark/>
          </w:tcPr>
          <w:p w:rsidR="00932D06" w:rsidRPr="00D5748F" w:rsidRDefault="0020623A">
            <w:pPr>
              <w:pStyle w:val="Normal6"/>
              <w:rPr>
                <w:szCs w:val="24"/>
              </w:rPr>
            </w:pPr>
            <w:r w:rsidRPr="00D5748F">
              <w:t>b)</w:t>
            </w:r>
            <w:r w:rsidRPr="00D5748F">
              <w:tab/>
              <w:t>opfyldelse af kravet i artikel 45c på konsolideret grundlag har ikke nogen negativ indvirkning på afviklingskoncernens afviklingsmuligheder eller nedskrivningen eller konverteringen i overenss</w:t>
            </w:r>
            <w:r w:rsidRPr="00D5748F">
              <w:t>temmelse med artikel 59 af relevante kapitalinstrumenter og nedskrivningsrelevante passiver i det pågældende datterselskab eller andre enheder i afviklingskoncernen.</w:t>
            </w:r>
          </w:p>
        </w:tc>
      </w:tr>
    </w:tbl>
    <w:p w:rsidR="00932D06" w:rsidRPr="00D5748F" w:rsidRDefault="0020623A" w:rsidP="00932D06">
      <w:pPr>
        <w:pStyle w:val="Olang"/>
        <w:rPr>
          <w:sz w:val="24"/>
          <w:szCs w:val="24"/>
        </w:rPr>
      </w:pPr>
      <w:r w:rsidRPr="00D5748F">
        <w:rPr>
          <w:sz w:val="24"/>
          <w:szCs w:val="24"/>
        </w:rPr>
        <w:t xml:space="preserve">Or. </w:t>
      </w:r>
      <w:r w:rsidRPr="00D5748F">
        <w:rPr>
          <w:rStyle w:val="HideTWBExt"/>
        </w:rPr>
        <w:t>&lt;Original&gt;</w:t>
      </w:r>
      <w:r w:rsidRPr="00D5748F">
        <w:rPr>
          <w:rStyle w:val="HideTWBInt"/>
          <w:sz w:val="24"/>
          <w:szCs w:val="24"/>
        </w:rPr>
        <w:t>{EN}</w:t>
      </w:r>
      <w:r w:rsidRPr="00D5748F">
        <w:rPr>
          <w:sz w:val="24"/>
          <w:szCs w:val="24"/>
        </w:rPr>
        <w:t>en</w:t>
      </w:r>
      <w:r w:rsidRPr="00D5748F">
        <w:rPr>
          <w:rStyle w:val="HideTWBExt"/>
        </w:rPr>
        <w:t>&lt;/Original&gt;</w:t>
      </w:r>
    </w:p>
    <w:p w:rsidR="00932D06" w:rsidRPr="00D5748F" w:rsidRDefault="0020623A" w:rsidP="00932D06">
      <w:pPr>
        <w:rPr>
          <w:szCs w:val="24"/>
        </w:rPr>
      </w:pPr>
      <w:r w:rsidRPr="00D5748F">
        <w:rPr>
          <w:rStyle w:val="HideTWBExt"/>
        </w:rPr>
        <w:t>&lt;/Amend&gt;</w:t>
      </w:r>
    </w:p>
    <w:p w:rsidR="00932D06" w:rsidRPr="00D5748F" w:rsidRDefault="0020623A" w:rsidP="00932D06">
      <w:pPr>
        <w:pStyle w:val="AMNumberTabs0"/>
        <w:keepNext/>
      </w:pPr>
      <w:r w:rsidRPr="00D5748F">
        <w:rPr>
          <w:rStyle w:val="HideTWBExt"/>
          <w:b w:val="0"/>
        </w:rPr>
        <w:t>&lt;Amend&gt;</w:t>
      </w:r>
      <w:r w:rsidRPr="00D5748F">
        <w:t>Ændringsforslag</w:t>
      </w:r>
      <w:r w:rsidRPr="00D5748F">
        <w:tab/>
      </w:r>
      <w:r w:rsidRPr="00D5748F">
        <w:tab/>
      </w:r>
      <w:r w:rsidRPr="00D5748F">
        <w:rPr>
          <w:rStyle w:val="HideTWBExt"/>
          <w:b w:val="0"/>
        </w:rPr>
        <w:t>&lt;NumAm&gt;</w:t>
      </w:r>
      <w:r w:rsidRPr="00D5748F">
        <w:t>15</w:t>
      </w:r>
      <w:r w:rsidRPr="00D5748F">
        <w:rPr>
          <w:rStyle w:val="HideTWBExt"/>
          <w:b w:val="0"/>
        </w:rPr>
        <w:t>&lt;/NumAm&gt;</w:t>
      </w:r>
    </w:p>
    <w:p w:rsidR="00932D06" w:rsidRPr="00D5748F" w:rsidRDefault="0020623A" w:rsidP="00932D06">
      <w:pPr>
        <w:pStyle w:val="NormalBold12b"/>
        <w:keepNext/>
      </w:pPr>
      <w:r w:rsidRPr="00D5748F">
        <w:rPr>
          <w:rStyle w:val="HideTWBExt"/>
          <w:b w:val="0"/>
        </w:rPr>
        <w:t>&lt;DocAm</w:t>
      </w:r>
      <w:r w:rsidRPr="00D5748F">
        <w:rPr>
          <w:rStyle w:val="HideTWBExt"/>
          <w:b w:val="0"/>
        </w:rPr>
        <w:t>end&gt;</w:t>
      </w:r>
      <w:r w:rsidRPr="00D5748F">
        <w:t>Forslag til direktiv</w:t>
      </w:r>
      <w:r w:rsidRPr="00D5748F">
        <w:rPr>
          <w:rStyle w:val="HideTWBExt"/>
          <w:b w:val="0"/>
        </w:rPr>
        <w:t>&lt;/DocAmend&gt;</w:t>
      </w:r>
    </w:p>
    <w:p w:rsidR="00932D06" w:rsidRPr="00D5748F" w:rsidRDefault="0020623A" w:rsidP="00932D06">
      <w:pPr>
        <w:pStyle w:val="NormalBold"/>
      </w:pPr>
      <w:r w:rsidRPr="00D5748F">
        <w:rPr>
          <w:rStyle w:val="HideTWBExt"/>
          <w:b w:val="0"/>
        </w:rPr>
        <w:t>&lt;Article&gt;</w:t>
      </w:r>
      <w:r w:rsidRPr="00D5748F">
        <w:t>Artikel 2 – stk. 1 – nr. 2 – litra b</w:t>
      </w:r>
      <w:r w:rsidRPr="00D5748F">
        <w:rPr>
          <w:rStyle w:val="HideTWBExt"/>
          <w:b w:val="0"/>
        </w:rPr>
        <w:t>&lt;/Article&gt;</w:t>
      </w:r>
    </w:p>
    <w:p w:rsidR="00932D06" w:rsidRPr="00D5748F" w:rsidRDefault="0020623A" w:rsidP="00932D06">
      <w:pPr>
        <w:keepNext/>
      </w:pPr>
      <w:r w:rsidRPr="00D5748F">
        <w:rPr>
          <w:rStyle w:val="HideTWBExt"/>
        </w:rPr>
        <w:t>&lt;DocAmend2&gt;</w:t>
      </w:r>
      <w:r w:rsidRPr="00D5748F">
        <w:t>Forordning (EU) nr. 806/2014</w:t>
      </w:r>
      <w:r w:rsidRPr="00D5748F">
        <w:rPr>
          <w:rStyle w:val="HideTWBExt"/>
        </w:rPr>
        <w:t>&lt;/DocAmend2&gt;</w:t>
      </w:r>
    </w:p>
    <w:p w:rsidR="00932D06" w:rsidRPr="00D5748F" w:rsidRDefault="0020623A" w:rsidP="00932D06">
      <w:r w:rsidRPr="00D5748F">
        <w:rPr>
          <w:rStyle w:val="HideTWBExt"/>
        </w:rPr>
        <w:t>&lt;Article2&gt;</w:t>
      </w:r>
      <w:r w:rsidRPr="00D5748F">
        <w:t>Artikel 12d – stk. 2a – afsnit 2</w:t>
      </w:r>
      <w:r w:rsidRPr="00D5748F">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12990" w:rsidRPr="00D5748F" w:rsidTr="00932D06">
        <w:trPr>
          <w:jc w:val="center"/>
        </w:trPr>
        <w:tc>
          <w:tcPr>
            <w:tcW w:w="9752" w:type="dxa"/>
            <w:gridSpan w:val="2"/>
          </w:tcPr>
          <w:p w:rsidR="00932D06" w:rsidRPr="00D5748F" w:rsidRDefault="00932D06">
            <w:pPr>
              <w:keepNext/>
            </w:pPr>
          </w:p>
        </w:tc>
      </w:tr>
      <w:tr w:rsidR="00112990" w:rsidRPr="00D5748F" w:rsidTr="00932D06">
        <w:trPr>
          <w:jc w:val="center"/>
        </w:trPr>
        <w:tc>
          <w:tcPr>
            <w:tcW w:w="4876" w:type="dxa"/>
            <w:hideMark/>
          </w:tcPr>
          <w:p w:rsidR="00932D06" w:rsidRPr="00D5748F" w:rsidRDefault="0020623A">
            <w:pPr>
              <w:pStyle w:val="ColumnHeading"/>
              <w:keepNext/>
            </w:pPr>
            <w:r w:rsidRPr="00D5748F">
              <w:t>Kommissionens forslag</w:t>
            </w:r>
          </w:p>
        </w:tc>
        <w:tc>
          <w:tcPr>
            <w:tcW w:w="4876" w:type="dxa"/>
            <w:hideMark/>
          </w:tcPr>
          <w:p w:rsidR="00932D06" w:rsidRPr="00D5748F" w:rsidRDefault="0020623A">
            <w:pPr>
              <w:pStyle w:val="ColumnHeading"/>
              <w:keepNext/>
            </w:pPr>
            <w:r w:rsidRPr="00D5748F">
              <w:t>Ændringsforslag</w:t>
            </w:r>
          </w:p>
        </w:tc>
      </w:tr>
      <w:tr w:rsidR="00112990" w:rsidRPr="00D5748F" w:rsidTr="00932D06">
        <w:trPr>
          <w:jc w:val="center"/>
        </w:trPr>
        <w:tc>
          <w:tcPr>
            <w:tcW w:w="4876" w:type="dxa"/>
            <w:hideMark/>
          </w:tcPr>
          <w:p w:rsidR="00932D06" w:rsidRPr="00D5748F" w:rsidRDefault="0020623A">
            <w:pPr>
              <w:pStyle w:val="Normal6"/>
            </w:pPr>
            <w:r w:rsidRPr="00D5748F">
              <w:t xml:space="preserve">Uanset første </w:t>
            </w:r>
            <w:r w:rsidRPr="00D5748F">
              <w:t>afsnit, og hvis det er nødvendigt for at beskytte den finansielle stabilitet eller begrænse den potentielle afsmitning på det finansielle system, kan Afviklingsinstansen undtagelsesvis fastsætte det i artikel 12a, stk. 1, omhandlede krav til likvidationsen</w:t>
            </w:r>
            <w:r w:rsidRPr="00D5748F">
              <w:t xml:space="preserve">heder på individuelt grundlag i form af et beløb, der er tilstrækkeligt til at absorbere tab i </w:t>
            </w:r>
            <w:r w:rsidRPr="00D5748F">
              <w:lastRenderedPageBreak/>
              <w:t>overensstemmelse med nærværende artikels stk. 2, litra a), forhøjet til det beløb, der er nødvendigt for at nå disse mål. I disse tilfælde skal likvidationsenhed</w:t>
            </w:r>
            <w:r w:rsidRPr="00D5748F">
              <w:t>er opfylde kravet i artikel 12a, stk. 1, ved at anvende en eller flere af følgende:</w:t>
            </w:r>
          </w:p>
        </w:tc>
        <w:tc>
          <w:tcPr>
            <w:tcW w:w="4876" w:type="dxa"/>
            <w:hideMark/>
          </w:tcPr>
          <w:p w:rsidR="00932D06" w:rsidRPr="00D5748F" w:rsidRDefault="0020623A">
            <w:pPr>
              <w:pStyle w:val="Normal6"/>
              <w:rPr>
                <w:szCs w:val="24"/>
              </w:rPr>
            </w:pPr>
            <w:r w:rsidRPr="00D5748F">
              <w:lastRenderedPageBreak/>
              <w:t xml:space="preserve">Uanset første afsnit </w:t>
            </w:r>
            <w:r w:rsidRPr="00D5748F">
              <w:rPr>
                <w:b/>
                <w:bCs/>
                <w:i/>
                <w:iCs/>
              </w:rPr>
              <w:t>vurderer</w:t>
            </w:r>
            <w:r w:rsidRPr="00D5748F">
              <w:t xml:space="preserve"> Afviklingsinstansen,</w:t>
            </w:r>
            <w:r w:rsidRPr="00D5748F">
              <w:rPr>
                <w:b/>
                <w:bCs/>
                <w:i/>
                <w:iCs/>
              </w:rPr>
              <w:t xml:space="preserve"> om det er berettiget at</w:t>
            </w:r>
            <w:r w:rsidRPr="00D5748F">
              <w:t xml:space="preserve"> fastsætte det i artikel 12a, stk. 1, omhandlede krav til likvidationsenheder på individuelt grund</w:t>
            </w:r>
            <w:r w:rsidRPr="00D5748F">
              <w:t xml:space="preserve">lag med </w:t>
            </w:r>
            <w:r w:rsidRPr="00D5748F">
              <w:rPr>
                <w:b/>
                <w:bCs/>
                <w:i/>
                <w:iCs/>
              </w:rPr>
              <w:t>et beløb, der overstiger</w:t>
            </w:r>
            <w:r w:rsidRPr="00D5748F">
              <w:t xml:space="preserve"> det beløb, der er tilstrækkeligt til at absorbere tab i overensstemmelse med nærværende artikels stk. 2, litra a)</w:t>
            </w:r>
            <w:r w:rsidRPr="00D5748F">
              <w:rPr>
                <w:b/>
                <w:bCs/>
                <w:i/>
                <w:iCs/>
              </w:rPr>
              <w:t>.</w:t>
            </w:r>
            <w:r w:rsidRPr="00D5748F">
              <w:rPr>
                <w:b/>
                <w:i/>
              </w:rPr>
              <w:t xml:space="preserve"> </w:t>
            </w:r>
            <w:r w:rsidRPr="00D5748F">
              <w:rPr>
                <w:b/>
                <w:bCs/>
                <w:i/>
                <w:iCs/>
              </w:rPr>
              <w:t xml:space="preserve">Afviklingsinstansens vurdering skal tage </w:t>
            </w:r>
            <w:r w:rsidRPr="00D5748F">
              <w:rPr>
                <w:b/>
                <w:bCs/>
                <w:i/>
                <w:iCs/>
              </w:rPr>
              <w:lastRenderedPageBreak/>
              <w:t>hensyn til de mulige konsekvenser af den pågældende likvidationsenh</w:t>
            </w:r>
            <w:r w:rsidRPr="00D5748F">
              <w:rPr>
                <w:b/>
                <w:bCs/>
                <w:i/>
                <w:iCs/>
              </w:rPr>
              <w:t>eds sammenbrud og skal navnlig tage hensyn til eventuelle konsekvenser for den finansielle stabilitet og risikoen for afsmitning på det finansielle system.</w:t>
            </w:r>
            <w:r w:rsidRPr="00D5748F">
              <w:t xml:space="preserve"> I disse tilfælde skal likvidationsenheder opfylde kravet i artikel 12a, stk. 1, ved at anvende en el</w:t>
            </w:r>
            <w:r w:rsidRPr="00D5748F">
              <w:t>ler flere af følgende:</w:t>
            </w:r>
          </w:p>
        </w:tc>
      </w:tr>
    </w:tbl>
    <w:p w:rsidR="00932D06" w:rsidRPr="00D5748F" w:rsidRDefault="0020623A" w:rsidP="00932D06">
      <w:pPr>
        <w:pStyle w:val="Olang"/>
        <w:rPr>
          <w:sz w:val="24"/>
          <w:szCs w:val="24"/>
        </w:rPr>
      </w:pPr>
      <w:r w:rsidRPr="00D5748F">
        <w:rPr>
          <w:sz w:val="24"/>
          <w:szCs w:val="24"/>
        </w:rPr>
        <w:lastRenderedPageBreak/>
        <w:t xml:space="preserve">Or. </w:t>
      </w:r>
      <w:r w:rsidRPr="00D5748F">
        <w:rPr>
          <w:rStyle w:val="HideTWBExt"/>
        </w:rPr>
        <w:t>&lt;Original&gt;</w:t>
      </w:r>
      <w:r w:rsidRPr="00D5748F">
        <w:rPr>
          <w:rStyle w:val="HideTWBInt"/>
          <w:sz w:val="24"/>
          <w:szCs w:val="24"/>
        </w:rPr>
        <w:t>{EN}</w:t>
      </w:r>
      <w:r w:rsidRPr="00D5748F">
        <w:rPr>
          <w:sz w:val="24"/>
          <w:szCs w:val="24"/>
        </w:rPr>
        <w:t>en</w:t>
      </w:r>
      <w:r w:rsidRPr="00D5748F">
        <w:rPr>
          <w:rStyle w:val="HideTWBExt"/>
        </w:rPr>
        <w:t>&lt;/Original&gt;</w:t>
      </w:r>
    </w:p>
    <w:p w:rsidR="00932D06" w:rsidRPr="00D5748F" w:rsidRDefault="0020623A" w:rsidP="00932D06">
      <w:pPr>
        <w:rPr>
          <w:szCs w:val="24"/>
        </w:rPr>
      </w:pPr>
      <w:r w:rsidRPr="00D5748F">
        <w:rPr>
          <w:rStyle w:val="HideTWBExt"/>
        </w:rPr>
        <w:t>&lt;/Amend&gt;</w:t>
      </w:r>
    </w:p>
    <w:p w:rsidR="00932D06" w:rsidRPr="00D5748F" w:rsidRDefault="0020623A" w:rsidP="00932D06">
      <w:pPr>
        <w:pStyle w:val="AMNumberTabs0"/>
        <w:keepNext/>
      </w:pPr>
      <w:r w:rsidRPr="00D5748F">
        <w:rPr>
          <w:rStyle w:val="HideTWBExt"/>
          <w:b w:val="0"/>
        </w:rPr>
        <w:t>&lt;Amend&gt;</w:t>
      </w:r>
      <w:r w:rsidRPr="00D5748F">
        <w:t>Ændringsforslag</w:t>
      </w:r>
      <w:r w:rsidRPr="00D5748F">
        <w:tab/>
      </w:r>
      <w:r w:rsidRPr="00D5748F">
        <w:tab/>
      </w:r>
      <w:r w:rsidRPr="00D5748F">
        <w:rPr>
          <w:rStyle w:val="HideTWBExt"/>
          <w:b w:val="0"/>
        </w:rPr>
        <w:t>&lt;NumAm&gt;</w:t>
      </w:r>
      <w:r w:rsidRPr="00D5748F">
        <w:t>16</w:t>
      </w:r>
      <w:r w:rsidRPr="00D5748F">
        <w:rPr>
          <w:rStyle w:val="HideTWBExt"/>
          <w:b w:val="0"/>
        </w:rPr>
        <w:t>&lt;/NumAm&gt;</w:t>
      </w:r>
    </w:p>
    <w:p w:rsidR="00932D06" w:rsidRPr="00D5748F" w:rsidRDefault="0020623A" w:rsidP="00932D06">
      <w:pPr>
        <w:pStyle w:val="NormalBold12b"/>
        <w:keepNext/>
      </w:pPr>
      <w:r w:rsidRPr="00D5748F">
        <w:rPr>
          <w:rStyle w:val="HideTWBExt"/>
          <w:b w:val="0"/>
        </w:rPr>
        <w:t>&lt;DocAmend&gt;</w:t>
      </w:r>
      <w:r w:rsidRPr="00D5748F">
        <w:t>Forslag til direktiv</w:t>
      </w:r>
      <w:r w:rsidRPr="00D5748F">
        <w:rPr>
          <w:rStyle w:val="HideTWBExt"/>
          <w:b w:val="0"/>
        </w:rPr>
        <w:t>&lt;/DocAmend&gt;</w:t>
      </w:r>
    </w:p>
    <w:p w:rsidR="00932D06" w:rsidRPr="00D5748F" w:rsidRDefault="0020623A" w:rsidP="00932D06">
      <w:pPr>
        <w:pStyle w:val="NormalBold"/>
      </w:pPr>
      <w:r w:rsidRPr="00D5748F">
        <w:rPr>
          <w:rStyle w:val="HideTWBExt"/>
          <w:b w:val="0"/>
        </w:rPr>
        <w:t>&lt;Article&gt;</w:t>
      </w:r>
      <w:r w:rsidRPr="00D5748F">
        <w:t>Artikel 2 – stk. 1 – nr. 2 – litra b</w:t>
      </w:r>
      <w:r w:rsidRPr="00D5748F">
        <w:rPr>
          <w:rStyle w:val="HideTWBExt"/>
          <w:b w:val="0"/>
        </w:rPr>
        <w:t>&lt;/Article&gt;</w:t>
      </w:r>
    </w:p>
    <w:p w:rsidR="00932D06" w:rsidRPr="00D5748F" w:rsidRDefault="0020623A" w:rsidP="00932D06">
      <w:pPr>
        <w:keepNext/>
      </w:pPr>
      <w:r w:rsidRPr="00D5748F">
        <w:rPr>
          <w:rStyle w:val="HideTWBExt"/>
        </w:rPr>
        <w:t>&lt;DocAmend2&gt;</w:t>
      </w:r>
      <w:r w:rsidRPr="00D5748F">
        <w:t>Forordning (EU) nr. 806/2014</w:t>
      </w:r>
      <w:r w:rsidRPr="00D5748F">
        <w:rPr>
          <w:rStyle w:val="HideTWBExt"/>
        </w:rPr>
        <w:t>&lt;/DocAmend2&gt;</w:t>
      </w:r>
    </w:p>
    <w:p w:rsidR="00932D06" w:rsidRPr="00D5748F" w:rsidRDefault="0020623A" w:rsidP="00932D06">
      <w:r w:rsidRPr="00D5748F">
        <w:rPr>
          <w:rStyle w:val="HideTWBExt"/>
        </w:rPr>
        <w:t>&lt;Article2&gt;</w:t>
      </w:r>
      <w:r w:rsidRPr="00D5748F">
        <w:t>Artikel 12d – stk. 2a – afsnit 4</w:t>
      </w:r>
      <w:r w:rsidRPr="00D5748F">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12990" w:rsidRPr="00D5748F" w:rsidTr="00932D06">
        <w:trPr>
          <w:jc w:val="center"/>
        </w:trPr>
        <w:tc>
          <w:tcPr>
            <w:tcW w:w="9752" w:type="dxa"/>
            <w:gridSpan w:val="2"/>
          </w:tcPr>
          <w:p w:rsidR="00932D06" w:rsidRPr="00D5748F" w:rsidRDefault="00932D06">
            <w:pPr>
              <w:keepNext/>
            </w:pPr>
          </w:p>
        </w:tc>
      </w:tr>
      <w:tr w:rsidR="00112990" w:rsidRPr="00D5748F" w:rsidTr="00932D06">
        <w:trPr>
          <w:jc w:val="center"/>
        </w:trPr>
        <w:tc>
          <w:tcPr>
            <w:tcW w:w="4876" w:type="dxa"/>
            <w:hideMark/>
          </w:tcPr>
          <w:p w:rsidR="00932D06" w:rsidRPr="00D5748F" w:rsidRDefault="0020623A">
            <w:pPr>
              <w:pStyle w:val="ColumnHeading"/>
              <w:keepNext/>
            </w:pPr>
            <w:r w:rsidRPr="00D5748F">
              <w:t>Kommissionens forslag</w:t>
            </w:r>
          </w:p>
        </w:tc>
        <w:tc>
          <w:tcPr>
            <w:tcW w:w="4876" w:type="dxa"/>
            <w:hideMark/>
          </w:tcPr>
          <w:p w:rsidR="00932D06" w:rsidRPr="00D5748F" w:rsidRDefault="0020623A">
            <w:pPr>
              <w:pStyle w:val="ColumnHeading"/>
              <w:keepNext/>
            </w:pPr>
            <w:r w:rsidRPr="00D5748F">
              <w:t>Ændringsforslag</w:t>
            </w:r>
          </w:p>
        </w:tc>
      </w:tr>
      <w:tr w:rsidR="00112990" w:rsidRPr="00D5748F" w:rsidTr="00932D06">
        <w:trPr>
          <w:jc w:val="center"/>
        </w:trPr>
        <w:tc>
          <w:tcPr>
            <w:tcW w:w="4876" w:type="dxa"/>
            <w:hideMark/>
          </w:tcPr>
          <w:p w:rsidR="00932D06" w:rsidRPr="00D5748F" w:rsidRDefault="0020623A">
            <w:pPr>
              <w:pStyle w:val="Normal6"/>
            </w:pPr>
            <w:r w:rsidRPr="00D5748F">
              <w:t xml:space="preserve">Besiddelser af kapitalgrundlagsinstrumenter eller passiver udstedt af datterselskaber, som er likvidationsenheder, for hvilke afviklingsmyndigheden ikke har </w:t>
            </w:r>
            <w:r w:rsidRPr="00D5748F">
              <w:t>fastlagt det krav, der er omhandlet i artikel 12a, stk. 1, fratrækkes ikke i henhold til artikel 72e, stk. 5, i forordning (EU) nr. 575/2013.</w:t>
            </w:r>
          </w:p>
        </w:tc>
        <w:tc>
          <w:tcPr>
            <w:tcW w:w="4876" w:type="dxa"/>
            <w:hideMark/>
          </w:tcPr>
          <w:p w:rsidR="00932D06" w:rsidRPr="00D5748F" w:rsidRDefault="0020623A">
            <w:pPr>
              <w:pStyle w:val="Normal6"/>
              <w:rPr>
                <w:szCs w:val="24"/>
              </w:rPr>
            </w:pPr>
            <w:r w:rsidRPr="00D5748F">
              <w:t>Besiddelser af passiver</w:t>
            </w:r>
            <w:r w:rsidRPr="00D5748F">
              <w:rPr>
                <w:b/>
                <w:bCs/>
                <w:i/>
                <w:iCs/>
              </w:rPr>
              <w:t>, der ikke kan betegnes som kapitalgrundlagsinstrumenter</w:t>
            </w:r>
            <w:r w:rsidRPr="00D5748F">
              <w:t xml:space="preserve"> udstedt af datterselskaber, som er</w:t>
            </w:r>
            <w:r w:rsidRPr="00D5748F">
              <w:t xml:space="preserve"> likvidationsenheder, for hvilke afviklingsmyndigheden ikke har fastlagt det krav, der er omhandlet i artikel 12a, stk. 1, fratrækkes ikke i henhold til artikel 72e, stk. 5, i forordning (EU) nr. 575/2013.</w:t>
            </w:r>
          </w:p>
        </w:tc>
      </w:tr>
    </w:tbl>
    <w:p w:rsidR="00932D06" w:rsidRPr="00D5748F" w:rsidRDefault="0020623A" w:rsidP="00932D06">
      <w:pPr>
        <w:pStyle w:val="Olang"/>
        <w:rPr>
          <w:sz w:val="24"/>
          <w:szCs w:val="24"/>
        </w:rPr>
      </w:pPr>
      <w:r w:rsidRPr="00D5748F">
        <w:rPr>
          <w:sz w:val="24"/>
          <w:szCs w:val="24"/>
        </w:rPr>
        <w:t xml:space="preserve">Or. </w:t>
      </w:r>
      <w:r w:rsidRPr="00D5748F">
        <w:rPr>
          <w:rStyle w:val="HideTWBExt"/>
        </w:rPr>
        <w:t>&lt;Original&gt;</w:t>
      </w:r>
      <w:r w:rsidRPr="00D5748F">
        <w:rPr>
          <w:rStyle w:val="HideTWBInt"/>
          <w:sz w:val="24"/>
          <w:szCs w:val="24"/>
        </w:rPr>
        <w:t>{EN}</w:t>
      </w:r>
      <w:r w:rsidRPr="00D5748F">
        <w:rPr>
          <w:sz w:val="24"/>
          <w:szCs w:val="24"/>
        </w:rPr>
        <w:t>en</w:t>
      </w:r>
      <w:r w:rsidRPr="00D5748F">
        <w:rPr>
          <w:rStyle w:val="HideTWBExt"/>
        </w:rPr>
        <w:t>&lt;/Original&gt;</w:t>
      </w:r>
    </w:p>
    <w:p w:rsidR="00932D06" w:rsidRPr="00D5748F" w:rsidRDefault="0020623A" w:rsidP="00932D06">
      <w:pPr>
        <w:rPr>
          <w:szCs w:val="24"/>
        </w:rPr>
      </w:pPr>
      <w:r w:rsidRPr="00D5748F">
        <w:rPr>
          <w:rStyle w:val="HideTWBExt"/>
        </w:rPr>
        <w:t>&lt;/Amend&gt;</w:t>
      </w:r>
    </w:p>
    <w:p w:rsidR="00932D06" w:rsidRPr="00D5748F" w:rsidRDefault="0020623A" w:rsidP="00932D06">
      <w:pPr>
        <w:pStyle w:val="AMNumberTabs0"/>
        <w:keepNext/>
      </w:pPr>
      <w:r w:rsidRPr="00D5748F">
        <w:rPr>
          <w:rStyle w:val="HideTWBExt"/>
          <w:b w:val="0"/>
        </w:rPr>
        <w:t>&lt;Amend&gt;</w:t>
      </w:r>
      <w:r w:rsidRPr="00D5748F">
        <w:t>Æ</w:t>
      </w:r>
      <w:r w:rsidRPr="00D5748F">
        <w:t>ndringsforslag</w:t>
      </w:r>
      <w:r w:rsidRPr="00D5748F">
        <w:tab/>
      </w:r>
      <w:r w:rsidRPr="00D5748F">
        <w:tab/>
      </w:r>
      <w:r w:rsidRPr="00D5748F">
        <w:rPr>
          <w:rStyle w:val="HideTWBExt"/>
          <w:b w:val="0"/>
        </w:rPr>
        <w:t>&lt;NumAm&gt;</w:t>
      </w:r>
      <w:r w:rsidRPr="00D5748F">
        <w:t>17</w:t>
      </w:r>
      <w:r w:rsidRPr="00D5748F">
        <w:rPr>
          <w:rStyle w:val="HideTWBExt"/>
          <w:b w:val="0"/>
        </w:rPr>
        <w:t>&lt;/NumAm&gt;</w:t>
      </w:r>
    </w:p>
    <w:p w:rsidR="00932D06" w:rsidRPr="00D5748F" w:rsidRDefault="0020623A" w:rsidP="00932D06">
      <w:pPr>
        <w:pStyle w:val="NormalBold12b"/>
        <w:keepNext/>
      </w:pPr>
      <w:r w:rsidRPr="00D5748F">
        <w:rPr>
          <w:rStyle w:val="HideTWBExt"/>
          <w:b w:val="0"/>
        </w:rPr>
        <w:t>&lt;DocAmend&gt;</w:t>
      </w:r>
      <w:r w:rsidRPr="00D5748F">
        <w:t>Forslag til direktiv</w:t>
      </w:r>
      <w:r w:rsidRPr="00D5748F">
        <w:rPr>
          <w:rStyle w:val="HideTWBExt"/>
          <w:b w:val="0"/>
        </w:rPr>
        <w:t>&lt;/DocAmend&gt;</w:t>
      </w:r>
    </w:p>
    <w:p w:rsidR="00932D06" w:rsidRPr="00D5748F" w:rsidRDefault="0020623A" w:rsidP="00932D06">
      <w:pPr>
        <w:pStyle w:val="NormalBold"/>
      </w:pPr>
      <w:r w:rsidRPr="00D5748F">
        <w:rPr>
          <w:rStyle w:val="HideTWBExt"/>
          <w:b w:val="0"/>
        </w:rPr>
        <w:t>&lt;Article&gt;</w:t>
      </w:r>
      <w:r w:rsidRPr="00D5748F">
        <w:t>Artikel 2 – stk. 1 – nr. 3 – litra a</w:t>
      </w:r>
      <w:r w:rsidRPr="00D5748F">
        <w:rPr>
          <w:rStyle w:val="HideTWBExt"/>
          <w:b w:val="0"/>
        </w:rPr>
        <w:t>&lt;/Article&gt;</w:t>
      </w:r>
    </w:p>
    <w:p w:rsidR="00932D06" w:rsidRPr="00D5748F" w:rsidRDefault="0020623A" w:rsidP="00932D06">
      <w:pPr>
        <w:keepNext/>
      </w:pPr>
      <w:r w:rsidRPr="00D5748F">
        <w:rPr>
          <w:rStyle w:val="HideTWBExt"/>
        </w:rPr>
        <w:t>&lt;DocAmend2&gt;</w:t>
      </w:r>
      <w:r w:rsidRPr="00D5748F">
        <w:t>Forordning (EU) nr. 806/2014</w:t>
      </w:r>
      <w:r w:rsidRPr="00D5748F">
        <w:rPr>
          <w:rStyle w:val="HideTWBExt"/>
        </w:rPr>
        <w:t>&lt;/DocAmend2&gt;</w:t>
      </w:r>
    </w:p>
    <w:p w:rsidR="00932D06" w:rsidRPr="00D5748F" w:rsidRDefault="0020623A" w:rsidP="00932D06">
      <w:r w:rsidRPr="00D5748F">
        <w:rPr>
          <w:rStyle w:val="HideTWBExt"/>
        </w:rPr>
        <w:t>&lt;Article2&gt;</w:t>
      </w:r>
      <w:r w:rsidRPr="00D5748F">
        <w:t>Artikel 12g – stk. 1 – afsnit 3a – litra a – nr. ii</w:t>
      </w:r>
      <w:r w:rsidRPr="00D5748F">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12990" w:rsidRPr="00D5748F" w:rsidTr="00932D06">
        <w:trPr>
          <w:jc w:val="center"/>
        </w:trPr>
        <w:tc>
          <w:tcPr>
            <w:tcW w:w="9752" w:type="dxa"/>
            <w:gridSpan w:val="2"/>
          </w:tcPr>
          <w:p w:rsidR="00932D06" w:rsidRPr="00D5748F" w:rsidRDefault="00932D06">
            <w:pPr>
              <w:keepNext/>
            </w:pPr>
          </w:p>
        </w:tc>
      </w:tr>
      <w:tr w:rsidR="00112990" w:rsidRPr="00D5748F" w:rsidTr="00932D06">
        <w:trPr>
          <w:jc w:val="center"/>
        </w:trPr>
        <w:tc>
          <w:tcPr>
            <w:tcW w:w="4876" w:type="dxa"/>
            <w:hideMark/>
          </w:tcPr>
          <w:p w:rsidR="00932D06" w:rsidRPr="00D5748F" w:rsidRDefault="0020623A">
            <w:pPr>
              <w:pStyle w:val="ColumnHeading"/>
              <w:keepNext/>
            </w:pPr>
            <w:r w:rsidRPr="00D5748F">
              <w:t>Kommissionens forslag</w:t>
            </w:r>
          </w:p>
        </w:tc>
        <w:tc>
          <w:tcPr>
            <w:tcW w:w="4876" w:type="dxa"/>
            <w:hideMark/>
          </w:tcPr>
          <w:p w:rsidR="00932D06" w:rsidRPr="00D5748F" w:rsidRDefault="0020623A">
            <w:pPr>
              <w:pStyle w:val="ColumnHeading"/>
              <w:keepNext/>
            </w:pPr>
            <w:r w:rsidRPr="00D5748F">
              <w:t>Ændringsforslag</w:t>
            </w:r>
          </w:p>
        </w:tc>
      </w:tr>
      <w:tr w:rsidR="00112990" w:rsidRPr="00D5748F" w:rsidTr="00932D06">
        <w:trPr>
          <w:jc w:val="center"/>
        </w:trPr>
        <w:tc>
          <w:tcPr>
            <w:tcW w:w="4876" w:type="dxa"/>
            <w:hideMark/>
          </w:tcPr>
          <w:p w:rsidR="00932D06" w:rsidRPr="00D5748F" w:rsidRDefault="0020623A">
            <w:pPr>
              <w:pStyle w:val="Normal6"/>
            </w:pPr>
            <w:r w:rsidRPr="00D5748F">
              <w:t>ii)</w:t>
            </w:r>
            <w:r w:rsidRPr="00D5748F">
              <w:tab/>
              <w:t>datterselskabet er omfattet af kravet i artikel 104a i direktiv 2013/36/EU eller det kombinerede bufferkrav på konsolideret grundlag</w:t>
            </w:r>
          </w:p>
        </w:tc>
        <w:tc>
          <w:tcPr>
            <w:tcW w:w="4876" w:type="dxa"/>
            <w:hideMark/>
          </w:tcPr>
          <w:p w:rsidR="00932D06" w:rsidRPr="00D5748F" w:rsidRDefault="0020623A">
            <w:pPr>
              <w:pStyle w:val="Normal6"/>
              <w:rPr>
                <w:szCs w:val="24"/>
              </w:rPr>
            </w:pPr>
            <w:r w:rsidRPr="00D5748F">
              <w:t>ii)</w:t>
            </w:r>
            <w:r w:rsidRPr="00D5748F">
              <w:tab/>
              <w:t>datterselskabet er omfattet af kravet i artikel 104a i direktiv 2013/36/E</w:t>
            </w:r>
            <w:r w:rsidRPr="00D5748F">
              <w:t xml:space="preserve">U på konsolideret grundlag </w:t>
            </w:r>
            <w:r w:rsidRPr="00D5748F">
              <w:rPr>
                <w:b/>
                <w:bCs/>
                <w:i/>
                <w:iCs/>
              </w:rPr>
              <w:t>alene</w:t>
            </w:r>
          </w:p>
        </w:tc>
      </w:tr>
    </w:tbl>
    <w:p w:rsidR="00932D06" w:rsidRPr="00D5748F" w:rsidRDefault="0020623A" w:rsidP="00932D06">
      <w:pPr>
        <w:pStyle w:val="Olang"/>
        <w:rPr>
          <w:sz w:val="24"/>
          <w:szCs w:val="24"/>
        </w:rPr>
      </w:pPr>
      <w:r w:rsidRPr="00D5748F">
        <w:rPr>
          <w:sz w:val="24"/>
          <w:szCs w:val="24"/>
        </w:rPr>
        <w:t xml:space="preserve">Or. </w:t>
      </w:r>
      <w:r w:rsidRPr="00D5748F">
        <w:rPr>
          <w:rStyle w:val="HideTWBExt"/>
        </w:rPr>
        <w:t>&lt;Original&gt;</w:t>
      </w:r>
      <w:r w:rsidRPr="00D5748F">
        <w:rPr>
          <w:rStyle w:val="HideTWBInt"/>
          <w:sz w:val="24"/>
          <w:szCs w:val="24"/>
        </w:rPr>
        <w:t>{EN}</w:t>
      </w:r>
      <w:r w:rsidRPr="00D5748F">
        <w:rPr>
          <w:sz w:val="24"/>
          <w:szCs w:val="24"/>
        </w:rPr>
        <w:t>en</w:t>
      </w:r>
      <w:r w:rsidRPr="00D5748F">
        <w:rPr>
          <w:rStyle w:val="HideTWBExt"/>
        </w:rPr>
        <w:t>&lt;/Original&gt;</w:t>
      </w:r>
    </w:p>
    <w:p w:rsidR="00932D06" w:rsidRPr="00D5748F" w:rsidRDefault="0020623A" w:rsidP="00932D06">
      <w:pPr>
        <w:rPr>
          <w:szCs w:val="24"/>
        </w:rPr>
      </w:pPr>
      <w:r w:rsidRPr="00D5748F">
        <w:rPr>
          <w:rStyle w:val="HideTWBExt"/>
        </w:rPr>
        <w:t>&lt;/Amend&gt;</w:t>
      </w:r>
    </w:p>
    <w:p w:rsidR="00932D06" w:rsidRPr="00D5748F" w:rsidRDefault="0020623A" w:rsidP="00932D06">
      <w:pPr>
        <w:pStyle w:val="AMNumberTabs0"/>
        <w:keepNext/>
      </w:pPr>
      <w:r w:rsidRPr="00D5748F">
        <w:rPr>
          <w:rStyle w:val="HideTWBExt"/>
          <w:b w:val="0"/>
        </w:rPr>
        <w:lastRenderedPageBreak/>
        <w:t>&lt;Amend&gt;</w:t>
      </w:r>
      <w:r w:rsidRPr="00D5748F">
        <w:t>Ændringsforslag</w:t>
      </w:r>
      <w:r w:rsidRPr="00D5748F">
        <w:tab/>
      </w:r>
      <w:r w:rsidRPr="00D5748F">
        <w:tab/>
      </w:r>
      <w:r w:rsidRPr="00D5748F">
        <w:rPr>
          <w:rStyle w:val="HideTWBExt"/>
          <w:b w:val="0"/>
        </w:rPr>
        <w:t>&lt;NumAm&gt;</w:t>
      </w:r>
      <w:r w:rsidRPr="00D5748F">
        <w:t>18</w:t>
      </w:r>
      <w:r w:rsidRPr="00D5748F">
        <w:rPr>
          <w:rStyle w:val="HideTWBExt"/>
          <w:b w:val="0"/>
        </w:rPr>
        <w:t>&lt;/NumAm&gt;</w:t>
      </w:r>
    </w:p>
    <w:p w:rsidR="00932D06" w:rsidRPr="00D5748F" w:rsidRDefault="0020623A" w:rsidP="00932D06">
      <w:pPr>
        <w:pStyle w:val="NormalBold12b"/>
        <w:keepNext/>
      </w:pPr>
      <w:r w:rsidRPr="00D5748F">
        <w:rPr>
          <w:rStyle w:val="HideTWBExt"/>
          <w:b w:val="0"/>
        </w:rPr>
        <w:t>&lt;DocAmend&gt;</w:t>
      </w:r>
      <w:r w:rsidRPr="00D5748F">
        <w:t>Forslag til direktiv</w:t>
      </w:r>
      <w:r w:rsidRPr="00D5748F">
        <w:rPr>
          <w:rStyle w:val="HideTWBExt"/>
          <w:b w:val="0"/>
        </w:rPr>
        <w:t>&lt;/DocAmend&gt;</w:t>
      </w:r>
    </w:p>
    <w:p w:rsidR="00932D06" w:rsidRPr="00D5748F" w:rsidRDefault="0020623A" w:rsidP="00932D06">
      <w:pPr>
        <w:pStyle w:val="NormalBold"/>
      </w:pPr>
      <w:r w:rsidRPr="00D5748F">
        <w:rPr>
          <w:rStyle w:val="HideTWBExt"/>
          <w:b w:val="0"/>
        </w:rPr>
        <w:t>&lt;Article&gt;</w:t>
      </w:r>
      <w:r w:rsidRPr="00D5748F">
        <w:t>Artikel 2 – stk. 1 – nr. 3 – litra a</w:t>
      </w:r>
      <w:r w:rsidRPr="00D5748F">
        <w:rPr>
          <w:rStyle w:val="HideTWBExt"/>
          <w:b w:val="0"/>
        </w:rPr>
        <w:t>&lt;/Article&gt;</w:t>
      </w:r>
    </w:p>
    <w:p w:rsidR="00932D06" w:rsidRPr="00D5748F" w:rsidRDefault="0020623A" w:rsidP="00932D06">
      <w:pPr>
        <w:keepNext/>
      </w:pPr>
      <w:r w:rsidRPr="00D5748F">
        <w:rPr>
          <w:rStyle w:val="HideTWBExt"/>
        </w:rPr>
        <w:t>&lt;DocAmend2&gt;</w:t>
      </w:r>
      <w:r w:rsidRPr="00D5748F">
        <w:t>Forordning (EU) nr. 806/2014</w:t>
      </w:r>
      <w:r w:rsidRPr="00D5748F">
        <w:rPr>
          <w:rStyle w:val="HideTWBExt"/>
        </w:rPr>
        <w:t>&lt;/DocAmend2&gt;</w:t>
      </w:r>
    </w:p>
    <w:p w:rsidR="00932D06" w:rsidRPr="00D5748F" w:rsidRDefault="0020623A" w:rsidP="00932D06">
      <w:r w:rsidRPr="00D5748F">
        <w:rPr>
          <w:rStyle w:val="HideTWBExt"/>
        </w:rPr>
        <w:t>&lt;Article2&gt;</w:t>
      </w:r>
      <w:r w:rsidRPr="00D5748F">
        <w:t>Artikel 12g – stk. 1 – afsnit 3a – litra b</w:t>
      </w:r>
      <w:r w:rsidRPr="00D5748F">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12990" w:rsidRPr="00D5748F" w:rsidTr="00932D06">
        <w:trPr>
          <w:jc w:val="center"/>
        </w:trPr>
        <w:tc>
          <w:tcPr>
            <w:tcW w:w="9752" w:type="dxa"/>
            <w:gridSpan w:val="2"/>
          </w:tcPr>
          <w:p w:rsidR="00932D06" w:rsidRPr="00D5748F" w:rsidRDefault="00932D06">
            <w:pPr>
              <w:keepNext/>
            </w:pPr>
          </w:p>
        </w:tc>
      </w:tr>
      <w:tr w:rsidR="00112990" w:rsidRPr="00D5748F" w:rsidTr="00932D06">
        <w:trPr>
          <w:jc w:val="center"/>
        </w:trPr>
        <w:tc>
          <w:tcPr>
            <w:tcW w:w="4876" w:type="dxa"/>
            <w:hideMark/>
          </w:tcPr>
          <w:p w:rsidR="00932D06" w:rsidRPr="00D5748F" w:rsidRDefault="0020623A">
            <w:pPr>
              <w:pStyle w:val="ColumnHeading"/>
              <w:keepNext/>
            </w:pPr>
            <w:r w:rsidRPr="00D5748F">
              <w:t>Kommissionens forslag</w:t>
            </w:r>
          </w:p>
        </w:tc>
        <w:tc>
          <w:tcPr>
            <w:tcW w:w="4876" w:type="dxa"/>
            <w:hideMark/>
          </w:tcPr>
          <w:p w:rsidR="00932D06" w:rsidRPr="00D5748F" w:rsidRDefault="0020623A">
            <w:pPr>
              <w:pStyle w:val="ColumnHeading"/>
              <w:keepNext/>
            </w:pPr>
            <w:r w:rsidRPr="00D5748F">
              <w:t>Ændringsforslag</w:t>
            </w:r>
          </w:p>
        </w:tc>
      </w:tr>
      <w:tr w:rsidR="00112990" w:rsidRPr="00D5748F" w:rsidTr="00932D06">
        <w:trPr>
          <w:jc w:val="center"/>
        </w:trPr>
        <w:tc>
          <w:tcPr>
            <w:tcW w:w="4876" w:type="dxa"/>
            <w:hideMark/>
          </w:tcPr>
          <w:p w:rsidR="00932D06" w:rsidRPr="00D5748F" w:rsidRDefault="0020623A">
            <w:pPr>
              <w:pStyle w:val="Normal6"/>
            </w:pPr>
            <w:r w:rsidRPr="00D5748F">
              <w:t>b)</w:t>
            </w:r>
            <w:r w:rsidRPr="00D5748F">
              <w:tab/>
              <w:t>opfyldelse af kravet i artikel 12d på konsolideret grundlag har ikke nogen væsentlig negativ indvirkning på afviklingskoncernens afvikl</w:t>
            </w:r>
            <w:r w:rsidRPr="00D5748F">
              <w:t>ingsmuligheder eller nedskrivningen eller konverteringen i overensstemmelse med artikel 21 af relevante kapitalinstrumenter og nedskrivningsrelevante passiver i det pågældende institut eller datterselskab eller andre enheder i afviklingskoncernen.</w:t>
            </w:r>
          </w:p>
        </w:tc>
        <w:tc>
          <w:tcPr>
            <w:tcW w:w="4876" w:type="dxa"/>
            <w:hideMark/>
          </w:tcPr>
          <w:p w:rsidR="00932D06" w:rsidRPr="00D5748F" w:rsidRDefault="0020623A">
            <w:pPr>
              <w:pStyle w:val="Normal6"/>
              <w:rPr>
                <w:szCs w:val="24"/>
              </w:rPr>
            </w:pPr>
            <w:r w:rsidRPr="00D5748F">
              <w:t>b)</w:t>
            </w:r>
            <w:r w:rsidRPr="00D5748F">
              <w:tab/>
              <w:t>opfyl</w:t>
            </w:r>
            <w:r w:rsidRPr="00D5748F">
              <w:t>delse af kravet i artikel 12d på konsolideret grundlag har ikke nogen negativ indvirkning på afviklingskoncernens afviklingsmuligheder eller nedskrivningen eller konverteringen i overensstemmelse med artikel 21 af relevante kapitalinstrumenter og nedskrivn</w:t>
            </w:r>
            <w:r w:rsidRPr="00D5748F">
              <w:t>ingsrelevante passiver i det pågældende institut eller datterselskab eller andre enheder i afviklingskoncernen.</w:t>
            </w:r>
          </w:p>
        </w:tc>
      </w:tr>
    </w:tbl>
    <w:p w:rsidR="00932D06" w:rsidRPr="00D5748F" w:rsidRDefault="0020623A" w:rsidP="00932D06">
      <w:pPr>
        <w:pStyle w:val="Olang"/>
        <w:rPr>
          <w:sz w:val="24"/>
          <w:szCs w:val="24"/>
        </w:rPr>
      </w:pPr>
      <w:r w:rsidRPr="00D5748F">
        <w:rPr>
          <w:sz w:val="24"/>
          <w:szCs w:val="24"/>
        </w:rPr>
        <w:t xml:space="preserve">Or. </w:t>
      </w:r>
      <w:r w:rsidRPr="00D5748F">
        <w:rPr>
          <w:rStyle w:val="HideTWBExt"/>
        </w:rPr>
        <w:t>&lt;Original&gt;</w:t>
      </w:r>
      <w:r w:rsidRPr="00D5748F">
        <w:rPr>
          <w:rStyle w:val="HideTWBInt"/>
          <w:sz w:val="24"/>
          <w:szCs w:val="24"/>
        </w:rPr>
        <w:t>{EN}</w:t>
      </w:r>
      <w:r w:rsidRPr="00D5748F">
        <w:rPr>
          <w:sz w:val="24"/>
          <w:szCs w:val="24"/>
        </w:rPr>
        <w:t>en</w:t>
      </w:r>
      <w:r w:rsidRPr="00D5748F">
        <w:rPr>
          <w:rStyle w:val="HideTWBExt"/>
        </w:rPr>
        <w:t>&lt;/Original&gt;</w:t>
      </w:r>
    </w:p>
    <w:p w:rsidR="00932D06" w:rsidRPr="00D5748F" w:rsidRDefault="0020623A" w:rsidP="00932D06">
      <w:pPr>
        <w:rPr>
          <w:szCs w:val="24"/>
        </w:rPr>
      </w:pPr>
      <w:r w:rsidRPr="00D5748F">
        <w:rPr>
          <w:rStyle w:val="HideTWBExt"/>
        </w:rPr>
        <w:t>&lt;/Amend&gt;</w:t>
      </w:r>
    </w:p>
    <w:p w:rsidR="00932D06" w:rsidRPr="00D5748F" w:rsidRDefault="0020623A" w:rsidP="00932D06">
      <w:pPr>
        <w:pStyle w:val="AMNumberTabs0"/>
        <w:keepNext/>
      </w:pPr>
      <w:r w:rsidRPr="00D5748F">
        <w:rPr>
          <w:rStyle w:val="HideTWBExt"/>
          <w:b w:val="0"/>
        </w:rPr>
        <w:t>&lt;Amend&gt;</w:t>
      </w:r>
      <w:r w:rsidRPr="00D5748F">
        <w:t>Ændringsforslag</w:t>
      </w:r>
      <w:r w:rsidRPr="00D5748F">
        <w:tab/>
      </w:r>
      <w:r w:rsidRPr="00D5748F">
        <w:tab/>
      </w:r>
      <w:r w:rsidRPr="00D5748F">
        <w:rPr>
          <w:rStyle w:val="HideTWBExt"/>
          <w:b w:val="0"/>
        </w:rPr>
        <w:t>&lt;NumAm&gt;</w:t>
      </w:r>
      <w:r w:rsidRPr="00D5748F">
        <w:t>19</w:t>
      </w:r>
      <w:r w:rsidRPr="00D5748F">
        <w:rPr>
          <w:rStyle w:val="HideTWBExt"/>
          <w:b w:val="0"/>
        </w:rPr>
        <w:t>&lt;/NumAm&gt;</w:t>
      </w:r>
    </w:p>
    <w:p w:rsidR="00932D06" w:rsidRPr="00D5748F" w:rsidRDefault="0020623A" w:rsidP="00932D06">
      <w:pPr>
        <w:pStyle w:val="NormalBold12b"/>
        <w:keepNext/>
      </w:pPr>
      <w:r w:rsidRPr="00D5748F">
        <w:rPr>
          <w:rStyle w:val="HideTWBExt"/>
          <w:b w:val="0"/>
        </w:rPr>
        <w:t>&lt;DocAmend&gt;</w:t>
      </w:r>
      <w:r w:rsidRPr="00D5748F">
        <w:t>Forslag til direktiv</w:t>
      </w:r>
      <w:r w:rsidRPr="00D5748F">
        <w:rPr>
          <w:rStyle w:val="HideTWBExt"/>
          <w:b w:val="0"/>
        </w:rPr>
        <w:t>&lt;/DocAmend&gt;</w:t>
      </w:r>
    </w:p>
    <w:p w:rsidR="00932D06" w:rsidRPr="00D5748F" w:rsidRDefault="0020623A" w:rsidP="00932D06">
      <w:pPr>
        <w:pStyle w:val="NormalBold"/>
      </w:pPr>
      <w:r w:rsidRPr="00D5748F">
        <w:rPr>
          <w:rStyle w:val="HideTWBExt"/>
          <w:b w:val="0"/>
        </w:rPr>
        <w:t>&lt;Article&gt;</w:t>
      </w:r>
      <w:r w:rsidRPr="00D5748F">
        <w:t>Artikel 2</w:t>
      </w:r>
      <w:r w:rsidRPr="00D5748F">
        <w:t xml:space="preserve"> – stk. 1 – afsnit 3 – litra b</w:t>
      </w:r>
      <w:r w:rsidRPr="00D5748F">
        <w:rPr>
          <w:rStyle w:val="HideTWBExt"/>
          <w:b w:val="0"/>
        </w:rPr>
        <w:t>&lt;/Article&gt;</w:t>
      </w:r>
    </w:p>
    <w:p w:rsidR="00932D06" w:rsidRPr="00D5748F" w:rsidRDefault="0020623A" w:rsidP="00932D06">
      <w:pPr>
        <w:keepNext/>
      </w:pPr>
      <w:r w:rsidRPr="00D5748F">
        <w:rPr>
          <w:rStyle w:val="HideTWBExt"/>
        </w:rPr>
        <w:t>&lt;DocAmend2&gt;</w:t>
      </w:r>
      <w:r w:rsidRPr="00D5748F">
        <w:t>Forordning (EU) nr. 806/2014</w:t>
      </w:r>
      <w:r w:rsidRPr="00D5748F">
        <w:rPr>
          <w:rStyle w:val="HideTWBExt"/>
        </w:rPr>
        <w:t>&lt;/DocAmend2&gt;</w:t>
      </w:r>
    </w:p>
    <w:p w:rsidR="00932D06" w:rsidRPr="00D5748F" w:rsidRDefault="0020623A" w:rsidP="00932D06">
      <w:r w:rsidRPr="00D5748F">
        <w:rPr>
          <w:rStyle w:val="HideTWBExt"/>
        </w:rPr>
        <w:t>&lt;Article2&gt;</w:t>
      </w:r>
      <w:r w:rsidRPr="00D5748F">
        <w:t>Artikel 12g – stk. 2a – afsnit 2 – indledning</w:t>
      </w:r>
      <w:r w:rsidRPr="00D5748F">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12990" w:rsidRPr="00D5748F" w:rsidTr="00932D06">
        <w:trPr>
          <w:jc w:val="center"/>
        </w:trPr>
        <w:tc>
          <w:tcPr>
            <w:tcW w:w="9752" w:type="dxa"/>
            <w:gridSpan w:val="2"/>
          </w:tcPr>
          <w:p w:rsidR="00932D06" w:rsidRPr="00D5748F" w:rsidRDefault="00932D06">
            <w:pPr>
              <w:keepNext/>
            </w:pPr>
          </w:p>
        </w:tc>
      </w:tr>
      <w:tr w:rsidR="00112990" w:rsidRPr="00D5748F" w:rsidTr="00932D06">
        <w:trPr>
          <w:jc w:val="center"/>
        </w:trPr>
        <w:tc>
          <w:tcPr>
            <w:tcW w:w="4876" w:type="dxa"/>
            <w:hideMark/>
          </w:tcPr>
          <w:p w:rsidR="00932D06" w:rsidRPr="00D5748F" w:rsidRDefault="0020623A">
            <w:pPr>
              <w:pStyle w:val="ColumnHeading"/>
              <w:keepNext/>
            </w:pPr>
            <w:r w:rsidRPr="00D5748F">
              <w:t>Kommissionens forslag</w:t>
            </w:r>
          </w:p>
        </w:tc>
        <w:tc>
          <w:tcPr>
            <w:tcW w:w="4876" w:type="dxa"/>
            <w:hideMark/>
          </w:tcPr>
          <w:p w:rsidR="00932D06" w:rsidRPr="00D5748F" w:rsidRDefault="0020623A">
            <w:pPr>
              <w:pStyle w:val="ColumnHeading"/>
              <w:keepNext/>
            </w:pPr>
            <w:r w:rsidRPr="00D5748F">
              <w:t>Ændringsforslag</w:t>
            </w:r>
          </w:p>
        </w:tc>
      </w:tr>
      <w:tr w:rsidR="00112990" w:rsidRPr="00D5748F" w:rsidTr="00932D06">
        <w:trPr>
          <w:jc w:val="center"/>
        </w:trPr>
        <w:tc>
          <w:tcPr>
            <w:tcW w:w="4876" w:type="dxa"/>
            <w:hideMark/>
          </w:tcPr>
          <w:p w:rsidR="00932D06" w:rsidRPr="00D5748F" w:rsidRDefault="0020623A">
            <w:pPr>
              <w:pStyle w:val="Normal6"/>
            </w:pPr>
            <w:r w:rsidRPr="00D5748F">
              <w:t>De passiver, der er omhandlet i første afsnit, litra a)</w:t>
            </w:r>
            <w:r w:rsidRPr="00D5748F">
              <w:t xml:space="preserve"> og b), må ikke overstige det beløb, der er fastsat ved fra beløbet for det i artikel 45, stk. 1, omhandlede krav, der gælder for det datterselskab, der indgår i konsolideringen, at trække summen af følgende:</w:t>
            </w:r>
          </w:p>
        </w:tc>
        <w:tc>
          <w:tcPr>
            <w:tcW w:w="4876" w:type="dxa"/>
            <w:hideMark/>
          </w:tcPr>
          <w:p w:rsidR="00932D06" w:rsidRPr="00D5748F" w:rsidRDefault="0020623A">
            <w:pPr>
              <w:pStyle w:val="Normal6"/>
              <w:rPr>
                <w:szCs w:val="24"/>
              </w:rPr>
            </w:pPr>
            <w:r w:rsidRPr="00D5748F">
              <w:t xml:space="preserve">De passiver, der er omhandlet i første afsnit, </w:t>
            </w:r>
            <w:r w:rsidRPr="00D5748F">
              <w:t>litra a) og b), må ikke overstige det beløb, der er fastsat ved fra beløbet for det i artikel </w:t>
            </w:r>
            <w:r w:rsidRPr="00D5748F">
              <w:rPr>
                <w:b/>
                <w:bCs/>
                <w:i/>
                <w:iCs/>
              </w:rPr>
              <w:t>12, stk. 1</w:t>
            </w:r>
            <w:r w:rsidRPr="00D5748F">
              <w:t xml:space="preserve">, omhandlede krav, der gælder for det datterselskab, der indgår i </w:t>
            </w:r>
            <w:r w:rsidRPr="00D5748F">
              <w:rPr>
                <w:b/>
                <w:bCs/>
                <w:i/>
                <w:iCs/>
              </w:rPr>
              <w:t>konsolideringen</w:t>
            </w:r>
            <w:r w:rsidRPr="00D5748F">
              <w:t>, at trække summen af følgende:</w:t>
            </w:r>
          </w:p>
        </w:tc>
      </w:tr>
    </w:tbl>
    <w:p w:rsidR="00932D06" w:rsidRPr="00D5748F" w:rsidRDefault="0020623A" w:rsidP="00932D06">
      <w:pPr>
        <w:pStyle w:val="Olang"/>
        <w:rPr>
          <w:sz w:val="24"/>
          <w:szCs w:val="24"/>
        </w:rPr>
      </w:pPr>
      <w:r w:rsidRPr="00D5748F">
        <w:rPr>
          <w:sz w:val="24"/>
          <w:szCs w:val="24"/>
        </w:rPr>
        <w:t xml:space="preserve">Or. </w:t>
      </w:r>
      <w:r w:rsidRPr="00D5748F">
        <w:rPr>
          <w:rStyle w:val="HideTWBExt"/>
        </w:rPr>
        <w:t>&lt;Original&gt;</w:t>
      </w:r>
      <w:r w:rsidRPr="00D5748F">
        <w:rPr>
          <w:rStyle w:val="HideTWBInt"/>
          <w:sz w:val="24"/>
          <w:szCs w:val="24"/>
        </w:rPr>
        <w:t>{EN}</w:t>
      </w:r>
      <w:r w:rsidRPr="00D5748F">
        <w:rPr>
          <w:sz w:val="24"/>
          <w:szCs w:val="24"/>
        </w:rPr>
        <w:t>en</w:t>
      </w:r>
      <w:r w:rsidRPr="00D5748F">
        <w:rPr>
          <w:rStyle w:val="HideTWBExt"/>
        </w:rPr>
        <w:t>&lt;/Original&gt;</w:t>
      </w:r>
    </w:p>
    <w:p w:rsidR="00467F7B" w:rsidRPr="00D5748F" w:rsidRDefault="0020623A" w:rsidP="00467F7B">
      <w:r w:rsidRPr="00D5748F">
        <w:rPr>
          <w:rStyle w:val="HideTWBExt"/>
        </w:rPr>
        <w:t>&lt;/Amen</w:t>
      </w:r>
      <w:r w:rsidRPr="00D5748F">
        <w:rPr>
          <w:rStyle w:val="HideTWBExt"/>
        </w:rPr>
        <w:t>d&gt;</w:t>
      </w:r>
    </w:p>
    <w:p w:rsidR="002669B6" w:rsidRPr="00D5748F" w:rsidRDefault="0020623A" w:rsidP="002669B6">
      <w:r w:rsidRPr="00D5748F">
        <w:rPr>
          <w:rStyle w:val="HideTWBExt"/>
        </w:rPr>
        <w:t>&lt;/RepeatBlock-Amend&gt;</w:t>
      </w:r>
    </w:p>
    <w:p w:rsidR="002669B6" w:rsidRPr="00D5748F" w:rsidRDefault="002669B6" w:rsidP="002669B6"/>
    <w:sectPr w:rsidR="002669B6" w:rsidRPr="00D5748F" w:rsidSect="00D5748F">
      <w:headerReference w:type="even" r:id="rId9"/>
      <w:headerReference w:type="default" r:id="rId10"/>
      <w:footerReference w:type="even" r:id="rId11"/>
      <w:footerReference w:type="default" r:id="rId12"/>
      <w:headerReference w:type="first" r:id="rId13"/>
      <w:footerReference w:type="first" r:id="rId14"/>
      <w:footnotePr>
        <w:numRestart w:val="eachSect"/>
      </w:footnotePr>
      <w:endnotePr>
        <w:numFmt w:val="decimal"/>
      </w:endnotePr>
      <w:pgSz w:w="11906" w:h="16838" w:code="9"/>
      <w:pgMar w:top="1134" w:right="1418" w:bottom="1418" w:left="1418" w:header="1134" w:footer="567"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Pr="00D5748F" w:rsidRDefault="0020623A">
      <w:r w:rsidRPr="00D5748F">
        <w:separator/>
      </w:r>
    </w:p>
  </w:endnote>
  <w:endnote w:type="continuationSeparator" w:id="0">
    <w:p w:rsidR="00000000" w:rsidRPr="00D5748F" w:rsidRDefault="0020623A">
      <w:r w:rsidRPr="00D5748F">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DokChampa">
    <w:altName w:val="Leelawadee UI"/>
    <w:charset w:val="00"/>
    <w:family w:val="swiss"/>
    <w:pitch w:val="variable"/>
    <w:sig w:usb0="03000003" w:usb1="00000000" w:usb2="00000000" w:usb3="00000000" w:csb0="0001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748F" w:rsidRPr="00D5748F" w:rsidRDefault="00D5748F" w:rsidP="00D5748F">
    <w:pPr>
      <w:pStyle w:val="EPFooter"/>
    </w:pPr>
    <w:r w:rsidRPr="00D5748F">
      <w:t>PE</w:t>
    </w:r>
    <w:r w:rsidRPr="00D5748F">
      <w:rPr>
        <w:rStyle w:val="HideTWBExt"/>
      </w:rPr>
      <w:t>&lt;NoPE&gt;</w:t>
    </w:r>
    <w:r w:rsidRPr="00D5748F">
      <w:t>752.913</w:t>
    </w:r>
    <w:r w:rsidRPr="00D5748F">
      <w:rPr>
        <w:rStyle w:val="HideTWBExt"/>
      </w:rPr>
      <w:t>&lt;/NoPE&gt;&lt;Version&gt;</w:t>
    </w:r>
    <w:r w:rsidRPr="00D5748F">
      <w:t>v01-00</w:t>
    </w:r>
    <w:r w:rsidRPr="00D5748F">
      <w:rPr>
        <w:rStyle w:val="HideTWBExt"/>
      </w:rPr>
      <w:t>&lt;/Version&gt;</w:t>
    </w:r>
    <w:r w:rsidRPr="00D5748F">
      <w:tab/>
    </w:r>
    <w:r w:rsidRPr="00D5748F">
      <w:fldChar w:fldCharType="begin"/>
    </w:r>
    <w:r w:rsidRPr="00D5748F">
      <w:instrText xml:space="preserve"> PAGE  \* MERGEFORMAT </w:instrText>
    </w:r>
    <w:r w:rsidRPr="00D5748F">
      <w:fldChar w:fldCharType="separate"/>
    </w:r>
    <w:r w:rsidR="0020623A">
      <w:rPr>
        <w:noProof/>
      </w:rPr>
      <w:t>6</w:t>
    </w:r>
    <w:r w:rsidRPr="00D5748F">
      <w:fldChar w:fldCharType="end"/>
    </w:r>
    <w:r w:rsidRPr="00D5748F">
      <w:t>/</w:t>
    </w:r>
    <w:fldSimple w:instr=" NUMPAGES  \* MERGEFORMAT ">
      <w:r w:rsidR="0020623A">
        <w:rPr>
          <w:noProof/>
        </w:rPr>
        <w:t>20</w:t>
      </w:r>
    </w:fldSimple>
    <w:r w:rsidRPr="00D5748F">
      <w:tab/>
    </w:r>
    <w:r w:rsidRPr="00D5748F">
      <w:rPr>
        <w:rStyle w:val="HideTWBExt"/>
      </w:rPr>
      <w:t>&lt;PathFdR&gt;</w:t>
    </w:r>
    <w:r w:rsidRPr="00D5748F">
      <w:t>PR\1285454DA.docx</w:t>
    </w:r>
    <w:r w:rsidRPr="00D5748F">
      <w:rPr>
        <w:rStyle w:val="HideTWBExt"/>
      </w:rPr>
      <w:t>&lt;/PathFdR&gt;</w:t>
    </w:r>
  </w:p>
  <w:p w:rsidR="0048211B" w:rsidRPr="00D5748F" w:rsidRDefault="00D5748F" w:rsidP="00D5748F">
    <w:pPr>
      <w:pStyle w:val="EPFooter2"/>
    </w:pPr>
    <w:r w:rsidRPr="00D5748F">
      <w:t>DA</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748F" w:rsidRPr="00D5748F" w:rsidRDefault="00D5748F" w:rsidP="00D5748F">
    <w:pPr>
      <w:pStyle w:val="EPFooter"/>
    </w:pPr>
    <w:r w:rsidRPr="00D5748F">
      <w:rPr>
        <w:rStyle w:val="HideTWBExt"/>
      </w:rPr>
      <w:t>&lt;PathFdR&gt;</w:t>
    </w:r>
    <w:r w:rsidRPr="00D5748F">
      <w:t>PR\1285454DA.docx</w:t>
    </w:r>
    <w:r w:rsidRPr="00D5748F">
      <w:rPr>
        <w:rStyle w:val="HideTWBExt"/>
      </w:rPr>
      <w:t>&lt;/PathFdR&gt;</w:t>
    </w:r>
    <w:r w:rsidRPr="00D5748F">
      <w:tab/>
    </w:r>
    <w:r w:rsidRPr="00D5748F">
      <w:fldChar w:fldCharType="begin"/>
    </w:r>
    <w:r w:rsidRPr="00D5748F">
      <w:instrText xml:space="preserve"> PAGE  \* MERGEFORMAT </w:instrText>
    </w:r>
    <w:r w:rsidRPr="00D5748F">
      <w:fldChar w:fldCharType="separate"/>
    </w:r>
    <w:r w:rsidR="0020623A">
      <w:rPr>
        <w:noProof/>
      </w:rPr>
      <w:t>5</w:t>
    </w:r>
    <w:r w:rsidRPr="00D5748F">
      <w:fldChar w:fldCharType="end"/>
    </w:r>
    <w:r w:rsidRPr="00D5748F">
      <w:t>/</w:t>
    </w:r>
    <w:fldSimple w:instr=" NUMPAGES  \* MERGEFORMAT ">
      <w:r w:rsidR="0020623A">
        <w:rPr>
          <w:noProof/>
        </w:rPr>
        <w:t>20</w:t>
      </w:r>
    </w:fldSimple>
    <w:r w:rsidRPr="00D5748F">
      <w:tab/>
      <w:t>PE</w:t>
    </w:r>
    <w:r w:rsidRPr="00D5748F">
      <w:rPr>
        <w:rStyle w:val="HideTWBExt"/>
      </w:rPr>
      <w:t>&lt;NoPE&gt;</w:t>
    </w:r>
    <w:r w:rsidRPr="00D5748F">
      <w:t>752.913</w:t>
    </w:r>
    <w:r w:rsidRPr="00D5748F">
      <w:rPr>
        <w:rStyle w:val="HideTWBExt"/>
      </w:rPr>
      <w:t>&lt;/NoPE&gt;&lt;Version&gt;</w:t>
    </w:r>
    <w:r w:rsidRPr="00D5748F">
      <w:t>v01-00</w:t>
    </w:r>
    <w:r w:rsidRPr="00D5748F">
      <w:rPr>
        <w:rStyle w:val="HideTWBExt"/>
      </w:rPr>
      <w:t>&lt;/Version&gt;</w:t>
    </w:r>
  </w:p>
  <w:p w:rsidR="0048211B" w:rsidRPr="00D5748F" w:rsidRDefault="00D5748F" w:rsidP="00D5748F">
    <w:pPr>
      <w:pStyle w:val="EPFooter2"/>
    </w:pPr>
    <w:r w:rsidRPr="00D5748F">
      <w:tab/>
    </w:r>
    <w:r w:rsidRPr="00D5748F">
      <w:tab/>
      <w:t>DA</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748F" w:rsidRPr="00D5748F" w:rsidRDefault="00D5748F" w:rsidP="00D5748F">
    <w:pPr>
      <w:pStyle w:val="EPFooter"/>
    </w:pPr>
    <w:r w:rsidRPr="00D5748F">
      <w:rPr>
        <w:rStyle w:val="HideTWBExt"/>
      </w:rPr>
      <w:t>&lt;PathFdR&gt;</w:t>
    </w:r>
    <w:r w:rsidRPr="00D5748F">
      <w:t>PR\1285454DA.docx</w:t>
    </w:r>
    <w:r w:rsidRPr="00D5748F">
      <w:rPr>
        <w:rStyle w:val="HideTWBExt"/>
      </w:rPr>
      <w:t>&lt;/PathFdR&gt;</w:t>
    </w:r>
    <w:r w:rsidRPr="00D5748F">
      <w:tab/>
    </w:r>
    <w:r w:rsidRPr="00D5748F">
      <w:tab/>
      <w:t>PE</w:t>
    </w:r>
    <w:r w:rsidRPr="00D5748F">
      <w:rPr>
        <w:rStyle w:val="HideTWBExt"/>
      </w:rPr>
      <w:t>&lt;NoPE&gt;</w:t>
    </w:r>
    <w:r w:rsidRPr="00D5748F">
      <w:t>752.913</w:t>
    </w:r>
    <w:r w:rsidRPr="00D5748F">
      <w:rPr>
        <w:rStyle w:val="HideTWBExt"/>
      </w:rPr>
      <w:t>&lt;/NoPE&gt;&lt;Version&gt;</w:t>
    </w:r>
    <w:r w:rsidRPr="00D5748F">
      <w:t>v01-00</w:t>
    </w:r>
    <w:r w:rsidRPr="00D5748F">
      <w:rPr>
        <w:rStyle w:val="HideTWBExt"/>
      </w:rPr>
      <w:t>&lt;/Version&gt;</w:t>
    </w:r>
  </w:p>
  <w:p w:rsidR="0048211B" w:rsidRPr="00D5748F" w:rsidRDefault="00D5748F" w:rsidP="00D5748F">
    <w:pPr>
      <w:pStyle w:val="EPFooter2"/>
    </w:pPr>
    <w:r w:rsidRPr="00D5748F">
      <w:t>DA</w:t>
    </w:r>
    <w:r w:rsidRPr="00D5748F">
      <w:tab/>
    </w:r>
    <w:r w:rsidRPr="00D5748F">
      <w:rPr>
        <w:b w:val="0"/>
        <w:i/>
        <w:color w:val="C0C0C0"/>
        <w:sz w:val="22"/>
      </w:rPr>
      <w:t>Forenet i mangfoldighed</w:t>
    </w:r>
    <w:r w:rsidRPr="00D5748F">
      <w:tab/>
      <w:t>DA</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8211B" w:rsidRPr="00D5748F" w:rsidRDefault="0020623A">
      <w:r w:rsidRPr="00D5748F">
        <w:separator/>
      </w:r>
    </w:p>
  </w:footnote>
  <w:footnote w:type="continuationSeparator" w:id="0">
    <w:p w:rsidR="0048211B" w:rsidRPr="00D5748F" w:rsidRDefault="0020623A">
      <w:r w:rsidRPr="00D5748F">
        <w:continuationSeparator/>
      </w:r>
    </w:p>
  </w:footnote>
  <w:footnote w:id="1">
    <w:p w:rsidR="0048211B" w:rsidRPr="00D5748F" w:rsidRDefault="0020623A">
      <w:pPr>
        <w:pStyle w:val="FootnoteText"/>
        <w:rPr>
          <w:sz w:val="24"/>
          <w:szCs w:val="24"/>
        </w:rPr>
      </w:pPr>
      <w:r w:rsidRPr="00D5748F">
        <w:rPr>
          <w:rStyle w:val="FootnoteReference"/>
          <w:sz w:val="24"/>
          <w:szCs w:val="24"/>
        </w:rPr>
        <w:footnoteRef/>
      </w:r>
      <w:r w:rsidRPr="00D5748F">
        <w:rPr>
          <w:sz w:val="24"/>
        </w:rPr>
        <w:tab/>
        <w:t>EUT C 307 af 31.8.2023, s. 19.</w:t>
      </w:r>
    </w:p>
  </w:footnote>
  <w:footnote w:id="2">
    <w:p w:rsidR="0048211B" w:rsidRPr="00D5748F" w:rsidRDefault="0020623A">
      <w:pPr>
        <w:pStyle w:val="FootnoteText"/>
      </w:pPr>
      <w:r w:rsidRPr="00D5748F">
        <w:rPr>
          <w:rStyle w:val="FootnoteReference"/>
          <w:sz w:val="24"/>
          <w:szCs w:val="24"/>
        </w:rPr>
        <w:footnoteRef/>
      </w:r>
      <w:r w:rsidRPr="00D5748F">
        <w:tab/>
      </w:r>
      <w:r w:rsidRPr="00D5748F">
        <w:rPr>
          <w:sz w:val="24"/>
        </w:rPr>
        <w:t>Endnu ikke offentliggjort i EUT.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623A" w:rsidRDefault="0020623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623A" w:rsidRDefault="0020623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623A" w:rsidRDefault="0020623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9"/>
  </w:num>
  <w:num w:numId="3">
    <w:abstractNumId w:val="7"/>
  </w:num>
  <w:num w:numId="4">
    <w:abstractNumId w:val="7"/>
  </w:num>
  <w:num w:numId="5">
    <w:abstractNumId w:val="6"/>
  </w:num>
  <w:num w:numId="6">
    <w:abstractNumId w:val="6"/>
  </w:num>
  <w:num w:numId="7">
    <w:abstractNumId w:val="5"/>
  </w:num>
  <w:num w:numId="8">
    <w:abstractNumId w:val="5"/>
  </w:num>
  <w:num w:numId="9">
    <w:abstractNumId w:val="4"/>
  </w:num>
  <w:num w:numId="10">
    <w:abstractNumId w:val="4"/>
  </w:num>
  <w:num w:numId="11">
    <w:abstractNumId w:val="8"/>
  </w:num>
  <w:num w:numId="12">
    <w:abstractNumId w:val="8"/>
  </w:num>
  <w:num w:numId="13">
    <w:abstractNumId w:val="3"/>
  </w:num>
  <w:num w:numId="14">
    <w:abstractNumId w:val="3"/>
  </w:num>
  <w:num w:numId="15">
    <w:abstractNumId w:val="2"/>
  </w:num>
  <w:num w:numId="16">
    <w:abstractNumId w:val="2"/>
  </w:num>
  <w:num w:numId="17">
    <w:abstractNumId w:val="1"/>
  </w:num>
  <w:num w:numId="18">
    <w:abstractNumId w:val="1"/>
  </w:num>
  <w:num w:numId="19">
    <w:abstractNumId w:val="0"/>
  </w:num>
  <w:num w:numId="20">
    <w:abstractNumId w:val="0"/>
  </w:num>
  <w:num w:numId="21">
    <w:abstractNumId w:val="9"/>
  </w:num>
  <w:num w:numId="22">
    <w:abstractNumId w:val="7"/>
  </w:num>
  <w:num w:numId="23">
    <w:abstractNumId w:val="6"/>
  </w:num>
  <w:num w:numId="24">
    <w:abstractNumId w:val="5"/>
  </w:num>
  <w:num w:numId="25">
    <w:abstractNumId w:val="4"/>
  </w:num>
  <w:num w:numId="26">
    <w:abstractNumId w:val="8"/>
  </w:num>
  <w:num w:numId="27">
    <w:abstractNumId w:val="3"/>
  </w:num>
  <w:num w:numId="28">
    <w:abstractNumId w:val="2"/>
  </w:num>
  <w:num w:numId="29">
    <w:abstractNumId w:val="1"/>
  </w:num>
  <w:num w:numId="30">
    <w:abstractNumId w:val="0"/>
  </w:num>
  <w:num w:numId="31">
    <w:abstractNumId w:val="9"/>
  </w:num>
  <w:num w:numId="32">
    <w:abstractNumId w:val="7"/>
  </w:num>
  <w:num w:numId="33">
    <w:abstractNumId w:val="6"/>
  </w:num>
  <w:num w:numId="34">
    <w:abstractNumId w:val="5"/>
  </w:num>
  <w:num w:numId="35">
    <w:abstractNumId w:val="4"/>
  </w:num>
  <w:num w:numId="36">
    <w:abstractNumId w:val="8"/>
  </w:num>
  <w:num w:numId="37">
    <w:abstractNumId w:val="3"/>
  </w:num>
  <w:num w:numId="38">
    <w:abstractNumId w:val="2"/>
  </w:num>
  <w:num w:numId="39">
    <w:abstractNumId w:val="1"/>
  </w:num>
  <w:num w:numId="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MACTMNU" w:val=" 2"/>
    <w:docVar w:name="CJMNU" w:val="1"/>
    <w:docVar w:name="COMKEY" w:val="ECON"/>
    <w:docVar w:name="CopyToNetwork" w:val="-1"/>
    <w:docVar w:name="CVar" w:val="2"/>
    <w:docVar w:name="DOCMNU" w:val=" 2"/>
    <w:docVar w:name="EPOJMNU" w:val=" 3"/>
    <w:docVar w:name="EPSTATMNU" w:val=" 1"/>
    <w:docVar w:name="EPSTATPLURMNU" w:val=" 1"/>
    <w:docVar w:name="iNoAmend" w:val="2"/>
    <w:docVar w:name="INSTITUTIONSMNU" w:val=" 1"/>
    <w:docVar w:name="JURI1MNU" w:val=" 2"/>
    <w:docVar w:name="JURI2MNU" w:val=" 2"/>
    <w:docVar w:name="LastEditedSection" w:val=" 1"/>
    <w:docVar w:name="ORLANGKEY" w:val="EN"/>
    <w:docVar w:name="ORLANGMNU" w:val=" 1"/>
    <w:docVar w:name="OTHERSTATMNU" w:val=" 4"/>
    <w:docVar w:name="PARLIAMENTSMNU" w:val=" 2"/>
    <w:docVar w:name="RECONSULTMNU" w:val=" 1"/>
    <w:docVar w:name="RepeatBlock-AmendEN"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01\fbidi \froman\fcharset238\fprq2 Times New Roman CE;}{\f302\fbidi \froman\fcharset204\fprq2 Times New Roman Cyr;}_x000d__x000a_{\f304\fbidi \froman\fcharset161\fprq2 Times New Roman Greek;}{\f305\fbidi \froman\fcharset162\fprq2 Times New Roman Tur;}{\f306\fbidi \froman\fcharset177\fprq2 Times New Roman (Hebrew);}{\f307\fbidi \froman\fcharset178\fprq2 Times New Roman (Arabic);}_x000d__x000a_{\f308\fbidi \froman\fcharset186\fprq2 Times New Roman Baltic;}{\f309\fbidi \froman\fcharset163\fprq2 Times New Roman (Vietnamese);}{\f311\fbidi \fswiss\fcharset238\fprq2 Arial CE;}{\f312\fbidi \fswiss\fcharset204\fprq2 Arial Cyr;}_x000d__x000a_{\f314\fbidi \fswiss\fcharset161\fprq2 Arial Greek;}{\f315\fbidi \fswiss\fcharset162\fprq2 Arial Tur;}{\f316\fbidi \fswiss\fcharset177\fprq2 Arial (Hebrew);}{\f317\fbidi \fswiss\fcharset178\fprq2 Arial (Arabic);}_x000d__x000a_{\f318\fbidi \fswiss\fcharset186\fprq2 Arial Baltic;}{\f319\fbidi \fswiss\fcharset163\fprq2 Arial (Vietnamese);}{\f641\fbidi \froman\fcharset238\fprq2 Cambria Math CE;}{\f642\fbidi \froman\fcharset204\fprq2 Cambria Math Cyr;}_x000d__x000a_{\f644\fbidi \froman\fcharset161\fprq2 Cambria Math Greek;}{\f645\fbidi \froman\fcharset162\fprq2 Cambria Math Tur;}{\f648\fbidi \froman\fcharset186\fprq2 Cambria Math Baltic;}{\f649\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16658872 HideTWBExt;}{\*\cs18 \additive \v\f1\fs20\cf15 _x000d__x000a_\spriority0 \styrsid16658872 HideTWBInt;}{\s19\ql \li0\ri0\sa120\nowidctlpar\wrapdefault\aspalpha\aspnum\faauto\adjustright\rin0\lin0\itap0 \rtlch\fcs1 \af0\afs20\alang1025 \ltrch\fcs0 \fs24\lang2057\langfe2057\cgrid\langnp2057\langfenp2057 _x000d__x000a_\sbasedon0 \snext19 \spriority0 \styrsid16658872 Normal6a;}{\s20\ql \li0\ri0\nowidctlpar\wrapdefault\aspalpha\aspnum\faauto\adjustright\rin0\lin0\itap0 \rtlch\fcs1 \af0\afs20\alang1025 \ltrch\fcs0 \b\fs24\lang2057\langfe2057\cgrid\langnp2057\langfenp2057 _x000d__x000a_\sbasedon0 \snext20 \spriority0 \styrsid16658872 NormalBold;}{\s21\ql \li0\ri0\sa240\nowidctlpar\wrapdefault\aspalpha\aspnum\faauto\adjustright\rin0\lin0\itap0 \rtlch\fcs1 \af0\afs20\alang1025 \ltrch\fcs0 _x000d__x000a_\i\fs24\lang2057\langfe2057\cgrid\langnp2057\langfenp2057 \sbasedon0 \snext21 \spriority0 \styrsid16658872 AmJustText;}{\s22\qc \li0\ri0\sb240\sa240\nowidctlpar\wrapdefault\aspalpha\aspnum\faauto\adjustright\rin0\lin0\itap0 \rtlch\fcs1 _x000d__x000a_\af0\afs20\alang1025 \ltrch\fcs0 \i\fs24\lang2057\langfe2057\cgrid\langnp2057\langfenp2057 \sbasedon0 \snext22 \spriority0 \styrsid16658872 AmCrossRef;}{_x000d__x000a_\s23\qc \li0\ri0\sb240\sa240\keepn\nowidctlpar\wrapdefault\aspalpha\aspnum\faauto\adjustright\rin0\lin0\itap0 \rtlch\fcs1 \af0\afs20\alang1025 \ltrch\fcs0 \i\fs24\lang2057\langfe2057\cgrid\langnp2057\langfenp2057 _x000d__x000a_\sbasedon0 \snext21 \spriority0 \styrsid16658872 AmJustTitle;}{\s24\qr \li0\ri0\sb240\sa240\nowidctlpar\wrapdefault\aspalpha\aspnum\faauto\adjustright\rin0\lin0\itap0 \rtlch\fcs1 \af0\afs20\alang1025 \ltrch\fcs0 _x000d__x000a_\fs24\lang2057\langfe2057\cgrid\langnp2057\langfenp2057 \sbasedon0 \snext24 \spriority0 \styrsid16658872 AmOrLang;}{\s25\qc \li0\ri0\sa240\nowidctlpar\wrapdefault\aspalpha\aspnum\faauto\adjustright\rin0\lin0\itap0 \rtlch\fcs1 \af0\afs20\alang1025 _x000d__x000a_\ltrch\fcs0 \i\fs24\lang2057\langfe2057\cgrid\langnp2057\langfenp2057 \sbasedon0 \snext25 \spriority0 \styrsid16658872 AmColumnHeading;}{\s26\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6 \spriority0 \styrsid16658872 AmNumberTabs;}{\s27\ql \li0\ri0\sb240\nowidctlpar\wrapdefault\aspalpha\aspnum\faauto\adjustright\rin0\lin0\itap0 \rtlch\fcs1 _x000d__x000a_\af0\afs20\alang1025 \ltrch\fcs0 \b\fs24\lang2057\langfe2057\cgrid\langnp2057\langfenp2057 \sbasedon0 \snext27 \spriority0 \styrsid16658872 NormalBold12b;}}{\*\rsidtbl \rsid24658\rsid223860\rsid735077\rsid1718133\rsid2892074\rsid3565327\rsid4666813_x000d__x000a_\rsid6641733\rsid7602181\rsid7823322\rsid9636012\rsid10377208\rsid11215221\rsid11549030\rsid12154954\rsid14382809\rsid14424199\rsid15204470\rsid15285974\rsid15950462\rsid16324206\rsid16658872\rsid16662270}{\mmathPr\mmathFont34\mbrkBin0\mbrkBinSub0_x000d__x000a_\msmallFrac0\mdispDef1\mlMargin0\mrMargin0\mdefJc1\mwrapIndent1440\mintLim0\mnaryLim1}{\info{\author TURLUI Emil-Gabriel}{\operator TURLUI Emil-Gabriel}{\creatim\yr2023\mo9\dy8\hr15\min57}{\revtim\yr2023\mo9\dy8\hr15\min57}{\version1}{\edmins0}_x000d__x000a_{\nofpages1}{\nofwords104}{\nofchars596}{\nofcharsws699}{\vern109}}{\*\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16658872\newtblstyruls\nogrowautofit\usenormstyforlist\noindnmbrts\felnbrelev\nocxsptable\indrlsweleven\noafcnsttbl\afelev\utinl\hwelev\spltpgpar\notcvasp\notbrkcnstfrctbl\notvatxbx\krnprsnet\cachedcolbal _x000d__x000a_\nouicompat \fet0{\*\wgrffmtfilter 013f}\nofeaturethrottle1\ilfomacatclnup0{\*\template C:\\Users\\gturlui\\AppData\\Local\\Temp\\Blank1.dotx}{\*\ftnsep \ltrpar \pard\plain \ltrpar_x000d__x000a_\ql \li0\ri0\widctlpar\wrapdefault\aspalpha\aspnum\faauto\adjustright\rin0\lin0\itap0 \rtlch\fcs1 \af0\afs20\alang1025 \ltrch\fcs0 \fs24\lang2057\langfe2057\cgrid\langnp2057\langfenp2057 {\rtlch\fcs1 \af0 \ltrch\fcs0 \insrsid7602181 \chftnsep _x000d__x000a_\par }}{\*\ftnsepc \ltrpar \pard\plain \ltrpar\ql \li0\ri0\widctlpar\wrapdefault\aspalpha\aspnum\faauto\adjustright\rin0\lin0\itap0 \rtlch\fcs1 \af0\afs20\alang1025 \ltrch\fcs0 \fs24\lang2057\langfe2057\cgrid\langnp2057\langfenp2057 {\rtlch\fcs1 \af0 _x000d__x000a_\ltrch\fcs0 \insrsid7602181 \chftnsepc _x000d__x000a_\par }}{\*\aftnsep \ltrpar \pard\plain \ltrpar\ql \li0\ri0\widctlpar\wrapdefault\aspalpha\aspnum\faauto\adjustright\rin0\lin0\itap0 \rtlch\fcs1 \af0\afs20\alang1025 \ltrch\fcs0 \fs24\lang2057\langfe2057\cgrid\langnp2057\langfenp2057 {\rtlch\fcs1 \af0 _x000d__x000a_\ltrch\fcs0 \insrsid7602181 \chftnsep _x000d__x000a_\par }}{\*\aftnsepc \ltrpar \pard\plain \ltrpar\ql \li0\ri0\widctlpar\wrapdefault\aspalpha\aspnum\faauto\adjustright\rin0\lin0\itap0 \rtlch\fcs1 \af0\afs20\alang1025 \ltrch\fcs0 \fs24\lang2057\langfe2057\cgrid\langnp2057\langfenp2057 {\rtlch\fcs1 \af0 _x000d__x000a_\ltrch\fcs0 \insrsid7602181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6\ql \li0\ri0\sb240\keepn\nowidctlpar_x000d__x000a_\tx879\tx936\tx1021\tx1077\tx1134\tx1191\tx1247\tx1304\tx1361\tx1418\tx1474\tx1531\tx1588\tx1644\tx1701\tx1758\tx1814\tx1871\tx2070\tx2126\tx3374\tx3430\wrapdefault\aspalpha\aspnum\faauto\adjustright\rin0\lin0\itap0\pararsid16658872 \rtlch\fcs1 _x000d__x000a_\af0\afs20\alang1025 \ltrch\fcs0 \b\fs24\lang2057\langfe2057\cgrid\langnp2057\langfenp2057 {\rtlch\fcs1 \af0 \ltrch\fcs0 \cs17\b0\v\fs20\cf9\lang1024\langfe1024\loch\af1\hich\af1\dbch\af31501\noproof\insrsid16658872\charrsid6768093 {\*\bkmkstart restart}_x000d__x000a_\hich\af1\dbch\af31501\loch\f1 &lt;Amend&gt;}{\rtlch\fcs1 \af0 \ltrch\fcs0 \insrsid16658872\charrsid6768093 Amendment\tab \tab }{\rtlch\fcs1 \af0 \ltrch\fcs0 _x000d__x000a_\cs17\b0\v\fs20\cf9\lang1024\langfe1024\loch\af1\hich\af1\dbch\af31501\noproof\insrsid16658872\charrsid6768093 \hich\af1\dbch\af31501\loch\f1 &lt;NumAm&gt;}{\rtlch\fcs1 \af0 \ltrch\fcs0 \insrsid16658872\charrsid6768093 #}{\rtlch\fcs1 \af1 \ltrch\fcs0 _x000d__x000a_\cs18\v\f1\fs20\cf15\insrsid16658872\charrsid6768093 ENMIENDA@NRAM@}{\rtlch\fcs1 \af0 \ltrch\fcs0 \insrsid16658872\charrsid6768093 #}{\rtlch\fcs1 \af0 \ltrch\fcs0 _x000d__x000a_\cs17\b0\v\fs20\cf9\lang1024\langfe1024\loch\af1\hich\af1\dbch\af31501\noproof\insrsid16658872\charrsid6768093 \hich\af1\dbch\af31501\loch\f1 &lt;/NumAm&gt;}{\rtlch\fcs1 \af0 \ltrch\fcs0 \insrsid16658872\charrsid6768093 _x000d__x000a_\par }\pard\plain \ltrpar\s27\ql \li0\ri0\sb240\keepn\nowidctlpar\wrapdefault\aspalpha\aspnum\faauto\adjustright\rin0\lin0\itap0\pararsid16658872 \rtlch\fcs1 \af0\afs20\alang1025 \ltrch\fcs0 \b\fs24\lang2057\langfe2057\cgrid\langnp2057\langfenp2057 {_x000d__x000a_\rtlch\fcs1 \af0 \ltrch\fcs0 \cs17\b0\v\fs20\cf9\lang1024\langfe1024\loch\af1\hich\af1\dbch\af31501\noproof\insrsid16658872\charrsid6768093 \hich\af1\dbch\af31501\loch\f1 &lt;DocAmend&gt;}{\rtlch\fcs1 \af0 \ltrch\fcs0 \insrsid16658872\charrsid6768093 _x000d__x000a_Proposal for a #}{\rtlch\fcs1 \af1 \ltrch\fcs0 \cs18\v\f1\fs20\cf15\insrsid16658872\charrsid6768093 MNU[DOC1][DOC2][DOC3]@DOCMSG@DOCMNU}{\rtlch\fcs1 \af0 \ltrch\fcs0 \insrsid16658872\charrsid6768093 ##}{\rtlch\fcs1 \af1 \ltrch\fcs0 _x000d__x000a_\cs18\v\f1\fs20\cf15\insrsid16658872\charrsid6768093 MNU[AMACTYES][NOTAPP]@CHOICE@AMACTMNU}{\rtlch\fcs1 \af0 \ltrch\fcs0 \insrsid16658872\charrsid6768093 #}{\rtlch\fcs1 \af0 \ltrch\fcs0 _x000d__x000a_\cs17\b0\v\fs20\cf9\lang1024\langfe1024\loch\af1\hich\af1\dbch\af31501\noproof\insrsid16658872\charrsid6768093 \hich\af1\dbch\af31501\loch\f1 &lt;/DocAmend&gt;}{\rtlch\fcs1 \af0 \ltrch\fcs0 \insrsid16658872\charrsid6768093 _x000d__x000a_\par }\pard\plain \ltrpar\s20\ql \li0\ri0\keepn\nowidctlpar\wrapdefault\aspalpha\aspnum\faauto\adjustright\rin0\lin0\itap0\pararsid16658872 \rtlch\fcs1 \af0\afs20\alang1025 \ltrch\fcs0 \b\fs24\lang2057\langfe2057\cgrid\langnp2057\langfenp2057 {\rtlch\fcs1 _x000d__x000a_\af0 \ltrch\fcs0 \cs17\b0\v\fs20\cf9\lang1024\langfe1024\loch\af1\hich\af1\dbch\af31501\noproof\insrsid16658872\charrsid6768093 \hich\af1\dbch\af31501\loch\f1 &lt;Article&gt;}{\rtlch\fcs1 \af0 \ltrch\fcs0 \insrsid16658872\charrsid6768093 #}{\rtlch\fcs1 \af1 _x000d__x000a_\ltrch\fcs0 \cs18\v\f1\fs20\cf15\insrsid16658872\charrsid6768093 MNU[AMACTPARTYES][AMACTPARTNO]@CHOICE@AMACTMNU}{\rtlch\fcs1 \af0 \ltrch\fcs0 \insrsid16658872\charrsid6768093 #}{\rtlch\fcs1 \af0 \ltrch\fcs0 _x000d__x000a_\cs17\b0\v\fs20\cf9\lang1024\langfe1024\loch\af1\hich\af1\dbch\af31501\noproof\insrsid16658872\charrsid6768093 \hich\af1\dbch\af31501\loch\f1 &lt;/Article&gt;}{\rtlch\fcs1 \af0 \ltrch\fcs0 \insrsid16658872\charrsid6768093 _x000d__x000a_\par }\pard\plain \ltrpar\ql \li0\ri0\keepn\widctlpar\wrapdefault\aspalpha\aspnum\faauto\adjustright\rin0\lin0\itap0\pararsid16658872 \rtlch\fcs1 \af0\afs20\alang1025 \ltrch\fcs0 \fs24\lang2057\langfe2057\cgrid\langnp2057\langfenp2057 {\rtlch\fcs1 \af0 _x000d__x000a_\ltrch\fcs0 \cs17\v\fs20\cf9\lang1024\langfe1024\loch\af1\hich\af1\dbch\af31501\noproof\insrsid16658872\charrsid6768093 \hich\af1\dbch\af31501\loch\f1 &lt;DocAmend2&gt;&lt;OptDel&gt;}{\rtlch\fcs1 \af0 \ltrch\fcs0 \insrsid16658872\charrsid6768093 #}{\rtlch\fcs1 \af1 _x000d__x000a_\ltrch\fcs0 \cs18\v\f1\fs20\cf15\insrsid16658872\charrsid6768093 MNU[OPTNRACTYES][NOTAPP]@CHOICE@AMACTMNU}{\rtlch\fcs1 \af0 \ltrch\fcs0 \insrsid16658872\charrsid6768093 #}{\rtlch\fcs1 \af0 \ltrch\fcs0 _x000d__x000a_\cs17\v\fs20\cf9\lang1024\langfe1024\loch\af1\hich\af1\dbch\af31501\noproof\insrsid16658872\charrsid6768093 \hich\af1\dbch\af31501\loch\f1 &lt;/OptDel&gt;&lt;/DocAmend2&gt;}{\rtlch\fcs1 \af0 \ltrch\fcs0 \insrsid16658872\charrsid6768093 _x000d__x000a_\par }\pard \ltrpar\ql \li0\ri0\widctlpar\wrapdefault\aspalpha\aspnum\faauto\adjustright\rin0\lin0\itap0\pararsid16658872 {\rtlch\fcs1 \af0 \ltrch\fcs0 \cs17\v\fs20\cf9\lang1024\langfe1024\loch\af1\hich\af1\dbch\af31501\noproof\insrsid16658872\charrsid6768093 _x000d__x000a_\hich\af1\dbch\af31501\loch\f1 &lt;Article2&gt;&lt;OptDel&gt;}{\rtlch\fcs1 \af0 \ltrch\fcs0 \insrsid16658872\charrsid6768093 #}{\rtlch\fcs1 \af1 \ltrch\fcs0 \cs18\v\f1\fs20\cf15\insrsid16658872\charrsid6768093 MNU[OPTACTPARTYES][NOTAPP]@CHOICE@AMACTMNU}{\rtlch\fcs1 _x000d__x000a_\af0 \ltrch\fcs0 \insrsid16658872\charrsid6768093 #}{\rtlch\fcs1 \af0 \ltrch\fcs0 \cs17\v\fs20\cf9\lang1024\langfe1024\loch\af1\hich\af1\dbch\af31501\noproof\insrsid16658872\charrsid6768093 \hich\af1\dbch\af31501\loch\f1 &lt;/OptDel&gt;&lt;/Article2&gt;}{\rtlch\fcs1 _x000d__x000a_\af0 \ltrch\fcs0 \insrsid16658872\charrsid6768093 _x000d__x000a_\par \ltrrow}\trowd \irow0\irowband0\ltrrow\ts11\trqc\trgaph340\trleft0\trftsWidth3\trwWidth9752\trftsWidthB3\trpaddl340\trpaddr340\trpaddfl3\trpaddft3\trpaddfb3\trpaddfr3\tblrsid2517430\tblind0\tblindtype3 \clvertalt\clbrdrt\brdrtbl \clbrdrl\brdrtbl \clbrdrb_x000d__x000a_\brdrtbl \clbrdrr\brdrtbl \cltxlrtb\clftsWidth3\clwWidth9752\clshdrawnil \cellx9752\pard\plain \ltrpar\ql \li0\ri0\keepn\widctlpar\intbl\wrapdefault\aspalpha\aspnum\faauto\adjustright\rin0\lin0\pararsid14315216 \rtlch\fcs1 \af0\afs20\alang1025 _x000d__x000a_\ltrch\fcs0 \fs24\lang2057\langfe2057\cgrid\langnp2057\langfenp2057 {\rtlch\fcs1 \af0 \ltrch\fcs0 \insrsid16658872\charrsid6768093 \cell }\pard\plain \ltrpar\ql \li0\ri0\widctlpar\intbl\wrapdefault\aspalpha\aspnum\faauto\adjustright\rin0\lin0 \rtlch\fcs1 _x000d__x000a_\af0\afs20\alang1025 \ltrch\fcs0 \fs24\lang2057\langfe2057\cgrid\langnp2057\langfenp2057 {\rtlch\fcs1 \af0 \ltrch\fcs0 \insrsid16658872\charrsid6768093 \trowd \irow0\irowband0\ltrrow_x000d__x000a_\ts11\trqc\trgaph340\trleft0\trftsWidth3\trwWidth9752\trftsWidthB3\trpaddl340\trpaddr340\trpaddfl3\trpaddft3\trpaddfb3\trpaddfr3\tblrsid2517430\tblind0\tblindtype3 \clvertalt\clbrdrt\brdrtbl \clbrdrl\brdrtbl \clbrdrb\brdrtbl \clbrdrr\brdrtbl _x000d__x000a_\cltxlrtb\clftsWidth3\clwWidth9752\clshdrawnil \cellx9752\row \ltrrow}\trowd \irow1\irowband1\ltrrow_x000d__x000a_\ts11\trqc\trgaph340\trleft0\trftsWidth3\trwWidth9752\trftsWidthB3\trpaddl340\trpaddr340\trpaddfl3\trpaddft3\trpaddfb3\trpaddfr3\tblrsid2517430\tblind0\tblindtype3 \clvertalt\clbrdrt\brdrtbl \clbrdrl\brdrtbl \clbrdrb\brdrtbl \clbrdrr\brdrtbl _x000d__x000a_\cltxlrtb\clftsWidth3\clwWidth4876\clshdrawnil \cellx4876\clvertalt\clbrdrt\brdrtbl \clbrdrl\brdrtbl \clbrdrb\brdrtbl \clbrdrr\brdrtbl \cltxlrtb\clftsWidth3\clwWidth4876\clshdrawnil \cellx9752\pard\plain \ltrpar_x000d__x000a_\s25\qc \li0\ri0\sa240\keepn\nowidctlpar\intbl\wrapdefault\aspalpha\aspnum\faauto\adjustright\rin0\lin0\pararsid14315216 \rtlch\fcs1 \af0\afs20\alang1025 \ltrch\fcs0 \i\fs24\lang2057\langfe2057\cgrid\langnp2057\langfenp2057 {\rtlch\fcs1 \af0 \ltrch\fcs0 _x000d__x000a_\insrsid16658872\charrsid6768093 #}{\rtlch\fcs1 \af1 \ltrch\fcs0 \cs18\v\f1\fs20\cf15\insrsid16658872\charrsid6768093 MNU[OPTLEFTAMACT][LEFTPROP]@CHOICE@AMACTMNU}{\rtlch\fcs1 \af0 \ltrch\fcs0 \insrsid16658872\charrsid6768093 #\cell Amendment\cell _x000d__x000a_}\pard\plain \ltrpar\ql \li0\ri0\widctlpar\intbl\wrapdefault\aspalpha\aspnum\faauto\adjustright\rin0\lin0 \rtlch\fcs1 \af0\afs20\alang1025 \ltrch\fcs0 \fs24\lang2057\langfe2057\cgrid\langnp2057\langfenp2057 {\rtlch\fcs1 \af0 \ltrch\fcs0 _x000d__x000a_\insrsid16658872\charrsid6768093 \trowd \irow1\irowband1\ltrrow\ts11\trqc\trgaph340\trleft0\trftsWidth3\trwWidth9752\trftsWidthB3\trpaddl340\trpaddr340\trpaddfl3\trpaddft3\trpaddfb3\trpaddfr3\tblrsid2517430\tblind0\tblindtype3 \clvertalt\clbrdrt\brdrtbl _x000d__x000a_\clbrdrl\brdrtbl \clbrdrb\brdrtbl \clbrdrr\brdrtbl \cltxlrtb\clftsWidth3\clwWidth4876\clshdrawnil \cellx4876\clvertalt\clbrdrt\brdrtbl \clbrdrl\brdrtbl \clbrdrb\brdrtbl \clbrdrr\brdrtbl \cltxlrtb\clftsWidth3\clwWidth4876\clshdrawnil \cellx9752\row \ltrrow_x000d__x000a_}\pard\plain \ltrpar\s19\ql \li0\ri0\sa120\nowidctlpar\intbl\wrapdefault\aspalpha\aspnum\faauto\adjustright\rin0\lin0\pararsid2517430 \rtlch\fcs1 \af0\afs20\alang1025 \ltrch\fcs0 \fs24\lang2057\langfe2057\cgrid\langnp2057\langfenp2057 {\rtlch\fcs1 \af0 _x000d__x000a_\ltrch\fcs0 \insrsid16658872\charrsid6768093 ##\cell ##}{\rtlch\fcs1 \af0\afs24 \ltrch\fcs0 \insrsid16658872\charrsid6768093 \cell }\pard\plain \ltrpar\ql \li0\ri0\widctlpar\intbl\wrapdefault\aspalpha\aspnum\faauto\adjustright\rin0\lin0 \rtlch\fcs1 _x000d__x000a_\af0\afs20\alang1025 \ltrch\fcs0 \fs24\lang2057\langfe2057\cgrid\langnp2057\langfenp2057 {\rtlch\fcs1 \af0 \ltrch\fcs0 \insrsid16658872\charrsid6768093 \trowd \irow2\irowband2\lastrow \ltrrow_x000d__x000a_\ts11\trqc\trgaph340\trleft0\trftsWidth3\trwWidth9752\trftsWidthB3\trpaddl340\trpaddr340\trpaddfl3\trpaddft3\trpaddfb3\trpaddfr3\tblrsid2517430\tblind0\tblindtype3 \clvertalt\clbrdrt\brdrtbl \clbrdrl\brdrtbl \clbrdrb\brdrtbl \clbrdrr\brdrtbl _x000d__x000a_\cltxlrtb\clftsWidth3\clwWidth4876\clshdrawnil \cellx4876\clvertalt\clbrdrt\brdrtbl \clbrdrl\brdrtbl \clbrdrb\brdrtbl \clbrdrr\brdrtbl \cltxlrtb\clftsWidth3\clwWidth4876\clshdrawnil \cellx9752\row }\pard\plain \ltrpar_x000d__x000a_\s24\qr \li0\ri0\sb240\sa240\nowidctlpar\wrapdefault\aspalpha\aspnum\faauto\adjustright\rin0\lin0\itap0\pararsid16658872 \rtlch\fcs1 \af0\afs20\alang1025 \ltrch\fcs0 \fs24\lang2057\langfe2057\cgrid\langnp2057\langfenp2057 {\rtlch\fcs1 \af0 \ltrch\fcs0 _x000d__x000a_\insrsid16658872\charrsid6768093 Or. }{\rtlch\fcs1 \af0 \ltrch\fcs0 \cs17\v\fs20\cf9\lang1024\langfe1024\loch\af1\hich\af1\dbch\af31501\noproof\insrsid16658872\charrsid6768093 \hich\af1\dbch\af31501\loch\f1 &lt;Original&gt;}{\rtlch\fcs1 \af0 \ltrch\fcs0 _x000d__x000a_\insrsid16658872\charrsid6768093 #}{\rtlch\fcs1 \af1 \ltrch\fcs0 \cs18\v\f1\fs20\cf15\insrsid16658872\charrsid6768093 MNU[ORLANGONE][ORLANGMORE]@CHOICE@ORLANGMNU}{\rtlch\fcs1 \af0 \ltrch\fcs0 \insrsid16658872\charrsid6768093 #}{\rtlch\fcs1 \af0 _x000d__x000a_\ltrch\fcs0 \cs17\v\fs20\cf9\lang1024\langfe1024\loch\af1\hich\af1\dbch\af31501\noproof\insrsid16658872\charrsid6768093 \hich\af1\dbch\af31501\loch\f1 &lt;/Original&gt;}{\rtlch\fcs1 \af0 \ltrch\fcs0 \insrsid16658872\charrsid6768093 _x000d__x000a_\par }\pard\plain \ltrpar\s22\qc \li0\ri0\sb240\sa240\nowidctlpar\wrapdefault\aspalpha\aspnum\faauto\adjustright\rin0\lin0\itap0\pararsid16658872 \rtlch\fcs1 \af0\afs20\alang1025 \ltrch\fcs0 \i\fs24\lang2057\langfe2057\cgrid\langnp2057\langfenp2057 {_x000d__x000a_\rtlch\fcs1 \af0 \ltrch\fcs0 \cs17\i0\v\fs20\cf9\lang1024\langfe1024\loch\af1\hich\af1\dbch\af31501\noproof\insrsid16658872\charrsid6768093 \hich\af1\dbch\af31501\loch\f1 &lt;OptDel&gt;}{\rtlch\fcs1 \af0 \ltrch\fcs0 \insrsid16658872\charrsid6768093 #}{_x000d__x000a_\rtlch\fcs1 \af1 \ltrch\fcs0 \cs18\v\f1\fs20\cf15\insrsid16658872\charrsid6768093 MNU[CROSSREFNO][CROSSREFYES]@CHOICE@}{\rtlch\fcs1 \af0 \ltrch\fcs0 \insrsid16658872\charrsid6768093 #}{\rtlch\fcs1 \af0 \ltrch\fcs0 _x000d__x000a_\cs17\i0\v\fs20\cf9\lang1024\langfe1024\loch\af1\hich\af1\dbch\af31501\noproof\insrsid16658872\charrsid6768093 \hich\af1\dbch\af31501\loch\f1 &lt;/OptDel&gt;}{\rtlch\fcs1 \af0 \ltrch\fcs0 \insrsid16658872\charrsid6768093 _x000d__x000a_\par }\pard\plain \ltrpar\s23\qc \li0\ri0\sb240\sa240\keepn\nowidctlpar\wrapdefault\aspalpha\aspnum\faauto\adjustright\rin0\lin0\itap0\pararsid16658872 \rtlch\fcs1 \af0\afs20\alang1025 \ltrch\fcs0 \i\fs24\lang2057\langfe2057\cgrid\langnp2057\langfenp2057 {_x000d__x000a_\rtlch\fcs1 \af0 \ltrch\fcs0 \cs17\i0\v\fs20\cf9\lang1024\langfe1024\loch\af1\hich\af1\dbch\af31501\noproof\insrsid16658872\charrsid6768093 \hich\af1\dbch\af31501\loch\f1 &lt;TitreJust&gt;}{\rtlch\fcs1 \af0 \ltrch\fcs0 \insrsid16658872\charrsid6768093 _x000d__x000a_Justification}{\rtlch\fcs1 \af0 \ltrch\fcs0 \cs17\i0\v\fs20\cf9\lang1024\langfe1024\loch\af1\hich\af1\dbch\af31501\noproof\insrsid16658872\charrsid6768093 \hich\af1\dbch\af31501\loch\f1 &lt;/TitreJust&gt;}{\rtlch\fcs1 \af0 \ltrch\fcs0 _x000d__x000a_\insrsid16658872\charrsid6768093 _x000d__x000a_\par }\pard\plain \ltrpar\s21\ql \li0\ri0\sa240\nowidctlpar\wrapdefault\aspalpha\aspnum\faauto\adjustright\rin0\lin0\itap0\pararsid16658872 \rtlch\fcs1 \af0\afs20\alang1025 \ltrch\fcs0 \i\fs24\lang2057\langfe2057\cgrid\langnp2057\langfenp2057 {\rtlch\fcs1 _x000d__x000a_\af0 \ltrch\fcs0 \cs17\i0\v\fs20\cf9\lang1024\langfe1024\loch\af1\hich\af1\dbch\af31501\noproof\insrsid16658872\charrsid6768093 \hich\af1\dbch\af31501\loch\f1 &lt;OptDelPrev&gt;}{\rtlch\fcs1 \af0 \ltrch\fcs0 \insrsid16658872\charrsid6768093 #}{\rtlch\fcs1 \af1 _x000d__x000a_\ltrch\fcs0 \cs18\v\f1\fs20\cf15\insrsid16658872\charrsid6768093 MNU[TEXTJUSTYES][TEXTJUSTNO]@CHOICE@}{\rtlch\fcs1 \af0 \ltrch\fcs0 \insrsid16658872\charrsid6768093 #}{\rtlch\fcs1 \af0 \ltrch\fcs0 _x000d__x000a_\cs17\i0\v\fs20\cf9\lang1024\langfe1024\loch\af1\hich\af1\dbch\af31501\noproof\insrsid16658872\charrsid6768093 \hich\af1\dbch\af31501\loch\f1 &lt;/OptDelPrev&gt;}{\rtlch\fcs1 \af0 \ltrch\fcs0 \insrsid16658872\charrsid6768093 _x000d__x000a_\par }\pard\plain \ltrpar\ql \li0\ri0\widctlpar\wrapdefault\aspalpha\aspnum\faauto\adjustright\rin0\lin0\itap0\pararsid16658872 \rtlch\fcs1 \af0\afs20\alang1025 \ltrch\fcs0 \fs24\lang2057\langfe2057\cgrid\langnp2057\langfenp2057 {\rtlch\fcs1 \af0 \ltrch\fcs0 _x000d__x000a_\cs17\v\fs20\cf9\lang1024\langfe1024\loch\af1\hich\af1\dbch\af31501\noproof\insrsid16658872\charrsid6768093 \hich\af1\dbch\af31501\loch\f1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30a2_x000d__x000a_bc655ce2d9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1615661 HideTWBExt;}{\s16\ql \li0\ri0\sa120\nowidctlpar\wrapdefault\aspalpha\aspnum\faauto\adjustright\rin0\lin0\itap0 \rtlch\fcs1 \af0\afs20\alang1025 \ltrch\fcs0 _x000d__x000a_\fs24\lang2057\langfe2057\cgrid\langnp2057\langfenp2057 \sbasedon0 \snext16 \spriority0 \styrsid11615661 Normal6a;}{\s17\ql \li0\ri0\nowidctlpar\wrapdefault\aspalpha\aspnum\faauto\adjustright\rin0\lin0\itap0 \rtlch\fcs1 \af0\afs20\alang1025 \ltrch\fcs0 _x000d__x000a_\b\fs24\lang2057\langfe2057\cgrid\langnp2057\langfenp2057 \sbasedon0 \snext17 \spriority0 \styrsid11615661 NormalBold;}{\s18\ql \li0\ri0\sa240\nowidctlpar\wrapdefault\aspalpha\aspnum\faauto\adjustright\rin0\lin0\itap0 \rtlch\fcs1 \af0\afs20\alang1025 _x000d__x000a_\ltrch\fcs0 \i\fs24\lang2057\langfe2057\cgrid\langnp2057\langfenp2057 \sbasedon0 \snext18 \spriority0 \styrsid11615661 AmJustText;}{\s19\qc \li0\ri0\sb240\sa240\nowidctlpar\wrapdefault\aspalpha\aspnum\faauto\adjustright\rin0\lin0\itap0 \rtlch\fcs1 _x000d__x000a_\af0\afs20\alang1025 \ltrch\fcs0 \i\fs24\lang2057\langfe2057\cgrid\langnp2057\langfenp2057 \sbasedon0 \snext19 \spriority0 \styrsid11615661 AmCrossRef;}{_x000d__x000a_\s20\qc \li0\ri0\sb240\sa240\keepn\nowidctlpar\wrapdefault\aspalpha\aspnum\faauto\adjustright\rin0\lin0\itap0 \rtlch\fcs1 \af0\afs20\alang1025 \ltrch\fcs0 \i\fs24\lang2057\langfe2057\cgrid\langnp2057\langfenp2057 _x000d__x000a_\sbasedon0 \snext18 \spriority0 \styrsid11615661 AmJustTitle;}{\s21\qr \li0\ri0\sb240\sa240\nowidctlpar\wrapdefault\aspalpha\aspnum\faauto\adjustright\rin0\lin0\itap0 \rtlch\fcs1 \af0\afs20\alang1025 \ltrch\fcs0 _x000d__x000a_\fs24\lang2057\langfe2057\cgrid\langnp2057\langfenp2057 \sbasedon0 \snext21 \spriority0 \styrsid11615661 AmOrLang;}{\s22\qc \li0\ri0\sa240\nowidctlpar\wrapdefault\aspalpha\aspnum\faauto\adjustright\rin0\lin0\itap0 \rtlch\fcs1 \af0\afs20\alang1025 _x000d__x000a_\ltrch\fcs0 \i\fs24\lang2057\langfe2057\cgrid\langnp2057\langfenp2057 \sbasedon0 \snext22 \spriority0 \styrsid11615661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11615661 AmNumberTabs;}{\s24\ql \li0\ri0\sb240\nowidctlpar\wrapdefault\aspalpha\aspnum\faauto\adjustright\rin0\lin0\itap0 \rtlch\fcs1 _x000d__x000a_\af0\afs20\alang1025 \ltrch\fcs0 \b\fs24\lang2057\langfe2057\cgrid\langnp2057\langfenp2057 \sbasedon0 \snext24 \spriority0 \styrsid11615661 NormalBold12b;}}{\*\rsidtbl \rsid24658\rsid358857\rsid735077\rsid787282\rsid2101837\rsid2892074\rsid3622648_x000d__x000a_\rsid4666813\rsid5708216\rsid6641733\rsid7553164\rsid8465581\rsid8681905\rsid8724649\rsid9636012\rsid9862312\rsid11215221\rsid11370291\rsid11434737\rsid11607138\rsid11615661\rsid11824949\rsid12154954\rsid14424199\rsid15204470\rsid15285974\rsid15535219_x000d__x000a_\rsid15950462\rsid16324206\rsid16662270}{\mmathPr\mmathFont34\mbrkBin0\mbrkBinSub0\msmallFrac0\mdispDef1\mlMargin0\mrMargin0\mdefJc1\mwrapIndent1440\mintLim0\mnaryLim1}{\info{\author FELIX Karina}{\operator FELIX Karina}_x000d__x000a_{\creatim\yr2019\mo7\dy3\hr20\min19}{\revtim\yr2019\mo7\dy3\hr20\min19}{\version1}{\edmins0}{\nofpages1}{\nofwords32}{\nofchars369}{\*\company European Parliament}{\nofcharsws373}{\vern97}}{\*\xmlnstbl {\xmlns1 http://schemas.microsoft.com/office/word/200_x000d__x000a_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1615661\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101837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101837 \chftnsepc _x000d__x000a_\par }}{\*\aftnsep \ltrpar \pard\plain \ltrpar\ql \li0\ri0\widctlpar\wrapdefault\aspalpha\aspnum\faauto\adjustright\rin0\lin0\itap0 \rtlch\fcs1 \af0\afs20\alang1025 \ltrch\fcs0 \fs24\lang2057\langfe2057\cgrid\langnp2057\langfenp2057 {\rtlch\fcs1 \af0 _x000d__x000a_\ltrch\fcs0 \insrsid2101837 \chftnsep _x000d__x000a_\par }}{\*\aftnsepc \ltrpar \pard\plain \ltrpar\ql \li0\ri0\widctlpar\wrapdefault\aspalpha\aspnum\faauto\adjustright\rin0\lin0\itap0 \rtlch\fcs1 \af0\afs20\alang1025 \ltrch\fcs0 \fs24\lang2057\langfe2057\cgrid\langnp2057\langfenp2057 {\rtlch\fcs1 \af0 _x000d__x000a_\ltrch\fcs0 \insrsid2101837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11615661 \rtlch\fcs1 \af0\afs20\alang1025 \ltrch\fcs0 \b\fs24\lang2057\langfe2057\cgrid\langnp2057\langfenp2057 {\rtlch\fcs1 \af0 \ltrch\fcs0 \cs15\b0\v\f1\fs20\cf9\lang1030\langfe2057\langnp1030\insrsid11615661\charrsid5141309 _x000d__x000a_{\*\bkmkstart restart}&lt;Amend&gt;}{\rtlch\fcs1 \af0 \ltrch\fcs0 \lang1030\langfe2057\langnp1030\insrsid11615661\charrsid5141309 [ZAMENDMENT]\tab \tab }{\rtlch\fcs1 \af0 \ltrch\fcs0 _x000d__x000a_\cs15\b0\v\f1\fs20\cf9\lang1030\langfe2057\langnp1030\insrsid11615661\charrsid5141309 &lt;NumAm&gt;}{\rtlch\fcs1 \af0 \ltrch\fcs0 \lang1030\langfe2057\langnp1030\insrsid11615661\charrsid5141309 [ZNRAM]}{\rtlch\fcs1 \af0 \ltrch\fcs0 _x000d__x000a_\cs15\b0\v\f1\fs20\cf9\lang1030\langfe2057\langnp1030\insrsid11615661\charrsid5141309 &lt;/NumAm&gt;}{\rtlch\fcs1 \af0 \ltrch\fcs0 \lang1030\langfe2057\langnp1030\insrsid11615661\charrsid5141309 _x000d__x000a_\par }\pard\plain \ltrpar\s24\ql \li0\ri0\sb240\keepn\nowidctlpar\wrapdefault\aspalpha\aspnum\faauto\adjustright\rin0\lin0\itap0\pararsid11615661 \rtlch\fcs1 \af0\afs20\alang1025 \ltrch\fcs0 \b\fs24\lang2057\langfe2057\cgrid\langnp2057\langfenp2057 {_x000d__x000a_\rtlch\fcs1 \af0 \ltrch\fcs0 \cs15\b0\v\f1\fs20\cf9\lang1030\langfe2057\langnp1030\insrsid11615661\charrsid5141309 &lt;DocAmend&gt;}{\rtlch\fcs1 \af0 \ltrch\fcs0 \lang1030\langfe2057\langnp1030\insrsid11615661\charrsid5141309 [ZPROPOSAL][ZAMACT]}{\rtlch\fcs1 _x000d__x000a_\af0 \ltrch\fcs0 \cs15\b0\v\f1\fs20\cf9\lang1030\langfe2057\langnp1030\insrsid11615661\charrsid5141309 &lt;/DocAmend&gt;}{\rtlch\fcs1 \af0 \ltrch\fcs0 \lang1030\langfe2057\langnp1030\insrsid11615661\charrsid5141309 _x000d__x000a_\par }\pard\plain \ltrpar\s17\ql \li0\ri0\keepn\nowidctlpar\wrapdefault\aspalpha\aspnum\faauto\adjustright\rin0\lin0\itap0\pararsid11615661 \rtlch\fcs1 \af0\afs20\alang1025 \ltrch\fcs0 \b\fs24\lang2057\langfe2057\cgrid\langnp2057\langfenp2057 {\rtlch\fcs1 _x000d__x000a_\af0 \ltrch\fcs0 \cs15\b0\v\f1\fs20\cf9\lang1030\langfe2057\langnp1030\insrsid11615661\charrsid5141309 &lt;Article&gt;}{\rtlch\fcs1 \af0 \ltrch\fcs0 \lang1030\langfe2057\langnp1030\insrsid11615661\charrsid5141309 [ZAMPART]}{\rtlch\fcs1 \af0 \ltrch\fcs0 _x000d__x000a_\cs15\b0\v\f1\fs20\cf9\lang1030\langfe2057\langnp1030\insrsid11615661\charrsid5141309 &lt;/Article&gt;}{\rtlch\fcs1 \af0 \ltrch\fcs0 \lang1030\langfe2057\langnp1030\insrsid11615661\charrsid5141309 _x000d__x000a_\par }\pard\plain \ltrpar\ql \li0\ri0\keepn\widctlpar\wrapdefault\aspalpha\aspnum\faauto\adjustright\rin0\lin0\itap0\pararsid11615661 \rtlch\fcs1 \af0\afs20\alang1025 \ltrch\fcs0 \fs24\lang2057\langfe2057\cgrid\langnp2057\langfenp2057 {\rtlch\fcs1 \af0 _x000d__x000a_\ltrch\fcs0 \cs15\v\f1\fs20\cf9\lang1043\langfe2057\langnp1043\insrsid11615661\charrsid5141309 &lt;DocAmend2&gt;&lt;OptDel&gt;}{\rtlch\fcs1 \af0 \ltrch\fcs0 \lang1043\langfe2057\langnp1043\insrsid11615661\charrsid5141309 [ZNRACT]}{\rtlch\fcs1 \af0 \ltrch\fcs0 _x000d__x000a_\cs15\v\f1\fs20\cf9\lang1043\langfe2057\langnp1043\insrsid11615661\charrsid5141309 &lt;/OptDel&gt;&lt;/DocAmend2&gt;}{\rtlch\fcs1 \af0 \ltrch\fcs0 \lang1043\langfe2057\langnp1043\insrsid11615661\charrsid5141309 _x000d__x000a_\par }\pard \ltrpar\ql \li0\ri0\widctlpar\wrapdefault\aspalpha\aspnum\faauto\adjustright\rin0\lin0\itap0\pararsid11615661 {\rtlch\fcs1 \af0 \ltrch\fcs0 \cs15\v\f1\fs20\cf9\lang1036\langfe2057\langnp1036\insrsid11615661\charrsid5141309 &lt;Article2&gt;&lt;OptDel&gt;}{_x000d__x000a_\rtlch\fcs1 \af0 \ltrch\fcs0 \lang1036\langfe2057\langnp1036\insrsid11615661\charrsid5141309 [ZACTPART]}{\rtlch\fcs1 \af0 \ltrch\fcs0 \cs15\v\f1\fs20\cf9\lang1036\langfe2057\langnp1036\insrsid11615661\charrsid5141309 &lt;/OptDel&gt;&lt;/Article2&gt;}{\rtlch\fcs1 _x000d__x000a_\af0 \ltrch\fcs0 \lang1036\langfe2057\langnp1036\insrsid11615661\charrsid5141309 _x000d__x000a_\par \ltrrow}\trowd \irow0\irowband0\ltrrow\ts11\trqc\trgaph340\trleft-340\trftsWidth3\trwWidth9752\trftsWidthB3\trpaddl340\trpaddr340\trpaddfl3\trpaddft3\trpaddfb3\trpaddfr3\tblrsid2517430\tblind0\tblindtype3 \clvertalt\clbrdrt\brdrtbl \clbrdrl\brdrtbl _x000d__x000a_\clbrdrb\brdrtbl \clbrdrr\brdrtbl \cltxlrtb\clftsWidth3\clwWidth9752\clshdrawnil \cellx9412\pard\plain \ltrpar\ql \li0\ri0\keepn\widctlpar\intbl\wrapdefault\aspalpha\aspnum\faauto\adjustright\rin0\lin0\pararsid14315216 \rtlch\fcs1 \af0\afs20\alang1025 _x000d__x000a_\ltrch\fcs0 \fs24\lang2057\langfe2057\cgrid\langnp2057\langfenp2057 {\rtlch\fcs1 \af0 \ltrch\fcs0 \lang1036\langfe2057\langnp1036\insrsid11615661\charrsid5141309 \cell }\pard\plain \ltrpar_x000d__x000a_\ql \li0\ri0\widctlpar\intbl\wrapdefault\aspalpha\aspnum\faauto\adjustright\rin0\lin0 \rtlch\fcs1 \af0\afs20\alang1025 \ltrch\fcs0 \fs24\lang2057\langfe2057\cgrid\langnp2057\langfenp2057 {\rtlch\fcs1 \af0 \ltrch\fcs0 \insrsid11615661\charrsid6040559 _x000d__x000a_\trowd \irow0\irowband0\ltrrow\ts11\trqc\trgaph340\trleft-340\trftsWidth3\trwWidth9752\trftsWidthB3\trpaddl340\trpaddr340\trpaddfl3\trpaddft3\trpaddfb3\trpaddfr3\tblrsid2517430\tblind0\tblindtype3 \clvertalt\clbrdrt\brdrtbl \clbrdrl\brdrtbl \clbrdrb_x000d__x000a_\brdrtbl \clbrdrr\brdrtbl \cltxlrtb\clftsWidth3\clwWidth9752\clshdrawnil \cellx9412\row \ltrrow}\trowd \irow1\irowband1\ltrrow_x000d__x000a_\ts11\trqc\trgaph340\trleft-340\trftsWidth3\trwWidth9752\trftsWidthB3\trpaddl340\trpaddr340\trpaddfl3\trpaddft3\trpaddfb3\trpaddfr3\tblrsid2517430\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4315216 \rtlch\fcs1 \af0\afs20\alang1025 \ltrch\fcs0 \i\fs24\lang2057\langfe2057\cgrid\langnp2057\langfenp2057 {\rtlch\fcs1 \af0 \ltrch\fcs0 _x000d__x000a_\insrsid11615661\charrsid4593153 [ZLEFT]\cell [ZRIGHT]\cell }\pard\plain \ltrpar\ql \li0\ri0\widctlpar\intbl\wrapdefault\aspalpha\aspnum\faauto\adjustright\rin0\lin0 \rtlch\fcs1 \af0\afs20\alang1025 \ltrch\fcs0 _x000d__x000a_\fs24\lang2057\langfe2057\cgrid\langnp2057\langfenp2057 {\rtlch\fcs1 \af0 \ltrch\fcs0 \insrsid11615661\charrsid4593153 \trowd \irow1\irowband1\ltrrow_x000d__x000a_\ts11\trqc\trgaph340\trleft-340\trftsWidth3\trwWidth9752\trftsWidthB3\trpaddl340\trpaddr340\trpaddfl3\trpaddft3\trpaddfb3\trpaddfr3\tblrsid2517430\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2517430 \rtlch\fcs1 \af0\afs20\alang1025 \ltrch\fcs0 \fs24\lang2057\langfe2057\cgrid\langnp2057\langfenp2057 {\rtlch\fcs1 \af0 \ltrch\fcs0 _x000d__x000a_\insrsid11615661\charrsid4593153 [ZTEXTL]\cell [ZTEXTR]}{\rtlch\fcs1 \af0\afs24 \ltrch\fcs0 \insrsid11615661\charrsid4593153 \cell }\pard\plain \ltrpar\ql \li0\ri0\widctlpar\intbl\wrapdefault\aspalpha\aspnum\faauto\adjustright\rin0\lin0 \rtlch\fcs1 _x000d__x000a_\af0\afs20\alang1025 \ltrch\fcs0 \fs24\lang2057\langfe2057\cgrid\langnp2057\langfenp2057 {\rtlch\fcs1 \af0 \ltrch\fcs0 \insrsid11615661\charrsid4593153 \trowd \irow2\irowband2\lastrow \ltrrow_x000d__x000a_\ts11\trqc\trgaph340\trleft-340\trftsWidth3\trwWidth9752\trftsWidthB3\trpaddl340\trpaddr340\trpaddfl3\trpaddft3\trpaddfb3\trpaddfr3\tblrsid2517430\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11615661 \rtlch\fcs1 \af0\afs20\alang1025 \ltrch\fcs0 \fs24\lang2057\langfe2057\cgrid\langnp2057\langfenp2057 {\rtlch\fcs1 \af0 \ltrch\fcs0 _x000d__x000a_\insrsid11615661\charrsid4593153 Or. }{\rtlch\fcs1 \af0 \ltrch\fcs0 \cs15\v\f1\fs20\cf9\insrsid11615661\charrsid4593153 &lt;Original&gt;}{\rtlch\fcs1 \af0 \ltrch\fcs0 \insrsid11615661\charrsid4593153 [ZORLANG]}{\rtlch\fcs1 \af0 \ltrch\fcs0 _x000d__x000a_\cs15\v\f1\fs20\cf9\insrsid11615661\charrsid4593153 &lt;/Original&gt;}{\rtlch\fcs1 \af0 \ltrch\fcs0 \insrsid11615661\charrsid4593153 _x000d__x000a_\par }\pard\plain \ltrpar\s19\qc \li0\ri0\sb240\sa240\nowidctlpar\wrapdefault\aspalpha\aspnum\faauto\adjustright\rin0\lin0\itap0\pararsid11615661 \rtlch\fcs1 \af0\afs20\alang1025 \ltrch\fcs0 \i\fs24\lang2057\langfe2057\cgrid\langnp2057\langfenp2057 {_x000d__x000a_\rtlch\fcs1 \af0 \ltrch\fcs0 \cs15\i0\v\f1\fs20\cf9\insrsid11615661\charrsid4593153 &lt;OptDel&gt;}{\rtlch\fcs1 \af0 \ltrch\fcs0 \insrsid11615661\charrsid4593153 [ZCROSSREF]}{\rtlch\fcs1 \af0 \ltrch\fcs0 \cs15\i0\v\f1\fs20\cf9\insrsid11615661\charrsid4593153 _x000d__x000a_&lt;/OptDel&gt;}{\rtlch\fcs1 \af0 \ltrch\fcs0 \insrsid11615661\charrsid4593153 _x000d__x000a_\par }\pard\plain \ltrpar\s20\qc \li0\ri0\sb240\sa240\keepn\nowidctlpar\wrapdefault\aspalpha\aspnum\faauto\adjustright\rin0\lin0\itap0\pararsid11615661 \rtlch\fcs1 \af0\afs20\alang1025 \ltrch\fcs0 \i\fs24\lang2057\langfe2057\cgrid\langnp2057\langfenp2057 {_x000d__x000a_\rtlch\fcs1 \af0 \ltrch\fcs0 \cs15\i0\v\f1\fs20\cf9\insrsid11615661\charrsid4593153 &lt;TitreJust&gt;}{\rtlch\fcs1 \af0 \ltrch\fcs0 \insrsid11615661\charrsid4593153 [ZJUSTIFICATION]}{\rtlch\fcs1 \af0 \ltrch\fcs0 _x000d__x000a_\cs15\i0\v\f1\fs20\cf9\insrsid11615661\charrsid4593153 &lt;/TitreJust&gt;}{\rtlch\fcs1 \af0 \ltrch\fcs0 \insrsid11615661\charrsid4593153 _x000d__x000a_\par }\pard\plain \ltrpar\s18\ql \li0\ri0\sa240\nowidctlpar\wrapdefault\aspalpha\aspnum\faauto\adjustright\rin0\lin0\itap0\pararsid11615661 \rtlch\fcs1 \af0\afs20\alang1025 \ltrch\fcs0 \i\fs24\lang2057\langfe2057\cgrid\langnp2057\langfenp2057 {\rtlch\fcs1 _x000d__x000a_\af0 \ltrch\fcs0 \cs15\i0\v\f1\fs20\cf9\insrsid11615661\charrsid4593153 &lt;OptDelPrev&gt;}{\rtlch\fcs1 \af0 \ltrch\fcs0 \insrsid11615661\charrsid4593153 [ZTEXTJUST]}{\rtlch\fcs1 \af0 \ltrch\fcs0 \cs15\i0\v\f1\fs20\cf9\insrsid11615661\charrsid4593153 _x000d__x000a_&lt;/OptDelPrev&gt;}{\rtlch\fcs1 \af0 \ltrch\fcs0 \insrsid11615661\charrsid4593153 _x000d__x000a_\par }\pard\plain \ltrpar\ql \li0\ri0\widctlpar\wrapdefault\aspalpha\aspnum\faauto\adjustright\rin0\lin0\itap0\pararsid11615661 \rtlch\fcs1 \af0\afs20\alang1025 \ltrch\fcs0 \fs24\lang2057\langfe2057\cgrid\langnp2057\langfenp2057 {\rtlch\fcs1 \af0 \ltrch\fcs0 _x000d__x000a_\cs15\v\f1\fs20\cf9\insrsid11615661\charrsid4593153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e070_x000d__x000a_25cecb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PR_COD_1amCom"/>
    <w:docVar w:name="strSubDir" w:val="1285"/>
    <w:docVar w:name="TVTAMPART" w:val="Recital 1"/>
    <w:docVar w:name="TXTAUTHOR" w:val="Jonás Fernández"/>
    <w:docVar w:name="TXTLANGUE" w:val="EN"/>
    <w:docVar w:name="TXTLANGUEMIN" w:val="en"/>
    <w:docVar w:name="TXTNRC" w:val="0134/2023"/>
    <w:docVar w:name="TXTNRCOD" w:val="2023/0113"/>
    <w:docVar w:name="TXTNRCOM" w:val="(2023)0229"/>
    <w:docVar w:name="TXTNRFIRSTAM" w:val="1"/>
    <w:docVar w:name="TXTNRLASTAM" w:val="2"/>
    <w:docVar w:name="TXTNRPE" w:val="752.913"/>
    <w:docVar w:name="TXTPEorAP" w:val="PE"/>
    <w:docVar w:name="TXTROUTE" w:val="PR\1285454EN.docx"/>
    <w:docVar w:name="TXTTITLE" w:val="amending Directive 2014/59/EU and Regulation (EU) No 806/2014 as regards certain aspects of the minimum requirement for own funds and eligible liabilities"/>
    <w:docVar w:name="TXTVERSION" w:val="01-00"/>
  </w:docVars>
  <w:rsids>
    <w:rsidRoot w:val="006745DD"/>
    <w:rsid w:val="00011AAB"/>
    <w:rsid w:val="00012351"/>
    <w:rsid w:val="000139E5"/>
    <w:rsid w:val="00084DD2"/>
    <w:rsid w:val="00084E89"/>
    <w:rsid w:val="000A7B09"/>
    <w:rsid w:val="000B7489"/>
    <w:rsid w:val="000F1096"/>
    <w:rsid w:val="00112990"/>
    <w:rsid w:val="00120948"/>
    <w:rsid w:val="00123DD5"/>
    <w:rsid w:val="001277AE"/>
    <w:rsid w:val="00142215"/>
    <w:rsid w:val="001767E2"/>
    <w:rsid w:val="00187008"/>
    <w:rsid w:val="001B3829"/>
    <w:rsid w:val="001C01EE"/>
    <w:rsid w:val="001C5592"/>
    <w:rsid w:val="001C5B44"/>
    <w:rsid w:val="001C63AC"/>
    <w:rsid w:val="001C6FFC"/>
    <w:rsid w:val="001F7C7C"/>
    <w:rsid w:val="0020623A"/>
    <w:rsid w:val="00212B84"/>
    <w:rsid w:val="002346B0"/>
    <w:rsid w:val="002667C3"/>
    <w:rsid w:val="002669B6"/>
    <w:rsid w:val="00290BED"/>
    <w:rsid w:val="002D13EE"/>
    <w:rsid w:val="002E33EE"/>
    <w:rsid w:val="002F40BB"/>
    <w:rsid w:val="002F4B02"/>
    <w:rsid w:val="00323EF8"/>
    <w:rsid w:val="00325A50"/>
    <w:rsid w:val="003316DD"/>
    <w:rsid w:val="00366A46"/>
    <w:rsid w:val="00370AC3"/>
    <w:rsid w:val="003824EE"/>
    <w:rsid w:val="003B4689"/>
    <w:rsid w:val="003C2068"/>
    <w:rsid w:val="003C37CF"/>
    <w:rsid w:val="004100B1"/>
    <w:rsid w:val="00426E47"/>
    <w:rsid w:val="00455743"/>
    <w:rsid w:val="00461601"/>
    <w:rsid w:val="0046639E"/>
    <w:rsid w:val="00467F7B"/>
    <w:rsid w:val="0048211B"/>
    <w:rsid w:val="004C0915"/>
    <w:rsid w:val="004D424E"/>
    <w:rsid w:val="004E42C8"/>
    <w:rsid w:val="004E733D"/>
    <w:rsid w:val="004F3FA5"/>
    <w:rsid w:val="0051271F"/>
    <w:rsid w:val="00521F46"/>
    <w:rsid w:val="00551111"/>
    <w:rsid w:val="00551123"/>
    <w:rsid w:val="00557C21"/>
    <w:rsid w:val="00570A6A"/>
    <w:rsid w:val="00586E50"/>
    <w:rsid w:val="0059583D"/>
    <w:rsid w:val="005A42D9"/>
    <w:rsid w:val="005C2BEF"/>
    <w:rsid w:val="005D1A99"/>
    <w:rsid w:val="005D7609"/>
    <w:rsid w:val="005D7EE8"/>
    <w:rsid w:val="00620AA8"/>
    <w:rsid w:val="00642325"/>
    <w:rsid w:val="006606A1"/>
    <w:rsid w:val="006745DD"/>
    <w:rsid w:val="00682F54"/>
    <w:rsid w:val="006A17A3"/>
    <w:rsid w:val="006A1920"/>
    <w:rsid w:val="006A2F5D"/>
    <w:rsid w:val="006F1136"/>
    <w:rsid w:val="006F7907"/>
    <w:rsid w:val="00743189"/>
    <w:rsid w:val="00743D33"/>
    <w:rsid w:val="007932B3"/>
    <w:rsid w:val="00793EA9"/>
    <w:rsid w:val="007D6F68"/>
    <w:rsid w:val="00823E6B"/>
    <w:rsid w:val="00826780"/>
    <w:rsid w:val="00837CCD"/>
    <w:rsid w:val="00862812"/>
    <w:rsid w:val="008633CC"/>
    <w:rsid w:val="00865190"/>
    <w:rsid w:val="008719B9"/>
    <w:rsid w:val="00894ECE"/>
    <w:rsid w:val="00896BB4"/>
    <w:rsid w:val="008A7FB8"/>
    <w:rsid w:val="008C37B3"/>
    <w:rsid w:val="008F652F"/>
    <w:rsid w:val="009022B8"/>
    <w:rsid w:val="00914537"/>
    <w:rsid w:val="00917CC4"/>
    <w:rsid w:val="00932D06"/>
    <w:rsid w:val="009763DA"/>
    <w:rsid w:val="009975B3"/>
    <w:rsid w:val="009A216D"/>
    <w:rsid w:val="009B4B93"/>
    <w:rsid w:val="009F24BE"/>
    <w:rsid w:val="009F6C2F"/>
    <w:rsid w:val="009F767A"/>
    <w:rsid w:val="00A22533"/>
    <w:rsid w:val="00A26F46"/>
    <w:rsid w:val="00A34FD3"/>
    <w:rsid w:val="00A36929"/>
    <w:rsid w:val="00A50548"/>
    <w:rsid w:val="00A60EE7"/>
    <w:rsid w:val="00A910C9"/>
    <w:rsid w:val="00AA35B0"/>
    <w:rsid w:val="00AB59CE"/>
    <w:rsid w:val="00AD18C8"/>
    <w:rsid w:val="00AD7FA6"/>
    <w:rsid w:val="00AE4643"/>
    <w:rsid w:val="00AF0416"/>
    <w:rsid w:val="00B10CB4"/>
    <w:rsid w:val="00B13D6F"/>
    <w:rsid w:val="00B17848"/>
    <w:rsid w:val="00B23B72"/>
    <w:rsid w:val="00B42702"/>
    <w:rsid w:val="00B57B8B"/>
    <w:rsid w:val="00B85407"/>
    <w:rsid w:val="00B95702"/>
    <w:rsid w:val="00BC6489"/>
    <w:rsid w:val="00BD480C"/>
    <w:rsid w:val="00BE22DA"/>
    <w:rsid w:val="00C10E7F"/>
    <w:rsid w:val="00C20954"/>
    <w:rsid w:val="00C23324"/>
    <w:rsid w:val="00C42A41"/>
    <w:rsid w:val="00C47E74"/>
    <w:rsid w:val="00C57A72"/>
    <w:rsid w:val="00C73602"/>
    <w:rsid w:val="00CF60C8"/>
    <w:rsid w:val="00D30DE2"/>
    <w:rsid w:val="00D32924"/>
    <w:rsid w:val="00D503A3"/>
    <w:rsid w:val="00D5748F"/>
    <w:rsid w:val="00D73518"/>
    <w:rsid w:val="00DA0796"/>
    <w:rsid w:val="00DA6ED0"/>
    <w:rsid w:val="00DC5011"/>
    <w:rsid w:val="00E171B6"/>
    <w:rsid w:val="00E70D3B"/>
    <w:rsid w:val="00E72695"/>
    <w:rsid w:val="00EB1753"/>
    <w:rsid w:val="00EB6CFF"/>
    <w:rsid w:val="00EE3996"/>
    <w:rsid w:val="00F07062"/>
    <w:rsid w:val="00F23CFC"/>
    <w:rsid w:val="00F433E2"/>
    <w:rsid w:val="00F904AE"/>
    <w:rsid w:val="00F934F8"/>
    <w:rsid w:val="00FB52FE"/>
    <w:rsid w:val="00FC0A34"/>
    <w:rsid w:val="00FD1DEF"/>
    <w:rsid w:val="00FE3B3F"/>
  </w:rsids>
  <m:mathPr>
    <m:mathFont m:val="Cambria Math"/>
    <m:brkBin m:val="before"/>
    <m:brkBinSub m:val="--"/>
    <m:smallFrac m:val="0"/>
    <m:dispDef/>
    <m:lMargin m:val="0"/>
    <m:rMargin m:val="0"/>
    <m:defJc m:val="centerGroup"/>
    <m:wrapIndent m:val="1440"/>
    <m:intLim m:val="subSup"/>
    <m:naryLim m:val="undOvr"/>
  </m:mathPr>
  <w:themeFontLang w:val="en-GB"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7F4A5E8"/>
  <w15:chartTrackingRefBased/>
  <w15:docId w15:val="{4DFF2750-D27A-4F52-B6FB-B2D7BB6C22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a-DK"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footer" w:semiHidden="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F3FA5"/>
    <w:pPr>
      <w:widowControl w:val="0"/>
    </w:pPr>
    <w:rPr>
      <w:sz w:val="24"/>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rPr>
      <w:rFonts w:ascii="Arial" w:hAnsi="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hAnsi="Arial" w:cs="Arial"/>
      <w:b/>
      <w:sz w:val="48"/>
    </w:rPr>
  </w:style>
  <w:style w:type="paragraph" w:styleId="TOC1">
    <w:name w:val="toc 1"/>
    <w:basedOn w:val="Normal"/>
    <w:next w:val="Normal"/>
    <w:autoRedefine/>
    <w:uiPriority w:val="39"/>
    <w:rsid w:val="00C23324"/>
    <w:pPr>
      <w:spacing w:after="240"/>
    </w:pPr>
  </w:style>
  <w:style w:type="paragraph" w:styleId="TOCHeading">
    <w:name w:val="TOC Heading"/>
    <w:basedOn w:val="Normal"/>
    <w:next w:val="TOCPage"/>
    <w:qFormat/>
    <w:pPr>
      <w:keepNext/>
      <w:spacing w:before="240" w:after="240"/>
      <w:jc w:val="center"/>
    </w:pPr>
    <w:rPr>
      <w:rFonts w:ascii="Arial" w:hAnsi="Arial"/>
      <w:b/>
    </w:rPr>
  </w:style>
  <w:style w:type="paragraph" w:customStyle="1" w:styleId="TOCPage">
    <w:name w:val="TOC Page"/>
    <w:basedOn w:val="Normal"/>
    <w:next w:val="TOC1"/>
    <w:pPr>
      <w:keepNext/>
      <w:spacing w:after="240"/>
      <w:jc w:val="right"/>
    </w:pPr>
    <w:rPr>
      <w:rFonts w:ascii="Arial" w:hAnsi="Arial"/>
      <w:b/>
    </w:rPr>
  </w:style>
  <w:style w:type="character" w:customStyle="1" w:styleId="HideTWBInt">
    <w:name w:val="HideTWBInt"/>
    <w:rPr>
      <w:rFonts w:ascii="Arial" w:hAnsi="Arial" w:cs="Arial"/>
      <w:vanish/>
      <w:color w:val="808080"/>
      <w:sz w:val="20"/>
    </w:rPr>
  </w:style>
  <w:style w:type="paragraph" w:customStyle="1" w:styleId="Normal6a">
    <w:name w:val="Normal6a"/>
    <w:basedOn w:val="Normal"/>
    <w:pPr>
      <w:spacing w:after="120"/>
    </w:pPr>
  </w:style>
  <w:style w:type="paragraph" w:customStyle="1" w:styleId="PageHeading">
    <w:name w:val="PageHeading"/>
    <w:basedOn w:val="Normal"/>
    <w:pPr>
      <w:keepNext/>
      <w:spacing w:after="480"/>
      <w:jc w:val="center"/>
    </w:pPr>
    <w:rPr>
      <w:rFonts w:ascii="Arial" w:hAnsi="Arial" w:cs="Arial"/>
      <w:b/>
    </w:rPr>
  </w:style>
  <w:style w:type="paragraph" w:customStyle="1" w:styleId="NormalBold">
    <w:name w:val="NormalBold"/>
    <w:basedOn w:val="Normal"/>
    <w:link w:val="NormalBoldChar"/>
    <w:rPr>
      <w:b/>
    </w:rPr>
  </w:style>
  <w:style w:type="paragraph" w:customStyle="1" w:styleId="NormalBold12a">
    <w:name w:val="NormalBold12a"/>
    <w:basedOn w:val="Normal"/>
    <w:pPr>
      <w:spacing w:after="240"/>
    </w:pPr>
    <w:rPr>
      <w:b/>
    </w:rPr>
  </w:style>
  <w:style w:type="paragraph" w:customStyle="1" w:styleId="AmJustText">
    <w:name w:val="AmJustText"/>
    <w:basedOn w:val="Normal"/>
    <w:pPr>
      <w:spacing w:after="240"/>
    </w:pPr>
    <w:rPr>
      <w:i/>
    </w:rPr>
  </w:style>
  <w:style w:type="paragraph" w:customStyle="1" w:styleId="NormalHanging12a">
    <w:name w:val="NormalHanging12a"/>
    <w:basedOn w:val="Normal"/>
    <w:pPr>
      <w:spacing w:after="240"/>
      <w:ind w:left="567" w:hanging="567"/>
    </w:pPr>
  </w:style>
  <w:style w:type="paragraph" w:customStyle="1" w:styleId="EPName">
    <w:name w:val="EPName"/>
    <w:basedOn w:val="Normal"/>
    <w:rsid w:val="006F7907"/>
    <w:pPr>
      <w:spacing w:before="80" w:after="80"/>
    </w:pPr>
    <w:rPr>
      <w:rFonts w:ascii="Arial Narrow" w:hAnsi="Arial Narrow" w:cs="Arial"/>
      <w:b/>
      <w:sz w:val="32"/>
      <w:szCs w:val="22"/>
    </w:rPr>
  </w:style>
  <w:style w:type="paragraph" w:customStyle="1" w:styleId="CoverNormal24a">
    <w:name w:val="CoverNormal24a"/>
    <w:basedOn w:val="Normal"/>
    <w:rsid w:val="00F07062"/>
    <w:pPr>
      <w:spacing w:after="480"/>
      <w:ind w:left="1417"/>
    </w:pPr>
  </w:style>
  <w:style w:type="paragraph" w:customStyle="1" w:styleId="CoverNormal">
    <w:name w:val="CoverNormal"/>
    <w:basedOn w:val="Normal"/>
    <w:pPr>
      <w:ind w:left="1418"/>
    </w:pPr>
  </w:style>
  <w:style w:type="paragraph" w:customStyle="1" w:styleId="AmCrossRef">
    <w:name w:val="AmCrossRef"/>
    <w:basedOn w:val="Normal"/>
    <w:rsid w:val="00DA6ED0"/>
    <w:pPr>
      <w:spacing w:before="240" w:after="240"/>
      <w:jc w:val="center"/>
    </w:pPr>
    <w:rPr>
      <w:i/>
    </w:rPr>
  </w:style>
  <w:style w:type="paragraph" w:customStyle="1" w:styleId="AmJustTitle">
    <w:name w:val="AmJustTitle"/>
    <w:basedOn w:val="Normal"/>
    <w:next w:val="AmJustText"/>
    <w:pPr>
      <w:keepNext/>
      <w:spacing w:before="240" w:after="240"/>
      <w:jc w:val="center"/>
    </w:pPr>
    <w:rPr>
      <w:i/>
    </w:rPr>
  </w:style>
  <w:style w:type="paragraph" w:customStyle="1" w:styleId="CoverReference">
    <w:name w:val="CoverReference"/>
    <w:basedOn w:val="Normal"/>
    <w:rsid w:val="004E733D"/>
    <w:pPr>
      <w:spacing w:before="1080"/>
      <w:jc w:val="right"/>
    </w:pPr>
    <w:rPr>
      <w:rFonts w:ascii="Arial" w:hAnsi="Arial" w:cs="Arial"/>
      <w:b/>
    </w:rPr>
  </w:style>
  <w:style w:type="paragraph" w:customStyle="1" w:styleId="CoverDocType">
    <w:name w:val="CoverDocType"/>
    <w:basedOn w:val="Normal"/>
    <w:pPr>
      <w:ind w:left="1418"/>
    </w:pPr>
    <w:rPr>
      <w:rFonts w:ascii="Arial" w:hAnsi="Arial"/>
      <w:b/>
      <w:sz w:val="48"/>
    </w:rPr>
  </w:style>
  <w:style w:type="paragraph" w:customStyle="1" w:styleId="CoverDocType24a">
    <w:name w:val="CoverDocType24a"/>
    <w:basedOn w:val="Normal"/>
    <w:rsid w:val="00F07062"/>
    <w:pPr>
      <w:spacing w:after="480"/>
      <w:ind w:left="1418"/>
    </w:pPr>
    <w:rPr>
      <w:rFonts w:ascii="Arial" w:hAnsi="Arial"/>
      <w:b/>
      <w:sz w:val="48"/>
    </w:rPr>
  </w:style>
  <w:style w:type="paragraph" w:customStyle="1" w:styleId="CoverDate">
    <w:name w:val="CoverDate"/>
    <w:basedOn w:val="Normal"/>
    <w:pPr>
      <w:spacing w:before="240" w:after="1200"/>
    </w:pPr>
  </w:style>
  <w:style w:type="paragraph" w:styleId="Header">
    <w:name w:val="header"/>
    <w:basedOn w:val="Normal"/>
    <w:link w:val="HeaderChar"/>
    <w:semiHidden/>
    <w:rsid w:val="00F23CFC"/>
    <w:pPr>
      <w:tabs>
        <w:tab w:val="center" w:pos="4513"/>
        <w:tab w:val="right" w:pos="9026"/>
      </w:tabs>
    </w:pPr>
  </w:style>
  <w:style w:type="paragraph" w:customStyle="1" w:styleId="AmOrLang">
    <w:name w:val="AmOrLang"/>
    <w:basedOn w:val="Normal"/>
    <w:rsid w:val="002669B6"/>
    <w:pPr>
      <w:spacing w:before="240" w:after="240"/>
      <w:jc w:val="right"/>
    </w:pPr>
  </w:style>
  <w:style w:type="paragraph" w:customStyle="1" w:styleId="AmColumnHeading">
    <w:name w:val="AmColumnHeading"/>
    <w:basedOn w:val="Normal"/>
    <w:rsid w:val="002669B6"/>
    <w:pPr>
      <w:spacing w:after="240"/>
      <w:jc w:val="center"/>
    </w:pPr>
    <w:rPr>
      <w:i/>
    </w:rPr>
  </w:style>
  <w:style w:type="table" w:styleId="TableGrid">
    <w:name w:val="Table Grid"/>
    <w:basedOn w:val="TableNormal"/>
    <w:rsid w:val="004616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mNumberTabs">
    <w:name w:val="AmNumberTabs"/>
    <w:basedOn w:val="Normal"/>
    <w:rsid w:val="004C0915"/>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NormalBold12b">
    <w:name w:val="NormalBold12b"/>
    <w:basedOn w:val="Normal"/>
    <w:rsid w:val="004C0915"/>
    <w:pPr>
      <w:spacing w:before="240"/>
    </w:pPr>
    <w:rPr>
      <w:b/>
    </w:rPr>
  </w:style>
  <w:style w:type="paragraph" w:customStyle="1" w:styleId="EPBody">
    <w:name w:val="EPBody"/>
    <w:basedOn w:val="Normal"/>
    <w:rsid w:val="00461601"/>
    <w:pPr>
      <w:jc w:val="center"/>
    </w:pPr>
    <w:rPr>
      <w:rFonts w:ascii="Arial" w:hAnsi="Arial" w:cs="Arial"/>
      <w:i/>
      <w:sz w:val="22"/>
      <w:szCs w:val="22"/>
    </w:rPr>
  </w:style>
  <w:style w:type="paragraph" w:customStyle="1" w:styleId="LineTop">
    <w:name w:val="LineTop"/>
    <w:basedOn w:val="Normal"/>
    <w:next w:val="Normal"/>
    <w:rsid w:val="00461601"/>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461601"/>
    <w:pPr>
      <w:pBdr>
        <w:bottom w:val="single" w:sz="4" w:space="1" w:color="auto"/>
      </w:pBdr>
      <w:spacing w:after="240"/>
      <w:jc w:val="center"/>
    </w:pPr>
    <w:rPr>
      <w:rFonts w:ascii="Arial" w:hAnsi="Arial" w:cs="Arial"/>
      <w:sz w:val="16"/>
      <w:szCs w:val="16"/>
    </w:rPr>
  </w:style>
  <w:style w:type="paragraph" w:customStyle="1" w:styleId="EPTerm">
    <w:name w:val="EPTerm"/>
    <w:basedOn w:val="Normal"/>
    <w:next w:val="Normal"/>
    <w:rsid w:val="006F7907"/>
    <w:pPr>
      <w:spacing w:after="80"/>
    </w:pPr>
    <w:rPr>
      <w:rFonts w:ascii="Arial" w:hAnsi="Arial" w:cs="Arial"/>
      <w:sz w:val="20"/>
      <w:szCs w:val="22"/>
    </w:rPr>
  </w:style>
  <w:style w:type="paragraph" w:customStyle="1" w:styleId="EPLogo">
    <w:name w:val="EPLogo"/>
    <w:basedOn w:val="Normal"/>
    <w:qFormat/>
    <w:rsid w:val="006F7907"/>
    <w:pPr>
      <w:jc w:val="right"/>
    </w:pPr>
  </w:style>
  <w:style w:type="paragraph" w:customStyle="1" w:styleId="EPFooter">
    <w:name w:val="EPFooter"/>
    <w:basedOn w:val="Normal"/>
    <w:rsid w:val="00F07062"/>
    <w:pPr>
      <w:tabs>
        <w:tab w:val="center" w:pos="4535"/>
        <w:tab w:val="right" w:pos="9071"/>
      </w:tabs>
      <w:spacing w:before="240" w:after="240"/>
    </w:pPr>
    <w:rPr>
      <w:color w:val="010000"/>
      <w:sz w:val="22"/>
    </w:rPr>
  </w:style>
  <w:style w:type="character" w:styleId="PageNumber">
    <w:name w:val="page number"/>
    <w:basedOn w:val="DefaultParagraphFont"/>
    <w:semiHidden/>
    <w:rsid w:val="00914537"/>
  </w:style>
  <w:style w:type="character" w:customStyle="1" w:styleId="HeaderChar">
    <w:name w:val="Header Char"/>
    <w:basedOn w:val="DefaultParagraphFont"/>
    <w:link w:val="Header"/>
    <w:semiHidden/>
    <w:rsid w:val="00F23CFC"/>
    <w:rPr>
      <w:sz w:val="24"/>
    </w:rPr>
  </w:style>
  <w:style w:type="paragraph" w:customStyle="1" w:styleId="EPComma">
    <w:name w:val="EPComma"/>
    <w:basedOn w:val="Normal"/>
    <w:rsid w:val="00A910C9"/>
    <w:pPr>
      <w:spacing w:before="480" w:after="240"/>
    </w:pPr>
  </w:style>
  <w:style w:type="paragraph" w:customStyle="1" w:styleId="Lgendesigne">
    <w:name w:val="Légende signe"/>
    <w:basedOn w:val="Normal"/>
    <w:rsid w:val="006F1136"/>
    <w:pPr>
      <w:tabs>
        <w:tab w:val="right" w:pos="454"/>
        <w:tab w:val="left" w:pos="737"/>
      </w:tabs>
      <w:ind w:left="737" w:hanging="737"/>
    </w:pPr>
    <w:rPr>
      <w:snapToGrid w:val="0"/>
      <w:sz w:val="18"/>
      <w:lang w:eastAsia="en-US"/>
    </w:rPr>
  </w:style>
  <w:style w:type="paragraph" w:customStyle="1" w:styleId="Lgendetitre">
    <w:name w:val="Légende titre"/>
    <w:basedOn w:val="Normal"/>
    <w:rsid w:val="006F1136"/>
    <w:pPr>
      <w:spacing w:before="240" w:after="240"/>
    </w:pPr>
    <w:rPr>
      <w:b/>
      <w:i/>
      <w:snapToGrid w:val="0"/>
      <w:lang w:eastAsia="en-US"/>
    </w:rPr>
  </w:style>
  <w:style w:type="paragraph" w:customStyle="1" w:styleId="Lgendestandard">
    <w:name w:val="Légende standard"/>
    <w:basedOn w:val="Normal"/>
    <w:rsid w:val="006F1136"/>
    <w:rPr>
      <w:sz w:val="18"/>
    </w:rPr>
  </w:style>
  <w:style w:type="paragraph" w:styleId="FootnoteText">
    <w:name w:val="footnote text"/>
    <w:basedOn w:val="Normal"/>
    <w:link w:val="FootnoteTextChar"/>
    <w:rsid w:val="006F1136"/>
    <w:rPr>
      <w:sz w:val="20"/>
    </w:rPr>
  </w:style>
  <w:style w:type="character" w:customStyle="1" w:styleId="FootnoteTextChar">
    <w:name w:val="Footnote Text Char"/>
    <w:basedOn w:val="DefaultParagraphFont"/>
    <w:link w:val="FootnoteText"/>
    <w:rsid w:val="006F1136"/>
  </w:style>
  <w:style w:type="character" w:styleId="FootnoteReference">
    <w:name w:val="footnote reference"/>
    <w:basedOn w:val="DefaultParagraphFont"/>
    <w:rsid w:val="006F1136"/>
    <w:rPr>
      <w:vertAlign w:val="superscript"/>
    </w:rPr>
  </w:style>
  <w:style w:type="character" w:customStyle="1" w:styleId="Normal6Char">
    <w:name w:val="Normal6 Char"/>
    <w:basedOn w:val="DefaultParagraphFont"/>
    <w:link w:val="Normal6"/>
    <w:locked/>
    <w:rsid w:val="00932D06"/>
    <w:rPr>
      <w:sz w:val="24"/>
      <w:lang w:val="da-DK"/>
    </w:rPr>
  </w:style>
  <w:style w:type="paragraph" w:customStyle="1" w:styleId="Normal6">
    <w:name w:val="Normal6"/>
    <w:basedOn w:val="Normal"/>
    <w:link w:val="Normal6Char"/>
    <w:rsid w:val="00932D06"/>
    <w:pPr>
      <w:spacing w:after="120"/>
    </w:pPr>
  </w:style>
  <w:style w:type="character" w:customStyle="1" w:styleId="NormalBoldChar">
    <w:name w:val="NormalBold Char"/>
    <w:basedOn w:val="DefaultParagraphFont"/>
    <w:link w:val="NormalBold"/>
    <w:locked/>
    <w:rsid w:val="00932D06"/>
    <w:rPr>
      <w:b/>
      <w:sz w:val="24"/>
    </w:rPr>
  </w:style>
  <w:style w:type="paragraph" w:customStyle="1" w:styleId="ColumnHeading">
    <w:name w:val="ColumnHeading"/>
    <w:basedOn w:val="Normal"/>
    <w:rsid w:val="00932D06"/>
    <w:pPr>
      <w:spacing w:after="240"/>
      <w:jc w:val="center"/>
    </w:pPr>
    <w:rPr>
      <w:i/>
    </w:rPr>
  </w:style>
  <w:style w:type="paragraph" w:customStyle="1" w:styleId="AMNumberTabs0">
    <w:name w:val="AMNumberTabs"/>
    <w:basedOn w:val="Normal"/>
    <w:rsid w:val="00932D06"/>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Olang">
    <w:name w:val="Olang"/>
    <w:rsid w:val="00932D06"/>
    <w:pPr>
      <w:jc w:val="right"/>
    </w:pPr>
  </w:style>
  <w:style w:type="paragraph" w:styleId="Footer">
    <w:name w:val="footer"/>
    <w:basedOn w:val="Normal"/>
    <w:link w:val="FooterChar"/>
    <w:semiHidden/>
    <w:rsid w:val="00932D06"/>
    <w:pPr>
      <w:tabs>
        <w:tab w:val="center" w:pos="4513"/>
        <w:tab w:val="right" w:pos="9026"/>
      </w:tabs>
    </w:pPr>
  </w:style>
  <w:style w:type="character" w:customStyle="1" w:styleId="FooterChar">
    <w:name w:val="Footer Char"/>
    <w:basedOn w:val="DefaultParagraphFont"/>
    <w:link w:val="Footer"/>
    <w:semiHidden/>
    <w:rsid w:val="00932D06"/>
    <w:rPr>
      <w:sz w:val="24"/>
    </w:rPr>
  </w:style>
  <w:style w:type="paragraph" w:styleId="BalloonText">
    <w:name w:val="Balloon Text"/>
    <w:basedOn w:val="Normal"/>
    <w:link w:val="BalloonTextChar"/>
    <w:semiHidden/>
    <w:unhideWhenUsed/>
    <w:rsid w:val="00557C21"/>
    <w:rPr>
      <w:rFonts w:ascii="Segoe UI" w:hAnsi="Segoe UI" w:cs="Segoe UI"/>
      <w:sz w:val="18"/>
      <w:szCs w:val="18"/>
    </w:rPr>
  </w:style>
  <w:style w:type="character" w:customStyle="1" w:styleId="BalloonTextChar">
    <w:name w:val="Balloon Text Char"/>
    <w:basedOn w:val="DefaultParagraphFont"/>
    <w:link w:val="BalloonText"/>
    <w:semiHidden/>
    <w:rsid w:val="00557C21"/>
    <w:rPr>
      <w:rFonts w:ascii="Segoe UI" w:hAnsi="Segoe UI" w:cs="Segoe UI"/>
      <w:sz w:val="18"/>
      <w:szCs w:val="18"/>
    </w:rPr>
  </w:style>
  <w:style w:type="character" w:styleId="CommentReference">
    <w:name w:val="annotation reference"/>
    <w:basedOn w:val="DefaultParagraphFont"/>
    <w:rsid w:val="001C63AC"/>
    <w:rPr>
      <w:sz w:val="16"/>
      <w:szCs w:val="16"/>
    </w:rPr>
  </w:style>
  <w:style w:type="paragraph" w:styleId="CommentText">
    <w:name w:val="annotation text"/>
    <w:basedOn w:val="Normal"/>
    <w:link w:val="CommentTextChar"/>
    <w:rsid w:val="001C63AC"/>
    <w:rPr>
      <w:sz w:val="20"/>
    </w:rPr>
  </w:style>
  <w:style w:type="character" w:customStyle="1" w:styleId="CommentTextChar">
    <w:name w:val="Comment Text Char"/>
    <w:basedOn w:val="DefaultParagraphFont"/>
    <w:link w:val="CommentText"/>
    <w:rsid w:val="001C63AC"/>
  </w:style>
  <w:style w:type="paragraph" w:styleId="CommentSubject">
    <w:name w:val="annotation subject"/>
    <w:basedOn w:val="CommentText"/>
    <w:next w:val="CommentText"/>
    <w:link w:val="CommentSubjectChar"/>
    <w:semiHidden/>
    <w:unhideWhenUsed/>
    <w:rsid w:val="001C63AC"/>
    <w:rPr>
      <w:b/>
      <w:bCs/>
    </w:rPr>
  </w:style>
  <w:style w:type="character" w:customStyle="1" w:styleId="CommentSubjectChar">
    <w:name w:val="Comment Subject Char"/>
    <w:basedOn w:val="CommentTextChar"/>
    <w:link w:val="CommentSubject"/>
    <w:semiHidden/>
    <w:rsid w:val="001C63A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5FD0D8-5036-483B-9B93-FEFBADB267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20</Pages>
  <Words>5770</Words>
  <Characters>36873</Characters>
  <Application>Microsoft Office Word</Application>
  <DocSecurity>0</DocSecurity>
  <Lines>1271</Lines>
  <Paragraphs>278</Paragraphs>
  <ScaleCrop>false</ScaleCrop>
  <HeadingPairs>
    <vt:vector size="2" baseType="variant">
      <vt:variant>
        <vt:lpstr>Title</vt:lpstr>
      </vt:variant>
      <vt:variant>
        <vt:i4>1</vt:i4>
      </vt:variant>
    </vt:vector>
  </HeadingPairs>
  <TitlesOfParts>
    <vt:vector size="1" baseType="lpstr">
      <vt:lpstr>PR_COD_1amCom</vt:lpstr>
    </vt:vector>
  </TitlesOfParts>
  <Company/>
  <LinksUpToDate>false</LinksUpToDate>
  <CharactersWithSpaces>42365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PR_COD_1amCom</dc:title>
  <dc:creator>TURLUI Emil-Gabriel</dc:creator>
  <cp:lastModifiedBy>JOHANNSEN Lena</cp:lastModifiedBy>
  <cp:revision>2</cp:revision>
  <cp:lastPrinted>2004-11-04T09:41:00Z</cp:lastPrinted>
  <dcterms:created xsi:type="dcterms:W3CDTF">2023-09-25T13:31:00Z</dcterms:created>
  <dcterms:modified xsi:type="dcterms:W3CDTF">2023-09-25T13:31:00Z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DA</vt:lpwstr>
  </property>
  <property fmtid="{D5CDD505-2E9C-101B-9397-08002B2CF9AE}" pid="3" name="&lt;FdR&gt;">
    <vt:lpwstr>1285454</vt:lpwstr>
  </property>
  <property fmtid="{D5CDD505-2E9C-101B-9397-08002B2CF9AE}" pid="4" name="&lt;Model&gt;">
    <vt:lpwstr>PR_COD_1amCom</vt:lpwstr>
  </property>
  <property fmtid="{D5CDD505-2E9C-101B-9397-08002B2CF9AE}" pid="5" name="&lt;ModelCod&gt;">
    <vt:lpwstr>\\eiciBRUpr1\pdocep$\DocEP\DOCS\General\PR\PR_Leg\COD\COD_1st\PR_COD_1amCom.dotx(17/04/2020 19:27:09)</vt:lpwstr>
  </property>
  <property fmtid="{D5CDD505-2E9C-101B-9397-08002B2CF9AE}" pid="6" name="&lt;ModelTra&gt;">
    <vt:lpwstr>\\eiciBRUpr1\pdocep$\DocEP\TRANSFIL\EN\PR_COD_1amCom.EN(29/06/2022 10:21:37)</vt:lpwstr>
  </property>
  <property fmtid="{D5CDD505-2E9C-101B-9397-08002B2CF9AE}" pid="7" name="&lt;Type&gt;">
    <vt:lpwstr>PR</vt:lpwstr>
  </property>
  <property fmtid="{D5CDD505-2E9C-101B-9397-08002B2CF9AE}" pid="8" name="Created with">
    <vt:lpwstr>9.14.1 Build [20230315]</vt:lpwstr>
  </property>
  <property fmtid="{D5CDD505-2E9C-101B-9397-08002B2CF9AE}" pid="9" name="FooterPath">
    <vt:lpwstr>PR\1285454DA.docx</vt:lpwstr>
  </property>
  <property fmtid="{D5CDD505-2E9C-101B-9397-08002B2CF9AE}" pid="10" name="LastEdited with">
    <vt:lpwstr>9.14.1 Build [20230315]</vt:lpwstr>
  </property>
  <property fmtid="{D5CDD505-2E9C-101B-9397-08002B2CF9AE}" pid="11" name="PE number">
    <vt:lpwstr>752.913</vt:lpwstr>
  </property>
  <property fmtid="{D5CDD505-2E9C-101B-9397-08002B2CF9AE}" pid="12" name="SDLStudio">
    <vt:lpwstr/>
  </property>
  <property fmtid="{D5CDD505-2E9C-101B-9397-08002B2CF9AE}" pid="13" name="SendToEpades">
    <vt:lpwstr>OK - 2023/09/11 11:42</vt:lpwstr>
  </property>
  <property fmtid="{D5CDD505-2E9C-101B-9397-08002B2CF9AE}" pid="14" name="Bookout">
    <vt:lpwstr>OK - 2023/09/25 15:31</vt:lpwstr>
  </property>
</Properties>
</file>