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F53B8" w:rsidRPr="006F36F0" w:rsidTr="00DA0796">
        <w:trPr>
          <w:trHeight w:hRule="exact" w:val="1418"/>
        </w:trPr>
        <w:tc>
          <w:tcPr>
            <w:tcW w:w="6804" w:type="dxa"/>
            <w:shd w:val="clear" w:color="auto" w:fill="auto"/>
            <w:vAlign w:val="center"/>
          </w:tcPr>
          <w:p w:rsidR="00B13D6F" w:rsidRPr="006F36F0" w:rsidRDefault="00551D8F" w:rsidP="00DA0796">
            <w:pPr>
              <w:pStyle w:val="EPName"/>
            </w:pPr>
            <w:r w:rsidRPr="006F36F0">
              <w:t>Ευρωπαϊκό Κοινοβούλιο</w:t>
            </w:r>
          </w:p>
          <w:p w:rsidR="00B13D6F" w:rsidRPr="006F36F0" w:rsidRDefault="00551D8F" w:rsidP="006F1136">
            <w:pPr>
              <w:pStyle w:val="EPTerm"/>
            </w:pPr>
            <w:r w:rsidRPr="006F36F0">
              <w:t>2019-2024</w:t>
            </w:r>
          </w:p>
        </w:tc>
        <w:tc>
          <w:tcPr>
            <w:tcW w:w="2268" w:type="dxa"/>
            <w:shd w:val="clear" w:color="auto" w:fill="auto"/>
          </w:tcPr>
          <w:p w:rsidR="00B13D6F" w:rsidRPr="006F36F0" w:rsidRDefault="00551D8F" w:rsidP="00DA0796">
            <w:pPr>
              <w:pStyle w:val="EPLogo"/>
            </w:pPr>
            <w:r w:rsidRPr="006F36F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6F36F0" w:rsidRDefault="00461601" w:rsidP="00461601">
      <w:pPr>
        <w:pStyle w:val="LineTop"/>
      </w:pPr>
    </w:p>
    <w:p w:rsidR="00461601" w:rsidRPr="006F36F0" w:rsidRDefault="00551D8F" w:rsidP="00461601">
      <w:pPr>
        <w:pStyle w:val="EPBody"/>
      </w:pPr>
      <w:r w:rsidRPr="006F36F0">
        <w:rPr>
          <w:rStyle w:val="HideTWBExt"/>
        </w:rPr>
        <w:t>&lt;</w:t>
      </w:r>
      <w:r w:rsidRPr="006F36F0">
        <w:rPr>
          <w:rStyle w:val="HideTWBExt"/>
          <w:i w:val="0"/>
        </w:rPr>
        <w:t>Commission</w:t>
      </w:r>
      <w:r w:rsidRPr="006F36F0">
        <w:rPr>
          <w:rStyle w:val="HideTWBExt"/>
        </w:rPr>
        <w:t>&gt;</w:t>
      </w:r>
      <w:r w:rsidRPr="006F36F0">
        <w:rPr>
          <w:rStyle w:val="HideTWBInt"/>
          <w:color w:val="auto"/>
        </w:rPr>
        <w:t>{ECON}</w:t>
      </w:r>
      <w:r w:rsidRPr="006F36F0">
        <w:t>Επιτροπή Οικονομικής και Νομισματικής Πολιτικής</w:t>
      </w:r>
      <w:r w:rsidRPr="006F36F0">
        <w:rPr>
          <w:rStyle w:val="HideTWBExt"/>
        </w:rPr>
        <w:t>&lt;/</w:t>
      </w:r>
      <w:r w:rsidRPr="006F36F0">
        <w:rPr>
          <w:rStyle w:val="HideTWBExt"/>
          <w:i w:val="0"/>
        </w:rPr>
        <w:t>Commission</w:t>
      </w:r>
      <w:r w:rsidRPr="006F36F0">
        <w:rPr>
          <w:rStyle w:val="HideTWBExt"/>
        </w:rPr>
        <w:t>&gt;</w:t>
      </w:r>
    </w:p>
    <w:p w:rsidR="00461601" w:rsidRPr="006F36F0" w:rsidRDefault="00461601" w:rsidP="00461601">
      <w:pPr>
        <w:pStyle w:val="LineBottom"/>
      </w:pPr>
    </w:p>
    <w:p w:rsidR="00793EA9" w:rsidRPr="006F36F0" w:rsidRDefault="00551D8F">
      <w:pPr>
        <w:pStyle w:val="CoverReference"/>
      </w:pPr>
      <w:r w:rsidRPr="006F36F0">
        <w:rPr>
          <w:rStyle w:val="HideTWBExt"/>
          <w:b w:val="0"/>
        </w:rPr>
        <w:t>&lt;RefProc&gt;</w:t>
      </w:r>
      <w:r w:rsidRPr="006F36F0">
        <w:t>2023/0113</w:t>
      </w:r>
      <w:r w:rsidRPr="006F36F0">
        <w:rPr>
          <w:rStyle w:val="HideTWBExt"/>
          <w:b w:val="0"/>
        </w:rPr>
        <w:t>&lt;/RefProc&gt;&lt;RefTypeProc&gt;</w:t>
      </w:r>
      <w:r w:rsidRPr="006F36F0">
        <w:t>(COD)</w:t>
      </w:r>
      <w:r w:rsidRPr="006F36F0">
        <w:rPr>
          <w:rStyle w:val="HideTWBExt"/>
          <w:b w:val="0"/>
        </w:rPr>
        <w:t>&lt;/RefTypeProc&gt;</w:t>
      </w:r>
    </w:p>
    <w:p w:rsidR="00793EA9" w:rsidRPr="006F36F0" w:rsidRDefault="00551D8F">
      <w:pPr>
        <w:pStyle w:val="CoverDate"/>
      </w:pPr>
      <w:r w:rsidRPr="006F36F0">
        <w:rPr>
          <w:rStyle w:val="HideTWBExt"/>
        </w:rPr>
        <w:t>&lt;Date&gt;</w:t>
      </w:r>
      <w:r w:rsidRPr="006F36F0">
        <w:rPr>
          <w:rStyle w:val="HideTWBInt"/>
          <w:color w:val="auto"/>
        </w:rPr>
        <w:t>{11/09/2023}</w:t>
      </w:r>
      <w:r w:rsidRPr="006F36F0">
        <w:t>11.9.2023</w:t>
      </w:r>
      <w:r w:rsidRPr="006F36F0">
        <w:rPr>
          <w:rStyle w:val="HideTWBExt"/>
        </w:rPr>
        <w:t>&lt;/Date&gt;</w:t>
      </w:r>
    </w:p>
    <w:p w:rsidR="00793EA9" w:rsidRPr="006F36F0" w:rsidRDefault="00551D8F">
      <w:pPr>
        <w:pStyle w:val="CoverDocType"/>
      </w:pPr>
      <w:r w:rsidRPr="006F36F0">
        <w:rPr>
          <w:rStyle w:val="HideTWBExt"/>
          <w:b w:val="0"/>
        </w:rPr>
        <w:t>&lt;RefProcLect&gt;</w:t>
      </w:r>
      <w:r w:rsidRPr="006F36F0">
        <w:t>***I</w:t>
      </w:r>
      <w:r w:rsidRPr="006F36F0">
        <w:rPr>
          <w:rStyle w:val="HideTWBExt"/>
          <w:b w:val="0"/>
        </w:rPr>
        <w:t>&lt;/RefProcLect&gt;</w:t>
      </w:r>
    </w:p>
    <w:p w:rsidR="00793EA9" w:rsidRPr="006F36F0" w:rsidRDefault="00551D8F">
      <w:pPr>
        <w:pStyle w:val="CoverDocType24a"/>
      </w:pPr>
      <w:r w:rsidRPr="006F36F0">
        <w:rPr>
          <w:rStyle w:val="HideTWBExt"/>
          <w:b w:val="0"/>
        </w:rPr>
        <w:t>&lt;TitreType&gt;</w:t>
      </w:r>
      <w:r w:rsidRPr="006F36F0">
        <w:t>ΣΧΕΔΙΟ ΕΚΘΕΣΗΣ</w:t>
      </w:r>
      <w:r w:rsidRPr="006F36F0">
        <w:rPr>
          <w:rStyle w:val="HideTWBExt"/>
          <w:b w:val="0"/>
        </w:rPr>
        <w:t>&lt;/TitreType&gt;</w:t>
      </w:r>
    </w:p>
    <w:p w:rsidR="00793EA9" w:rsidRPr="006F36F0" w:rsidRDefault="00551D8F">
      <w:pPr>
        <w:pStyle w:val="CoverNormal"/>
      </w:pPr>
      <w:r w:rsidRPr="006F36F0">
        <w:rPr>
          <w:rStyle w:val="HideTWBExt"/>
        </w:rPr>
        <w:t>&lt;Titre&gt;</w:t>
      </w:r>
      <w:r w:rsidRPr="006F36F0">
        <w:t>σχετικά με την πρόταση οδηγίας του Ευρωπαϊκού Κοινοβουλίου και του Συμβουλίου για την τροποποίηση της οδηγίας 2014/59/ΕΕ και του κανονισμού (ΕΕ) αριθ. 806/2014 όσον αφορά ορισμένες πτυχές της ελάχιστης απαίτησης ιδίων κεφα</w:t>
      </w:r>
      <w:r w:rsidRPr="006F36F0">
        <w:t>λαίων και επιλέξιμων υποχρεώσεων</w:t>
      </w:r>
      <w:r w:rsidRPr="006F36F0">
        <w:rPr>
          <w:rStyle w:val="HideTWBExt"/>
        </w:rPr>
        <w:t>&lt;/Titre&gt;</w:t>
      </w:r>
    </w:p>
    <w:p w:rsidR="00793EA9" w:rsidRPr="006F36F0" w:rsidRDefault="00551D8F">
      <w:pPr>
        <w:pStyle w:val="CoverNormal24a"/>
      </w:pPr>
      <w:r w:rsidRPr="006F36F0">
        <w:rPr>
          <w:rStyle w:val="HideTWBExt"/>
        </w:rPr>
        <w:t>&lt;DocRef&gt;</w:t>
      </w:r>
      <w:r w:rsidRPr="006F36F0">
        <w:t>(COM(2023)0229 – C9</w:t>
      </w:r>
      <w:r w:rsidRPr="006F36F0">
        <w:noBreakHyphen/>
        <w:t>0134/2023 – 2023/0113(COD))</w:t>
      </w:r>
      <w:r w:rsidRPr="006F36F0">
        <w:rPr>
          <w:rStyle w:val="HideTWBExt"/>
        </w:rPr>
        <w:t>&lt;/DocRef&gt;</w:t>
      </w:r>
    </w:p>
    <w:p w:rsidR="00793EA9" w:rsidRPr="006F36F0" w:rsidRDefault="00551D8F">
      <w:pPr>
        <w:pStyle w:val="CoverNormal24a"/>
      </w:pPr>
      <w:r w:rsidRPr="006F36F0">
        <w:rPr>
          <w:rStyle w:val="HideTWBExt"/>
        </w:rPr>
        <w:t>&lt;Commission&gt;</w:t>
      </w:r>
      <w:r w:rsidRPr="006F36F0">
        <w:rPr>
          <w:rStyle w:val="HideTWBInt"/>
          <w:color w:val="auto"/>
        </w:rPr>
        <w:t>{ECON}</w:t>
      </w:r>
      <w:r w:rsidRPr="006F36F0">
        <w:t>Επιτροπή Οικονομικής και Νομισματικής Πολιτικής</w:t>
      </w:r>
      <w:r w:rsidRPr="006F36F0">
        <w:rPr>
          <w:rStyle w:val="HideTWBExt"/>
        </w:rPr>
        <w:t>&lt;/Commission&gt;</w:t>
      </w:r>
    </w:p>
    <w:p w:rsidR="00793EA9" w:rsidRPr="006F36F0" w:rsidRDefault="00551D8F">
      <w:pPr>
        <w:pStyle w:val="CoverNormal24a"/>
      </w:pPr>
      <w:r w:rsidRPr="006F36F0">
        <w:t xml:space="preserve">Εισηγητής: </w:t>
      </w:r>
      <w:r w:rsidRPr="006F36F0">
        <w:rPr>
          <w:rStyle w:val="HideTWBExt"/>
        </w:rPr>
        <w:t>&lt;Depute&gt;</w:t>
      </w:r>
      <w:r w:rsidRPr="006F36F0">
        <w:t>Jonás Fernández</w:t>
      </w:r>
      <w:r w:rsidRPr="006F36F0">
        <w:rPr>
          <w:rStyle w:val="HideTWBExt"/>
        </w:rPr>
        <w:t>&lt;/Depute&gt;</w:t>
      </w:r>
    </w:p>
    <w:p w:rsidR="001C5B44" w:rsidRPr="006F36F0" w:rsidRDefault="001C5B44" w:rsidP="001C5B44">
      <w:pPr>
        <w:pStyle w:val="CoverNormal"/>
      </w:pPr>
    </w:p>
    <w:p w:rsidR="006F1136" w:rsidRPr="006F36F0" w:rsidRDefault="00551D8F" w:rsidP="00DA0796">
      <w:r w:rsidRPr="006F36F0">
        <w:br w:type="page"/>
      </w:r>
      <w:fldSimple w:instr=" TITLE  \* MERGEFORMAT ">
        <w:r>
          <w:t>PR_COD_1amCom</w:t>
        </w:r>
      </w:fldSimple>
    </w:p>
    <w:p w:rsidR="006F1136" w:rsidRPr="006F36F0" w:rsidRDefault="006F1136" w:rsidP="00DA0796"/>
    <w:p w:rsidR="006F1136" w:rsidRPr="006F36F0" w:rsidRDefault="006F1136" w:rsidP="00DA079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F53B8" w:rsidRPr="006F36F0">
        <w:tc>
          <w:tcPr>
            <w:tcW w:w="5811" w:type="dxa"/>
          </w:tcPr>
          <w:p w:rsidR="006F1136" w:rsidRPr="006F36F0" w:rsidRDefault="00551D8F" w:rsidP="00DA0796">
            <w:pPr>
              <w:pStyle w:val="Lgendetitre"/>
            </w:pPr>
            <w:r w:rsidRPr="006F36F0">
              <w:t>Υπόμνημα για τα χρησιμοποιούμενα σύμβολα</w:t>
            </w:r>
          </w:p>
        </w:tc>
      </w:tr>
      <w:tr w:rsidR="008F53B8" w:rsidRPr="006F36F0" w:rsidTr="00DA0796">
        <w:trPr>
          <w:cantSplit/>
          <w:trHeight w:val="1807"/>
        </w:trPr>
        <w:tc>
          <w:tcPr>
            <w:tcW w:w="5811" w:type="dxa"/>
            <w:tcBorders>
              <w:bottom w:val="single" w:sz="4" w:space="0" w:color="auto"/>
            </w:tcBorders>
          </w:tcPr>
          <w:p w:rsidR="006F1136" w:rsidRPr="006F36F0" w:rsidRDefault="00551D8F" w:rsidP="00DA0796">
            <w:pPr>
              <w:pStyle w:val="Lgendesigne"/>
            </w:pPr>
            <w:r w:rsidRPr="006F36F0">
              <w:tab/>
              <w:t>*</w:t>
            </w:r>
            <w:r w:rsidRPr="006F36F0">
              <w:tab/>
              <w:t>Διαδικασία διαβούλευσης</w:t>
            </w:r>
          </w:p>
          <w:p w:rsidR="006F1136" w:rsidRPr="006F36F0" w:rsidRDefault="00551D8F" w:rsidP="00DA0796">
            <w:pPr>
              <w:pStyle w:val="Lgendesigne"/>
            </w:pPr>
            <w:r w:rsidRPr="006F36F0">
              <w:tab/>
              <w:t>***</w:t>
            </w:r>
            <w:r w:rsidRPr="006F36F0">
              <w:tab/>
              <w:t>Διαδικασία έγκρισης</w:t>
            </w:r>
          </w:p>
          <w:p w:rsidR="006F1136" w:rsidRPr="006F36F0" w:rsidRDefault="00551D8F" w:rsidP="00DA0796">
            <w:pPr>
              <w:pStyle w:val="Lgendesigne"/>
            </w:pPr>
            <w:r w:rsidRPr="006F36F0">
              <w:tab/>
              <w:t>***I</w:t>
            </w:r>
            <w:r w:rsidRPr="006F36F0">
              <w:tab/>
              <w:t>Συνήθης νομοθετική διαδικασία (πρώτη ανάγνωση)</w:t>
            </w:r>
          </w:p>
          <w:p w:rsidR="006F1136" w:rsidRPr="006F36F0" w:rsidRDefault="00551D8F" w:rsidP="00DA0796">
            <w:pPr>
              <w:pStyle w:val="Lgendesigne"/>
            </w:pPr>
            <w:r w:rsidRPr="006F36F0">
              <w:tab/>
              <w:t>***II</w:t>
            </w:r>
            <w:r w:rsidRPr="006F36F0">
              <w:tab/>
              <w:t>Συνήθης νομοθετική διαδικασία (δεύτερη ανάγνωση)</w:t>
            </w:r>
          </w:p>
          <w:p w:rsidR="006F1136" w:rsidRPr="006F36F0" w:rsidRDefault="00551D8F" w:rsidP="00DA0796">
            <w:pPr>
              <w:pStyle w:val="Lgendesigne"/>
            </w:pPr>
            <w:r w:rsidRPr="006F36F0">
              <w:tab/>
              <w:t>***III</w:t>
            </w:r>
            <w:r w:rsidRPr="006F36F0">
              <w:tab/>
              <w:t>Συνήθης νομοθετική διαδικα</w:t>
            </w:r>
            <w:r w:rsidRPr="006F36F0">
              <w:t>σία (τρίτη ανάγνωση)</w:t>
            </w:r>
          </w:p>
          <w:p w:rsidR="006F1136" w:rsidRPr="006F36F0" w:rsidRDefault="006F1136" w:rsidP="00DA0796">
            <w:pPr>
              <w:pStyle w:val="Lgendestandard"/>
            </w:pPr>
          </w:p>
          <w:p w:rsidR="006F1136" w:rsidRPr="006F36F0" w:rsidRDefault="00551D8F" w:rsidP="00DA0796">
            <w:pPr>
              <w:pStyle w:val="Lgendestandard"/>
            </w:pPr>
            <w:r w:rsidRPr="006F36F0">
              <w:t>(Η ενδεικνυόμενη διαδικασία στηρίζεται στη νομική βάση που προτείνεται στο σχέδιο πράξης)</w:t>
            </w:r>
          </w:p>
          <w:p w:rsidR="006F1136" w:rsidRPr="006F36F0" w:rsidRDefault="006F1136" w:rsidP="00DA0796">
            <w:pPr>
              <w:pStyle w:val="Lgendestandard"/>
            </w:pPr>
          </w:p>
        </w:tc>
      </w:tr>
    </w:tbl>
    <w:p w:rsidR="006F1136" w:rsidRPr="006F36F0" w:rsidRDefault="006F1136" w:rsidP="00DA0796"/>
    <w:p w:rsidR="006F1136" w:rsidRPr="006F36F0" w:rsidRDefault="006F1136" w:rsidP="00DA0796"/>
    <w:p w:rsidR="006F1136" w:rsidRPr="006F36F0" w:rsidRDefault="006F1136" w:rsidP="00DA0796"/>
    <w:p w:rsidR="006F1136" w:rsidRPr="006F36F0" w:rsidRDefault="006F1136" w:rsidP="00DA079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F53B8" w:rsidRPr="006F36F0">
        <w:tc>
          <w:tcPr>
            <w:tcW w:w="5811" w:type="dxa"/>
          </w:tcPr>
          <w:p w:rsidR="006F1136" w:rsidRPr="006F36F0" w:rsidRDefault="00551D8F" w:rsidP="00DA0796">
            <w:pPr>
              <w:pStyle w:val="Lgendetitre"/>
            </w:pPr>
            <w:r w:rsidRPr="006F36F0">
              <w:t>Τροπολογίες σε σχέδιο πράξης</w:t>
            </w:r>
          </w:p>
        </w:tc>
      </w:tr>
      <w:tr w:rsidR="008F53B8" w:rsidRPr="006F36F0" w:rsidTr="00DA0796">
        <w:trPr>
          <w:trHeight w:val="4496"/>
        </w:trPr>
        <w:tc>
          <w:tcPr>
            <w:tcW w:w="5811" w:type="dxa"/>
          </w:tcPr>
          <w:p w:rsidR="006F1136" w:rsidRPr="006F36F0" w:rsidRDefault="00551D8F" w:rsidP="00DA0796">
            <w:pPr>
              <w:pStyle w:val="Lgendestandard"/>
              <w:rPr>
                <w:szCs w:val="24"/>
              </w:rPr>
            </w:pPr>
            <w:r w:rsidRPr="006F36F0">
              <w:rPr>
                <w:b/>
              </w:rPr>
              <w:t>Τροπολογίες του Κοινοβουλίου σε δύο στήλες</w:t>
            </w:r>
          </w:p>
          <w:p w:rsidR="006F1136" w:rsidRPr="006F36F0" w:rsidRDefault="006F1136" w:rsidP="00DA0796">
            <w:pPr>
              <w:pStyle w:val="Lgendestandard"/>
              <w:rPr>
                <w:szCs w:val="24"/>
              </w:rPr>
            </w:pPr>
          </w:p>
          <w:p w:rsidR="006F1136" w:rsidRPr="006F36F0" w:rsidRDefault="00551D8F" w:rsidP="00DA0796">
            <w:pPr>
              <w:pStyle w:val="Lgendestandard"/>
              <w:rPr>
                <w:szCs w:val="24"/>
              </w:rPr>
            </w:pPr>
            <w:r w:rsidRPr="006F36F0">
              <w:t xml:space="preserve">Η διαγραφή κειμένου σημαίνεται με </w:t>
            </w:r>
            <w:r w:rsidRPr="006F36F0">
              <w:rPr>
                <w:b/>
                <w:i/>
              </w:rPr>
              <w:t>πλάγιους έντονους χαρακτήρες</w:t>
            </w:r>
            <w:r w:rsidRPr="006F36F0">
              <w:t xml:space="preserve"> στην αριστερή στήλη. Η αντικατάσταση κειμένου σημαίνεται με </w:t>
            </w:r>
            <w:r w:rsidRPr="006F36F0">
              <w:rPr>
                <w:b/>
                <w:i/>
              </w:rPr>
              <w:t>πλάγιους έντονους χαρακτήρες</w:t>
            </w:r>
            <w:r w:rsidRPr="006F36F0">
              <w:t xml:space="preserve"> και στις δύο στήλες. Το νέο κείμενο σημαίνεται με </w:t>
            </w:r>
            <w:r w:rsidRPr="006F36F0">
              <w:rPr>
                <w:b/>
                <w:i/>
              </w:rPr>
              <w:t>πλάγιους έντονους χαρακτήρες</w:t>
            </w:r>
            <w:r w:rsidRPr="006F36F0">
              <w:t xml:space="preserve"> στη δεξιά στήλη.</w:t>
            </w:r>
          </w:p>
          <w:p w:rsidR="006F1136" w:rsidRPr="006F36F0" w:rsidRDefault="006F1136" w:rsidP="00DA0796">
            <w:pPr>
              <w:pStyle w:val="Lgendestandard"/>
              <w:rPr>
                <w:szCs w:val="24"/>
              </w:rPr>
            </w:pPr>
          </w:p>
          <w:p w:rsidR="006F1136" w:rsidRPr="006F36F0" w:rsidRDefault="00551D8F" w:rsidP="00DA0796">
            <w:pPr>
              <w:pStyle w:val="Lgendestandard"/>
              <w:rPr>
                <w:szCs w:val="24"/>
              </w:rPr>
            </w:pPr>
            <w:r w:rsidRPr="006F36F0">
              <w:t xml:space="preserve">Η πρώτη και η δεύτερη γραμμή της επικεφαλίδας κάθε τροπολογίας </w:t>
            </w:r>
            <w:r w:rsidRPr="006F36F0">
              <w:t>προσδιορίζουν το σχετικό τμήμα του εξεταζόμενου σχεδίου πράξης. Εάν μία τροπολογία αναφέρεται σε ήδη υφιστάμενη πράξη την οποία το σχέδιο πράξης αποσκοπεί να τροποποιήσει, η επικεφαλίδα περιέχει επιπλέον και μία τρίτη και μία τέταρτη γραμμή που προσδιορίζο</w:t>
            </w:r>
            <w:r w:rsidRPr="006F36F0">
              <w:t>υν αντίστοιχα την υφιστάμενη πράξη και τη διάταξή της στην οποία αναφέρεται η τροπολογία.</w:t>
            </w:r>
          </w:p>
          <w:p w:rsidR="006F1136" w:rsidRPr="006F36F0" w:rsidRDefault="006F1136" w:rsidP="00DA0796">
            <w:pPr>
              <w:pStyle w:val="Lgendestandard"/>
              <w:rPr>
                <w:szCs w:val="24"/>
              </w:rPr>
            </w:pPr>
          </w:p>
          <w:p w:rsidR="006F1136" w:rsidRPr="006F36F0" w:rsidRDefault="00551D8F" w:rsidP="00DA0796">
            <w:pPr>
              <w:pStyle w:val="Lgendestandard"/>
              <w:rPr>
                <w:b/>
                <w:szCs w:val="24"/>
              </w:rPr>
            </w:pPr>
            <w:r w:rsidRPr="006F36F0">
              <w:rPr>
                <w:b/>
              </w:rPr>
              <w:t>Τροπολογίες του Κοινοβουλίου με μορφή ενοποιημένου κειμένου</w:t>
            </w:r>
          </w:p>
          <w:p w:rsidR="006F1136" w:rsidRPr="006F36F0" w:rsidRDefault="006F1136" w:rsidP="00DA0796">
            <w:pPr>
              <w:pStyle w:val="Lgendestandard"/>
              <w:rPr>
                <w:szCs w:val="24"/>
              </w:rPr>
            </w:pPr>
          </w:p>
          <w:p w:rsidR="006F1136" w:rsidRPr="006F36F0" w:rsidRDefault="00551D8F" w:rsidP="00DA0796">
            <w:pPr>
              <w:pStyle w:val="Lgendestandard"/>
              <w:rPr>
                <w:szCs w:val="24"/>
              </w:rPr>
            </w:pPr>
            <w:r w:rsidRPr="006F36F0">
              <w:t xml:space="preserve">Τα νέα τμήματα του κειμένου σημαίνονται με </w:t>
            </w:r>
            <w:r w:rsidRPr="006F36F0">
              <w:rPr>
                <w:b/>
                <w:i/>
              </w:rPr>
              <w:t>πλάγιους έντονους χαρακτήρες</w:t>
            </w:r>
            <w:r w:rsidRPr="006F36F0">
              <w:t>. Τα τμήματα του κειμένου που απα</w:t>
            </w:r>
            <w:r w:rsidRPr="006F36F0">
              <w:t xml:space="preserve">λείφονται σημαίνονται με το σύμβολο ▌ ή με διαγραφή. Η αντικατάσταση κειμένου σημαίνεται με </w:t>
            </w:r>
            <w:r w:rsidRPr="006F36F0">
              <w:rPr>
                <w:b/>
                <w:i/>
              </w:rPr>
              <w:t>πλάγιους έντονους χαρακτήρες</w:t>
            </w:r>
            <w:r w:rsidRPr="006F36F0">
              <w:t xml:space="preserve"> που υποδηλώνουν το νέο κείμενο και με διαγραφή του κειμένου που αντικαθίσταται. </w:t>
            </w:r>
          </w:p>
          <w:p w:rsidR="006F1136" w:rsidRPr="006F36F0" w:rsidRDefault="00551D8F" w:rsidP="00DA0796">
            <w:pPr>
              <w:pStyle w:val="Lgendestandard"/>
            </w:pPr>
            <w:r w:rsidRPr="006F36F0">
              <w:t>Κατ’ εξαίρεση, δεν σημαίνονται οι τροποποιήσεις αυστηρ</w:t>
            </w:r>
            <w:r w:rsidRPr="006F36F0">
              <w:t>ά τεχνικής φύσης που επιφέρουν οι υπηρεσίες κατά την επεξεργασία του τελικού κειμένου.</w:t>
            </w:r>
          </w:p>
          <w:p w:rsidR="006F1136" w:rsidRPr="006F36F0" w:rsidRDefault="006F1136" w:rsidP="00DA0796">
            <w:pPr>
              <w:pStyle w:val="Lgendestandard"/>
            </w:pPr>
          </w:p>
        </w:tc>
      </w:tr>
    </w:tbl>
    <w:p w:rsidR="006F1136" w:rsidRPr="006F36F0" w:rsidRDefault="006F1136" w:rsidP="00DA0796"/>
    <w:p w:rsidR="00793EA9" w:rsidRPr="006F36F0" w:rsidRDefault="00793EA9" w:rsidP="00012351">
      <w:pPr>
        <w:widowControl/>
        <w:tabs>
          <w:tab w:val="center" w:pos="4677"/>
        </w:tabs>
      </w:pPr>
    </w:p>
    <w:p w:rsidR="00793EA9" w:rsidRPr="006F36F0" w:rsidRDefault="00551D8F">
      <w:pPr>
        <w:pStyle w:val="TOCHeading"/>
      </w:pPr>
      <w:r w:rsidRPr="006F36F0">
        <w:br w:type="page"/>
        <w:t>ΠΕΡΙΕΧΟΜΕΝΑ</w:t>
      </w:r>
    </w:p>
    <w:p w:rsidR="00793EA9" w:rsidRPr="006F36F0" w:rsidRDefault="00551D8F">
      <w:pPr>
        <w:pStyle w:val="TOCPage"/>
      </w:pPr>
      <w:r w:rsidRPr="006F36F0">
        <w:t>Σελίδα</w:t>
      </w:r>
    </w:p>
    <w:p w:rsidR="00551D8F" w:rsidRDefault="00551D8F">
      <w:pPr>
        <w:pStyle w:val="TOC1"/>
        <w:tabs>
          <w:tab w:val="right" w:leader="dot" w:pos="9060"/>
        </w:tabs>
        <w:rPr>
          <w:rFonts w:asciiTheme="minorHAnsi" w:eastAsiaTheme="minorEastAsia" w:hAnsiTheme="minorHAnsi" w:cstheme="minorBidi"/>
          <w:noProof/>
          <w:sz w:val="22"/>
          <w:szCs w:val="22"/>
          <w:lang w:val="en-GB"/>
        </w:rPr>
      </w:pPr>
      <w:r w:rsidRPr="006F36F0">
        <w:rPr>
          <w:b/>
        </w:rPr>
        <w:fldChar w:fldCharType="begin"/>
      </w:r>
      <w:r w:rsidRPr="006F36F0">
        <w:rPr>
          <w:b/>
        </w:rPr>
        <w:instrText xml:space="preserve"> TOC \t "PageHeading</w:instrText>
      </w:r>
      <w:r w:rsidR="00E70D3B" w:rsidRPr="006F36F0">
        <w:rPr>
          <w:b/>
        </w:rPr>
        <w:instrText>;</w:instrText>
      </w:r>
      <w:r w:rsidRPr="006F36F0">
        <w:rPr>
          <w:b/>
        </w:rPr>
        <w:instrText xml:space="preserve">1" </w:instrText>
      </w:r>
      <w:r w:rsidRPr="006F36F0">
        <w:rPr>
          <w:b/>
        </w:rPr>
        <w:fldChar w:fldCharType="separate"/>
      </w:r>
      <w:r>
        <w:rPr>
          <w:noProof/>
        </w:rPr>
        <w:t>ΣΧΕΔΙΟ ΝΟΜΟΘΕΤΙΚΟΥ ΨΗΦΙΣΜΑΤΟΣ ΤΟΥ ΕΥΡΩΠΑΪΚΟΥ ΚΟΙΝΟΒΟΥΛΙΟΥ</w:t>
      </w:r>
      <w:r>
        <w:rPr>
          <w:noProof/>
        </w:rPr>
        <w:tab/>
      </w:r>
      <w:r>
        <w:rPr>
          <w:noProof/>
        </w:rPr>
        <w:fldChar w:fldCharType="begin"/>
      </w:r>
      <w:r>
        <w:rPr>
          <w:noProof/>
        </w:rPr>
        <w:instrText xml:space="preserve"> PAGEREF _Toc146613035 \h </w:instrText>
      </w:r>
      <w:r>
        <w:rPr>
          <w:noProof/>
        </w:rPr>
      </w:r>
      <w:r>
        <w:rPr>
          <w:noProof/>
        </w:rPr>
        <w:fldChar w:fldCharType="separate"/>
      </w:r>
      <w:r>
        <w:rPr>
          <w:noProof/>
        </w:rPr>
        <w:t>5</w:t>
      </w:r>
      <w:r>
        <w:rPr>
          <w:noProof/>
        </w:rPr>
        <w:fldChar w:fldCharType="end"/>
      </w:r>
    </w:p>
    <w:p w:rsidR="002346B0" w:rsidRPr="006F36F0" w:rsidRDefault="00551D8F" w:rsidP="00C23324">
      <w:r w:rsidRPr="006F36F0">
        <w:rPr>
          <w:b/>
        </w:rPr>
        <w:fldChar w:fldCharType="end"/>
      </w:r>
    </w:p>
    <w:p w:rsidR="00793EA9" w:rsidRPr="006F36F0" w:rsidRDefault="00551D8F">
      <w:pPr>
        <w:pStyle w:val="PageHeading"/>
      </w:pPr>
      <w:r w:rsidRPr="006F36F0">
        <w:br w:type="page"/>
      </w:r>
      <w:r w:rsidRPr="006F36F0">
        <w:br w:type="page"/>
      </w:r>
      <w:bookmarkStart w:id="0" w:name="_Toc146613035"/>
      <w:r w:rsidRPr="006F36F0">
        <w:t>ΣΧΕΔΙΟ ΝΟΜΟΘΕΤΙΚΟΥ ΨΗΦΙΣΜΑΤΟΣ ΤΟΥ ΕΥΡΩΠΑΪΚΟΥ ΚΟΙΝΟΒΟΥΛΙΟΥ</w:t>
      </w:r>
      <w:bookmarkEnd w:id="0"/>
    </w:p>
    <w:p w:rsidR="00793EA9" w:rsidRPr="006F36F0" w:rsidRDefault="00551D8F">
      <w:pPr>
        <w:pStyle w:val="NormalBold"/>
      </w:pPr>
      <w:r w:rsidRPr="006F36F0">
        <w:t>σχετικά με την πρόταση οδηγίας του Ευρωπαϊκού Κοινοβουλίου και του Συμβουλίου για την τροποποίηση της οδηγίας 2014/59/ΕΕ και το</w:t>
      </w:r>
      <w:r w:rsidRPr="006F36F0">
        <w:t>υ κανονισμού (ΕΕ) αριθ. 806/2014 όσον αφορά ορισμένες πτυχές της ελάχιστης απαίτησης ιδίων κεφαλαίων και επιλέξιμων υποχρεώσεων</w:t>
      </w:r>
    </w:p>
    <w:p w:rsidR="00793EA9" w:rsidRPr="006F36F0" w:rsidRDefault="00551D8F">
      <w:pPr>
        <w:pStyle w:val="NormalBold12a"/>
      </w:pPr>
      <w:r w:rsidRPr="006F36F0">
        <w:t>(COM(2023)0229 – C9</w:t>
      </w:r>
      <w:r w:rsidRPr="006F36F0">
        <w:noBreakHyphen/>
        <w:t>0134/2023 – 2023/0113(COD))</w:t>
      </w:r>
    </w:p>
    <w:p w:rsidR="00793EA9" w:rsidRPr="006F36F0" w:rsidRDefault="00551D8F" w:rsidP="00A910C9">
      <w:pPr>
        <w:pStyle w:val="NormalBold"/>
      </w:pPr>
      <w:r w:rsidRPr="006F36F0">
        <w:t>(Συνήθης νομοθετική διαδικασία: πρώτη ανάγνωση)</w:t>
      </w:r>
    </w:p>
    <w:p w:rsidR="00793EA9" w:rsidRPr="006F36F0" w:rsidRDefault="00551D8F" w:rsidP="00A910C9">
      <w:pPr>
        <w:pStyle w:val="EPComma"/>
      </w:pPr>
      <w:r w:rsidRPr="006F36F0">
        <w:rPr>
          <w:i/>
        </w:rPr>
        <w:t>Το Ευρωπαϊκό Κοινοβούλιο,</w:t>
      </w:r>
    </w:p>
    <w:p w:rsidR="00793EA9" w:rsidRPr="006F36F0" w:rsidRDefault="00551D8F">
      <w:pPr>
        <w:pStyle w:val="NormalHanging12a"/>
      </w:pPr>
      <w:r w:rsidRPr="006F36F0">
        <w:t>–</w:t>
      </w:r>
      <w:r w:rsidRPr="006F36F0">
        <w:tab/>
      </w:r>
      <w:r w:rsidRPr="006F36F0">
        <w:t>έχοντας υπόψη την πρόταση της Επιτροπής προς το Κοινοβούλιο και το Συμβούλιο (COM(2023)0229),</w:t>
      </w:r>
    </w:p>
    <w:p w:rsidR="00793EA9" w:rsidRPr="006F36F0" w:rsidRDefault="00551D8F">
      <w:pPr>
        <w:pStyle w:val="NormalHanging12a"/>
      </w:pPr>
      <w:r w:rsidRPr="006F36F0">
        <w:t>–</w:t>
      </w:r>
      <w:r w:rsidRPr="006F36F0">
        <w:tab/>
        <w:t xml:space="preserve">έχοντας υπόψη το άρθρο 294 παράγραφος 2 και το άρθρο 114 της Συνθήκης για τη λειτουργία της Ευρωπαϊκής Ένωσης, σύμφωνα με τα οποία του υποβλήθηκε η πρόταση από </w:t>
      </w:r>
      <w:r w:rsidRPr="006F36F0">
        <w:t>την Επιτροπή (C9</w:t>
      </w:r>
      <w:r w:rsidRPr="006F36F0">
        <w:noBreakHyphen/>
        <w:t>0134/2023),</w:t>
      </w:r>
    </w:p>
    <w:p w:rsidR="00A26F46" w:rsidRPr="006F36F0" w:rsidRDefault="00551D8F" w:rsidP="00A26F46">
      <w:pPr>
        <w:pStyle w:val="NormalHanging12a"/>
      </w:pPr>
      <w:r w:rsidRPr="006F36F0">
        <w:t>–</w:t>
      </w:r>
      <w:r w:rsidRPr="006F36F0">
        <w:tab/>
        <w:t>έχοντας υπόψη το άρθρο 294 παράγραφος 3 της Συνθήκης για τη λειτουργία της Ευρωπαϊκής Ένωσης,</w:t>
      </w:r>
    </w:p>
    <w:p w:rsidR="006F1136" w:rsidRPr="006F36F0" w:rsidRDefault="00551D8F" w:rsidP="00AD7FA6">
      <w:pPr>
        <w:pStyle w:val="NormalHanging12a"/>
      </w:pPr>
      <w:r w:rsidRPr="006F36F0">
        <w:t>–</w:t>
      </w:r>
      <w:r w:rsidRPr="006F36F0">
        <w:tab/>
        <w:t>έχοντας υπόψη τη γνώμη της Ευρωπαϊκής Κεντρικής Τράπεζας της 5ης Ιουλίου 2023</w:t>
      </w:r>
      <w:r w:rsidRPr="006F36F0">
        <w:rPr>
          <w:rStyle w:val="FootnoteReference"/>
        </w:rPr>
        <w:footnoteReference w:id="1"/>
      </w:r>
      <w:r w:rsidRPr="006F36F0">
        <w:t>,</w:t>
      </w:r>
    </w:p>
    <w:p w:rsidR="00D73518" w:rsidRPr="006F36F0" w:rsidRDefault="00551D8F" w:rsidP="00AD7FA6">
      <w:pPr>
        <w:pStyle w:val="NormalHanging12a"/>
      </w:pPr>
      <w:r w:rsidRPr="006F36F0">
        <w:t>–</w:t>
      </w:r>
      <w:r w:rsidRPr="006F36F0">
        <w:tab/>
        <w:t>έχοντας υπόψη τη γνώμη της Οικονομικής και Κοιν</w:t>
      </w:r>
      <w:r w:rsidRPr="006F36F0">
        <w:t>ωνικής Επιτροπής της 13ης Ιουλίου 2023</w:t>
      </w:r>
      <w:r w:rsidRPr="006F36F0">
        <w:rPr>
          <w:rStyle w:val="FootnoteReference"/>
          <w:szCs w:val="24"/>
        </w:rPr>
        <w:footnoteReference w:id="2"/>
      </w:r>
      <w:r w:rsidRPr="006F36F0">
        <w:t>,</w:t>
      </w:r>
    </w:p>
    <w:p w:rsidR="00793EA9" w:rsidRPr="006F36F0" w:rsidRDefault="00551D8F">
      <w:pPr>
        <w:pStyle w:val="NormalHanging12a"/>
      </w:pPr>
      <w:r w:rsidRPr="006F36F0">
        <w:t>–</w:t>
      </w:r>
      <w:r w:rsidRPr="006F36F0">
        <w:tab/>
        <w:t>έχοντας υπόψη το άρθρο 59 του Κανονισμού του,</w:t>
      </w:r>
    </w:p>
    <w:p w:rsidR="006A2F5D" w:rsidRPr="006F36F0" w:rsidRDefault="00551D8F" w:rsidP="006A2F5D">
      <w:pPr>
        <w:pStyle w:val="NormalHanging12a"/>
      </w:pPr>
      <w:r w:rsidRPr="006F36F0">
        <w:t>–</w:t>
      </w:r>
      <w:r w:rsidRPr="006F36F0">
        <w:tab/>
        <w:t>έχοντας υπόψη την έκθεση της Επιτροπής Οικονομικής και Νομισματικής Πολιτικής (A9</w:t>
      </w:r>
      <w:r w:rsidRPr="006F36F0">
        <w:noBreakHyphen/>
        <w:t>0000/2023),</w:t>
      </w:r>
    </w:p>
    <w:p w:rsidR="009F6C2F" w:rsidRPr="006F36F0" w:rsidRDefault="00551D8F" w:rsidP="00B17848">
      <w:pPr>
        <w:pStyle w:val="NormalHanging12a"/>
      </w:pPr>
      <w:r w:rsidRPr="006F36F0">
        <w:t>1.</w:t>
      </w:r>
      <w:r w:rsidRPr="006F36F0">
        <w:tab/>
        <w:t>εγκρίνει τη θέση του σε πρώτη ανάγνωση όπως παρατίθεται κατωτέρω·</w:t>
      </w:r>
    </w:p>
    <w:p w:rsidR="009F6C2F" w:rsidRPr="006F36F0" w:rsidRDefault="00551D8F" w:rsidP="009F6C2F">
      <w:pPr>
        <w:pStyle w:val="NormalHanging12a"/>
      </w:pPr>
      <w:r w:rsidRPr="006F36F0">
        <w:t>2.</w:t>
      </w:r>
      <w:r w:rsidRPr="006F36F0">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9F6C2F" w:rsidRPr="006F36F0" w:rsidRDefault="00551D8F" w:rsidP="009F6C2F">
      <w:pPr>
        <w:pStyle w:val="NormalHanging12a"/>
      </w:pPr>
      <w:r w:rsidRPr="006F36F0">
        <w:t>3.</w:t>
      </w:r>
      <w:r w:rsidRPr="006F36F0">
        <w:tab/>
        <w:t xml:space="preserve">αναθέτει στην Πρόεδρό του να διαβιβάσει τη </w:t>
      </w:r>
      <w:r w:rsidRPr="006F36F0">
        <w:t>θέση του Κοινοβουλίου στο Συμβούλιο, στην Επιτροπή και στα εθνικά κοινοβούλια.</w:t>
      </w:r>
    </w:p>
    <w:p w:rsidR="00D30DE2" w:rsidRPr="006F36F0" w:rsidRDefault="00D30DE2" w:rsidP="00D30DE2"/>
    <w:p w:rsidR="008C37B3" w:rsidRPr="006F36F0" w:rsidRDefault="008C37B3" w:rsidP="00D30DE2"/>
    <w:p w:rsidR="008C37B3" w:rsidRPr="006F36F0" w:rsidRDefault="008C37B3" w:rsidP="00D30DE2"/>
    <w:p w:rsidR="008C37B3" w:rsidRPr="006F36F0" w:rsidRDefault="008C37B3" w:rsidP="00D30DE2"/>
    <w:p w:rsidR="008C37B3" w:rsidRPr="006F36F0" w:rsidRDefault="008C37B3" w:rsidP="00D30DE2"/>
    <w:p w:rsidR="002669B6" w:rsidRPr="006F36F0" w:rsidRDefault="00551D8F" w:rsidP="00212B84">
      <w:pPr>
        <w:pStyle w:val="AmNumberTabs"/>
        <w:keepNext/>
      </w:pPr>
      <w:r w:rsidRPr="006F36F0">
        <w:rPr>
          <w:rStyle w:val="HideTWBExt"/>
          <w:b w:val="0"/>
        </w:rPr>
        <w:t>&lt;RepeatBlock-Amend&gt;</w:t>
      </w:r>
      <w:bookmarkStart w:id="1" w:name="restart"/>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1</w:t>
      </w:r>
      <w:r w:rsidRPr="006F36F0">
        <w:rPr>
          <w:rStyle w:val="HideTWBExt"/>
          <w:b w:val="0"/>
        </w:rPr>
        <w:t>&lt;/NumAm&gt;</w:t>
      </w:r>
    </w:p>
    <w:p w:rsidR="002669B6" w:rsidRPr="006F36F0" w:rsidRDefault="00551D8F" w:rsidP="00212B84">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Αιτιολογική σκέψη 1</w:t>
      </w:r>
      <w:r w:rsidRPr="006F36F0">
        <w:rPr>
          <w:rStyle w:val="HideTWBExt"/>
          <w:b w:val="0"/>
        </w:rPr>
        <w:t>&lt;/Article&gt;</w:t>
      </w:r>
      <w:bookmarkEnd w:id="1"/>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(1)</w:t>
            </w:r>
            <w:r w:rsidRPr="006F36F0">
              <w:tab/>
              <w:t>Η οδηγία (ΕΕ) 2019/879 του Ευρωπαϊκού Κοινοβουλίου και του Συμβουλίου</w:t>
            </w:r>
            <w:r w:rsidRPr="006F36F0">
              <w:rPr>
                <w:vertAlign w:val="superscript"/>
              </w:rPr>
              <w:t>16</w:t>
            </w:r>
            <w:r w:rsidRPr="006F36F0">
              <w:t xml:space="preserve"> και ο κανονισμός (ΕΕ) 2019/877 του Ευρωπαϊκού Κοινοβουλίου και του Συμβουλίου</w:t>
            </w:r>
            <w:r w:rsidRPr="006F36F0">
              <w:rPr>
                <w:vertAlign w:val="superscript"/>
              </w:rPr>
              <w:t>17</w:t>
            </w:r>
            <w:r w:rsidRPr="006F36F0">
              <w:t xml:space="preserve"> τροποποίησαν την ελάχιστη απαίτηση ιδίων κεφαλαίων και επιλέξιμων υποχρεώσεων (στο εξής:</w:t>
            </w:r>
            <w:r w:rsidRPr="006F36F0">
              <w:t xml:space="preserve"> MREL), η οποία προβλέπεται στην οδηγία 2014/59/ΕΕ του Ευρωπαϊκού Κοινοβουλίου και του Συμβουλίου</w:t>
            </w:r>
            <w:r w:rsidRPr="006F36F0">
              <w:rPr>
                <w:vertAlign w:val="superscript"/>
              </w:rPr>
              <w:t>18</w:t>
            </w:r>
            <w:r w:rsidRPr="006F36F0">
              <w:t>, καθώς και στον κανονισμό (ΕΕ) αριθ. 806/2014 του Ευρωπαϊκού Κοινοβουλίου και του Συμβουλίου</w:t>
            </w:r>
            <w:r w:rsidRPr="006F36F0">
              <w:rPr>
                <w:vertAlign w:val="superscript"/>
              </w:rPr>
              <w:t>19</w:t>
            </w:r>
            <w:r w:rsidRPr="006F36F0">
              <w:t>, και εφαρμόζεται σε πιστωτικά ιδρύματα και επιχειρήσεις επενδ</w:t>
            </w:r>
            <w:r w:rsidRPr="006F36F0">
              <w:t xml:space="preserve">ύσεων (στο εξής: ιδρύματα) που είναι εγκατεστημένα στην Ένωση, αλλά και σε κάθε άλλη οντότητα η οποία εμπίπτει στο πεδίο εφαρμογής της οδηγίας 2014/59/ΕΕ ή του κανονισμού (ΕΕ) αριθ. 806/2014 (στο εξής: οντότητες). Οι εν λόγω τροποποιήσεις προέβλεπαν ότι η </w:t>
            </w:r>
            <w:r w:rsidRPr="006F36F0">
              <w:t>εκπλήρωση της εσωτερικής MREL, δηλαδή της MREL που εφαρμόζεται σε ιδρύματα και οντότητες που είναι θυγατρικές οντοτήτων εξυγίανσης αλλά δεν είναι οι ίδιες οντότητες εξυγίανσης, είναι δυνατή από τις εν λόγω οντότητες με τη χρήση μέσων που έχει εκδώσει και α</w:t>
            </w:r>
            <w:r w:rsidRPr="006F36F0">
              <w:t>γοράσει η οντότητα εξυγίανσης, είτε άμεσα είτε έμμεσα μέσω άλλων οντοτήτων του ίδιου ομίλου εξυγίανσης.</w:t>
            </w:r>
          </w:p>
        </w:tc>
        <w:tc>
          <w:tcPr>
            <w:tcW w:w="4876" w:type="dxa"/>
            <w:hideMark/>
          </w:tcPr>
          <w:p w:rsidR="00932D06" w:rsidRPr="006F36F0" w:rsidRDefault="00551D8F">
            <w:pPr>
              <w:pStyle w:val="Normal6"/>
              <w:rPr>
                <w:szCs w:val="24"/>
              </w:rPr>
            </w:pPr>
            <w:r w:rsidRPr="006F36F0">
              <w:t>(1)</w:t>
            </w:r>
            <w:r w:rsidRPr="006F36F0">
              <w:tab/>
              <w:t>Η οδηγία (ΕΕ) 2019/879 του Ευρωπαϊκού Κοινοβουλίου και του Συμβουλίου</w:t>
            </w:r>
            <w:r w:rsidRPr="006F36F0">
              <w:rPr>
                <w:vertAlign w:val="superscript"/>
              </w:rPr>
              <w:t>16</w:t>
            </w:r>
            <w:r w:rsidRPr="006F36F0">
              <w:t xml:space="preserve"> και ο κανονισμός (ΕΕ) 2019/877 του Ευρωπαϊκού Κοινοβουλίου και του Συμβουλίο</w:t>
            </w:r>
            <w:r w:rsidRPr="006F36F0">
              <w:t>υ</w:t>
            </w:r>
            <w:r w:rsidRPr="006F36F0">
              <w:rPr>
                <w:vertAlign w:val="superscript"/>
              </w:rPr>
              <w:t>17</w:t>
            </w:r>
            <w:r w:rsidRPr="006F36F0">
              <w:t xml:space="preserve"> τροποποίησαν την ελάχιστη απαίτηση ιδίων κεφαλαίων και επιλέξιμων υποχρεώσεων (στο εξής: MREL), η οποία προβλέπεται στην οδηγία 2014/59/ΕΕ του Ευρωπαϊκού Κοινοβουλίου και του Συμβουλίου</w:t>
            </w:r>
            <w:r w:rsidRPr="006F36F0">
              <w:rPr>
                <w:vertAlign w:val="superscript"/>
              </w:rPr>
              <w:t>18</w:t>
            </w:r>
            <w:r w:rsidRPr="006F36F0">
              <w:t>, καθώς και στον κανονισμό (ΕΕ) αριθ. 806/2014 του Ευρωπαϊκού Κοι</w:t>
            </w:r>
            <w:r w:rsidRPr="006F36F0">
              <w:t>νοβουλίου και του Συμβουλίου</w:t>
            </w:r>
            <w:r w:rsidRPr="006F36F0">
              <w:rPr>
                <w:vertAlign w:val="superscript"/>
              </w:rPr>
              <w:t>19</w:t>
            </w:r>
            <w:r w:rsidRPr="006F36F0">
              <w:t>, και εφαρμόζεται σε πιστωτικά ιδρύματα και επιχειρήσεις επενδύσεων (στο εξής: ιδρύματα) που είναι εγκατεστημένα στην Ένωση, αλλά και σε κάθε άλλη οντότητα η οποία εμπίπτει στο πεδίο εφαρμογής της οδηγίας 2014/59/ΕΕ ή του κανο</w:t>
            </w:r>
            <w:r w:rsidRPr="006F36F0">
              <w:t>νισμού (ΕΕ) αριθ. 806/2014 (στο εξής: οντότητες). Οι εν λόγω τροποποιήσεις προέβλεπαν ότι η εκπλήρωση της εσωτερικής MREL, δηλαδή της MREL που εφαρμόζεται σε ιδρύματα και οντότητες που είναι θυγατρικές οντοτήτων εξυγίανσης αλλά δεν είναι οι ίδιες οντότητες</w:t>
            </w:r>
            <w:r w:rsidRPr="006F36F0">
              <w:t xml:space="preserve"> εξυγίανσης, είναι δυνατή από </w:t>
            </w:r>
            <w:r w:rsidRPr="006F36F0">
              <w:rPr>
                <w:b/>
                <w:i/>
              </w:rPr>
              <w:t xml:space="preserve">τα εν λόγω ιδρύματα και </w:t>
            </w:r>
            <w:r w:rsidRPr="006F36F0">
              <w:t>τις εν λόγω οντότητες με τη χρήση μέσων που έχει εκδώσει και αγοράσει η οντότητα εξυγίανσης, είτε άμεσα είτε έμμεσα μέσω άλλων οντοτήτων του ίδιου ομίλου εξυγίανσης.</w:t>
            </w:r>
          </w:p>
        </w:tc>
      </w:tr>
      <w:tr w:rsidR="008F53B8" w:rsidRPr="006F36F0" w:rsidTr="00932D06">
        <w:trPr>
          <w:jc w:val="center"/>
        </w:trPr>
        <w:tc>
          <w:tcPr>
            <w:tcW w:w="4876" w:type="dxa"/>
            <w:hideMark/>
          </w:tcPr>
          <w:p w:rsidR="00932D06" w:rsidRPr="006F36F0" w:rsidRDefault="00551D8F">
            <w:pPr>
              <w:pStyle w:val="Normal6"/>
            </w:pPr>
            <w:r w:rsidRPr="006F36F0">
              <w:t>__________________</w:t>
            </w:r>
          </w:p>
        </w:tc>
        <w:tc>
          <w:tcPr>
            <w:tcW w:w="4876" w:type="dxa"/>
            <w:hideMark/>
          </w:tcPr>
          <w:p w:rsidR="00932D06" w:rsidRPr="006F36F0" w:rsidRDefault="00551D8F">
            <w:pPr>
              <w:pStyle w:val="Normal6"/>
              <w:rPr>
                <w:szCs w:val="24"/>
              </w:rPr>
            </w:pPr>
            <w:r w:rsidRPr="006F36F0">
              <w:t>________________</w:t>
            </w:r>
            <w:r w:rsidRPr="006F36F0">
              <w:t>__</w:t>
            </w:r>
          </w:p>
        </w:tc>
      </w:tr>
      <w:tr w:rsidR="008F53B8" w:rsidRPr="006F36F0" w:rsidTr="00932D06">
        <w:trPr>
          <w:jc w:val="center"/>
        </w:trPr>
        <w:tc>
          <w:tcPr>
            <w:tcW w:w="4876" w:type="dxa"/>
            <w:hideMark/>
          </w:tcPr>
          <w:p w:rsidR="00932D06" w:rsidRPr="006F36F0" w:rsidRDefault="00551D8F">
            <w:pPr>
              <w:pStyle w:val="Normal6"/>
            </w:pPr>
            <w:r w:rsidRPr="006F36F0">
              <w:rPr>
                <w:vertAlign w:val="superscript"/>
              </w:rPr>
              <w:t>16</w:t>
            </w:r>
            <w:r w:rsidRPr="006F36F0">
              <w:t xml:space="preserve"> Οδηγία (ΕΕ) 2019/879 του Ευρωπαϊκού Κοινοβουλίου και του Συμβουλίου, της 20ής Μαΐου 2019, για την τροποποίηση της οδηγίας 2014/59/ΕΕ σχετικά με την ικανότητα απορρόφησης των ζημιών και ανακεφαλαιοποίησης των πιστωτικών ιδρυμάτων και επιχειρήσεων επε</w:t>
            </w:r>
            <w:r w:rsidRPr="006F36F0">
              <w:t>νδύσεων και της οδηγίας 98/26/ΕΚ (ΕΕ L 150 της 7.6.2019, σ. 296).</w:t>
            </w:r>
          </w:p>
        </w:tc>
        <w:tc>
          <w:tcPr>
            <w:tcW w:w="4876" w:type="dxa"/>
            <w:hideMark/>
          </w:tcPr>
          <w:p w:rsidR="00932D06" w:rsidRPr="006F36F0" w:rsidRDefault="00551D8F">
            <w:pPr>
              <w:pStyle w:val="Normal6"/>
              <w:rPr>
                <w:szCs w:val="24"/>
              </w:rPr>
            </w:pPr>
            <w:r w:rsidRPr="006F36F0">
              <w:rPr>
                <w:vertAlign w:val="superscript"/>
              </w:rPr>
              <w:t>16</w:t>
            </w:r>
            <w:r w:rsidRPr="006F36F0">
              <w:t xml:space="preserve"> Οδηγία (ΕΕ) 2019/879 του Ευρωπαϊκού Κοινοβουλίου και του Συμβουλίου, της 20ής Μαΐου 2019, για την τροποποίηση της οδηγίας 2014/59/ΕΕ σχετικά με την ικανότητα απορρόφησης των ζημιών και αν</w:t>
            </w:r>
            <w:r w:rsidRPr="006F36F0">
              <w:t>ακεφαλαιοποίησης των πιστωτικών ιδρυμάτων και επιχειρήσεων επενδύσεων και της οδηγίας 98/26/ΕΚ (ΕΕ L 150 της 7.6.2019, σ. 296).</w:t>
            </w:r>
          </w:p>
        </w:tc>
      </w:tr>
      <w:tr w:rsidR="008F53B8" w:rsidRPr="006F36F0" w:rsidTr="00932D06">
        <w:trPr>
          <w:jc w:val="center"/>
        </w:trPr>
        <w:tc>
          <w:tcPr>
            <w:tcW w:w="4876" w:type="dxa"/>
            <w:hideMark/>
          </w:tcPr>
          <w:p w:rsidR="00932D06" w:rsidRPr="006F36F0" w:rsidRDefault="00551D8F">
            <w:pPr>
              <w:pStyle w:val="Normal6"/>
            </w:pPr>
            <w:r w:rsidRPr="006F36F0">
              <w:rPr>
                <w:vertAlign w:val="superscript"/>
              </w:rPr>
              <w:t>17</w:t>
            </w:r>
            <w:r w:rsidRPr="006F36F0">
              <w:t xml:space="preserve"> Κανονισμός (ΕΕ) 2019/877 του Ευρωπαϊκού Κοινοβουλίου και του Συμβουλίου, της 20ής Μαΐου 2019, για την τροποποίηση του κανονι</w:t>
            </w:r>
            <w:r w:rsidRPr="006F36F0">
              <w:t>σμού (ΕΕ) αριθ. 806/2014 όσον αφορά την ικανότητα απορρόφησης ζημιών και ανακεφαλαιοποίησης των πιστωτικών ιδρυμάτων και των επιχειρήσεων επενδύσεων (ΕΕ L 150 της 7.6.2019, σ. 226).</w:t>
            </w:r>
          </w:p>
        </w:tc>
        <w:tc>
          <w:tcPr>
            <w:tcW w:w="4876" w:type="dxa"/>
            <w:hideMark/>
          </w:tcPr>
          <w:p w:rsidR="00932D06" w:rsidRPr="006F36F0" w:rsidRDefault="00551D8F">
            <w:pPr>
              <w:pStyle w:val="Normal6"/>
              <w:rPr>
                <w:szCs w:val="24"/>
              </w:rPr>
            </w:pPr>
            <w:r w:rsidRPr="006F36F0">
              <w:rPr>
                <w:vertAlign w:val="superscript"/>
              </w:rPr>
              <w:t>17</w:t>
            </w:r>
            <w:r w:rsidRPr="006F36F0">
              <w:t xml:space="preserve"> Κανονισμός (ΕΕ) 2019/877 του Ευρωπαϊκού Κοινοβουλίου και του Συμβουλίου, της 20ής Μαΐου 2019, για την τροποποίηση του κανονισμού (ΕΕ) αριθ. 806/2014 όσον αφορά την ικανότητα απορρόφησης ζημιών και ανακεφαλαιοποίησης των πιστωτικών ιδρυμάτων και των επιχει</w:t>
            </w:r>
            <w:r w:rsidRPr="006F36F0">
              <w:t>ρήσεων επενδύσεων (ΕΕ L 150 της 7.6.2019, σ. 226).</w:t>
            </w:r>
          </w:p>
        </w:tc>
      </w:tr>
      <w:tr w:rsidR="008F53B8" w:rsidRPr="006F36F0" w:rsidTr="00932D06">
        <w:trPr>
          <w:jc w:val="center"/>
        </w:trPr>
        <w:tc>
          <w:tcPr>
            <w:tcW w:w="4876" w:type="dxa"/>
            <w:hideMark/>
          </w:tcPr>
          <w:p w:rsidR="00932D06" w:rsidRPr="006F36F0" w:rsidRDefault="00551D8F">
            <w:pPr>
              <w:pStyle w:val="Normal6"/>
            </w:pPr>
            <w:r w:rsidRPr="006F36F0">
              <w:rPr>
                <w:vertAlign w:val="superscript"/>
              </w:rPr>
              <w:t>18</w:t>
            </w:r>
            <w:r w:rsidRPr="006F36F0">
              <w:t xml:space="preserve"> Οδηγία 2014/59/ΕΕ του Ευρωπαϊκού Κοινοβουλίου και του Συμβουλίου, της 15ης Μαΐου 2014, για τη θέσπιση πλαισίου για την ανάκαμψη και την εξυγίανση πιστωτικών ιδρυμάτων και επιχειρήσεων επενδύσεων και γι</w:t>
            </w:r>
            <w:r w:rsidRPr="006F36F0">
              <w:t>α την τροποποίηση της οδηγίας 82/891/ΕΟΚ του Συμβουλίου, και των οδηγιών 2001/24/ΕΚ, 2002/47/ΕΚ, 2004/25/ΕΚ, 2005/56/ΕΚ, 2007/36/ΕΚ, 2011/35/ΕΕ, 2012/30/ΕΕ και 2013/36/ΕΕ, καθώς και των κανονισμών του Ευρωπαϊκού Κοινοβουλίου και του Συμβουλίου (ΕΕ) αριθ. 1</w:t>
            </w:r>
            <w:r w:rsidRPr="006F36F0">
              <w:t>093/2010 και (ΕΕ) αριθ. 648/2012 (ΕΕ L 173 της 12.6.2014, σ. 190).</w:t>
            </w:r>
          </w:p>
        </w:tc>
        <w:tc>
          <w:tcPr>
            <w:tcW w:w="4876" w:type="dxa"/>
            <w:hideMark/>
          </w:tcPr>
          <w:p w:rsidR="00932D06" w:rsidRPr="006F36F0" w:rsidRDefault="00551D8F">
            <w:pPr>
              <w:pStyle w:val="Normal6"/>
              <w:rPr>
                <w:szCs w:val="24"/>
              </w:rPr>
            </w:pPr>
            <w:r w:rsidRPr="006F36F0">
              <w:rPr>
                <w:vertAlign w:val="superscript"/>
              </w:rPr>
              <w:t>18</w:t>
            </w:r>
            <w:r w:rsidRPr="006F36F0">
              <w:t xml:space="preserve"> Οδηγία 2014/59/ΕΕ του Ευρωπαϊκού Κοινοβουλίου και του Συμβουλίου, της 15ης Μαΐου 2014, για τη θέσπιση πλαισίου για την ανάκαμψη και την εξυγίανση πιστωτικών ιδρυμάτων και επιχειρήσεων επ</w:t>
            </w:r>
            <w:r w:rsidRPr="006F36F0">
              <w:t>ενδύσεων και για την τροποποίηση της οδηγίας 82/891/ΕΟΚ του Συμβουλίου, και των οδηγιών 2001/24/ΕΚ, 2002/47/ΕΚ, 2004/25/ΕΚ, 2005/56/ΕΚ, 2007/36/ΕΚ, 2011/35/ΕΕ, 2012/30/ΕΕ και 2013/36/ΕΕ, καθώς και των κανονισμών του Ευρωπαϊκού Κοινοβουλίου και του Συμβουλί</w:t>
            </w:r>
            <w:r w:rsidRPr="006F36F0">
              <w:t>ου (ΕΕ) αριθ. 1093/2010 και (ΕΕ) αριθ. 648/2012 (ΕΕ L 173 της 12.6.2014, σ. 190).</w:t>
            </w:r>
          </w:p>
        </w:tc>
      </w:tr>
      <w:tr w:rsidR="008F53B8" w:rsidRPr="006F36F0" w:rsidTr="00932D06">
        <w:trPr>
          <w:jc w:val="center"/>
        </w:trPr>
        <w:tc>
          <w:tcPr>
            <w:tcW w:w="4876" w:type="dxa"/>
            <w:hideMark/>
          </w:tcPr>
          <w:p w:rsidR="00932D06" w:rsidRPr="006F36F0" w:rsidRDefault="00551D8F">
            <w:pPr>
              <w:pStyle w:val="Normal6"/>
            </w:pPr>
            <w:r w:rsidRPr="006F36F0">
              <w:rPr>
                <w:vertAlign w:val="superscript"/>
              </w:rPr>
              <w:t>19</w:t>
            </w:r>
            <w:r w:rsidRPr="006F36F0">
              <w:t xml:space="preserve"> Κανονισμός (ΕΕ) αριθ. 806/2014 του Ευρωπαϊκού Κοινοβουλίου και του Συμβουλίου, της 15ης Ιουλίου 2014, περί θεσπίσεως ενιαίων κανόνων και διαδικασίας για την εξυγίανση πισ</w:t>
            </w:r>
            <w:r w:rsidRPr="006F36F0">
              <w:t>τωτικών ιδρυμάτων και ορισμένων επιχειρήσεων επενδύσεων στο πλαίσιο ενός Ενιαίου Μηχανισμού Εξυγίανσης και ενός Ενιαίου Ταμείου Εξυγίανσης και τροποποιήσεως του κανονισμού (ΕΕ) αριθ. 1093/2010 (ΕΕ L 225 της 30.7.2014, σ. 1).</w:t>
            </w:r>
          </w:p>
        </w:tc>
        <w:tc>
          <w:tcPr>
            <w:tcW w:w="4876" w:type="dxa"/>
            <w:hideMark/>
          </w:tcPr>
          <w:p w:rsidR="00932D06" w:rsidRPr="006F36F0" w:rsidRDefault="00551D8F">
            <w:pPr>
              <w:pStyle w:val="Normal6"/>
              <w:rPr>
                <w:szCs w:val="24"/>
              </w:rPr>
            </w:pPr>
            <w:r w:rsidRPr="006F36F0">
              <w:rPr>
                <w:vertAlign w:val="superscript"/>
              </w:rPr>
              <w:t>19</w:t>
            </w:r>
            <w:r w:rsidRPr="006F36F0">
              <w:t xml:space="preserve"> Κανονισμός (ΕΕ) αριθ. 806/20</w:t>
            </w:r>
            <w:r w:rsidRPr="006F36F0">
              <w:t>14 του Ευρωπαϊκού Κοινοβουλίου και του Συμβουλίου, της 15ης Ιουλίου 2014, περί θεσπίσεως ενιαίων κανόνων και διαδικασίας για την εξυγίανση πιστωτικών ιδρυμάτων και ορισμένων επιχειρήσεων επενδύσεων στο πλαίσιο ενός Ενιαίου Μηχανισμού Εξυγίανσης και ενός Εν</w:t>
            </w:r>
            <w:r w:rsidRPr="006F36F0">
              <w:t>ιαίου Ταμείου Εξυγίανσης και τροποποιήσεως του κανονισμού (ΕΕ) αριθ. 1093/2010 (ΕΕ L 225 της 30.7.2014, σ. 1).</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2</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Αιτιολογική σκέψη 3</w:t>
      </w:r>
      <w:r w:rsidRPr="006F36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(3)</w:t>
            </w:r>
            <w:r w:rsidRPr="006F36F0">
              <w:tab/>
            </w:r>
            <w:r w:rsidRPr="006F36F0">
              <w:t>Κατά την επανεξέταση της Επιτροπής, διαπιστώθηκε ότι θα ήταν σκόπιμο και αναλογικό προς τους στόχους που επιδιώκονται με τους εσωτερικούς κανόνες MREL να επιτρέπεται στις αρχές εξυγίανσης να καθορίζουν την εσωτερική MREL σε ενοποιημένη βάση για ευρύτερο φά</w:t>
            </w:r>
            <w:r w:rsidRPr="006F36F0">
              <w:t>σμα οντοτήτων από το φάσμα που προκύπτει από την εφαρμογή της οδηγίας 2014/59/ΕΕ και του κανονισμού (ΕΕ) αριθ. 806/2014, σε περίπτωση που το εν λόγω ευρύτερο φάσμα καλύπτει ιδρύματα και οντότητες που δεν είναι τα ίδια οντότητες εξυγίανσης, αλλά είναι θυγατ</w:t>
            </w:r>
            <w:r w:rsidRPr="006F36F0">
              <w:t xml:space="preserve">ρικές οντοτήτων εξυγίανσης και ελέγχουν τα ίδια </w:t>
            </w:r>
            <w:r w:rsidRPr="006F36F0">
              <w:rPr>
                <w:b/>
                <w:i/>
              </w:rPr>
              <w:t>θυγατρικές που υπόκεινται στην MREL</w:t>
            </w:r>
            <w:r w:rsidRPr="006F36F0">
              <w:t xml:space="preserve"> (στο εξής: ενδιάμεσες οντότητες). Τούτο ισχύει ιδίως για τους τραπεζικούς ομίλους των οποίων επικεφαλής είναι εταιρεία συμμετοχών. Στις περιπτώσεις αυτές, οι ενδιάμεσες οντ</w:t>
            </w:r>
            <w:r w:rsidRPr="006F36F0">
              <w:t>ότητες συγκεντρώνουν, εκ φύσεως, σε κεντρικό επίπεδο τα ενδοομιλικά ανοίγματα και διοχετεύουν τους επιλέξιμους πόρους για την εκπλήρωση της εσωτερικής MREL που έχει προκαθορίσει η οντότητα εξυγίανσης. Λόγω της δομής αυτής, οι εν λόγω ενδιάμεσες οντότητες θ</w:t>
            </w:r>
            <w:r w:rsidRPr="006F36F0">
              <w:t xml:space="preserve">α επηρεαστούν δυσανάλογα από τους κανόνες αφαίρεσης. Η Επιτροπή κατέληξε επίσης στο συμπέρασμα ότι το πλαίσιο της MREL θα </w:t>
            </w:r>
            <w:r w:rsidRPr="006F36F0">
              <w:rPr>
                <w:b/>
                <w:i/>
              </w:rPr>
              <w:t>ήταν</w:t>
            </w:r>
            <w:r w:rsidRPr="006F36F0">
              <w:t xml:space="preserve"> πιο αναλογικό με την </w:t>
            </w:r>
            <w:r w:rsidRPr="006F36F0">
              <w:rPr>
                <w:b/>
                <w:i/>
              </w:rPr>
              <w:t>εξαίρεση</w:t>
            </w:r>
            <w:r w:rsidRPr="006F36F0">
              <w:t xml:space="preserve"> των </w:t>
            </w:r>
            <w:r w:rsidRPr="006F36F0">
              <w:rPr>
                <w:b/>
                <w:i/>
              </w:rPr>
              <w:t>εκδόσεων των οντοτήτων εκκαθάρισης από</w:t>
            </w:r>
            <w:r w:rsidRPr="006F36F0">
              <w:t xml:space="preserve"> το πεδίο εφαρμογής των ανοιγμάτων που υποχρεούται να αφα</w:t>
            </w:r>
            <w:r w:rsidRPr="006F36F0">
              <w:t>ιρέσει μια ενδιάμεση οντότητα</w:t>
            </w:r>
            <w:r w:rsidRPr="006F36F0">
              <w:rPr>
                <w:b/>
                <w:i/>
              </w:rPr>
              <w:t xml:space="preserve"> σύμφωνα με τον μηχανισμό αφαιρέσεων για την έμμεση ανάληψη επιλέξιμων πόρων για την εσωτερική</w:t>
            </w:r>
            <w:r w:rsidRPr="006F36F0">
              <w:t xml:space="preserve"> MREL. </w:t>
            </w:r>
            <w:r w:rsidRPr="006F36F0">
              <w:rPr>
                <w:b/>
                <w:i/>
              </w:rPr>
              <w:t>Η οντότητα εκκαθάρισης</w:t>
            </w:r>
            <w:r w:rsidRPr="006F36F0">
              <w:t xml:space="preserve"> δεν θα </w:t>
            </w:r>
            <w:r w:rsidRPr="006F36F0">
              <w:rPr>
                <w:b/>
                <w:i/>
              </w:rPr>
              <w:t>πρέπει</w:t>
            </w:r>
            <w:r w:rsidRPr="006F36F0">
              <w:t xml:space="preserve"> να </w:t>
            </w:r>
            <w:r w:rsidRPr="006F36F0">
              <w:rPr>
                <w:b/>
                <w:i/>
              </w:rPr>
              <w:t>υποστηρίζεται από την οντότητα εξυγίανσης σε περίπτωση πτώχευσης</w:t>
            </w:r>
            <w:r w:rsidRPr="006F36F0">
              <w:t>, αίροντας με τον τρόπ</w:t>
            </w:r>
            <w:r w:rsidRPr="006F36F0">
              <w:t>ο αυτό την ανάγκη διαφύλαξης</w:t>
            </w:r>
            <w:r w:rsidRPr="006F36F0">
              <w:rPr>
                <w:b/>
                <w:i/>
              </w:rPr>
              <w:t xml:space="preserve"> τυχόν</w:t>
            </w:r>
            <w:r w:rsidRPr="006F36F0">
              <w:t xml:space="preserve"> μηχανισμών μεταφοράς ζημιών και κεφαλαίου εντός των ομίλων εξυγίανσης, που ήταν και ο σκοπός των κανόνων αφαίρεσης που θεσπίστηκαν με τον κανονισμό (ΕΕ) 2022/2036. Αντιθέτως, οι υπόλοιπες οντότητες του ομίλου εξυγίανσης θ</w:t>
            </w:r>
            <w:r w:rsidRPr="006F36F0">
              <w:t>α πρέπει να υποστηρίζονται από την οντότητα εξυγίανσης σε περίπτωση δυσχερειών ή πτώχευσης. Συνεπώς, οι αναγκαίοι πόροι της MREL θα πρέπει να υπάρχουν σε όλα τα επίπεδα του ομίλου εξυγίανσης και η διαθεσιμότητά τους για την απορρόφηση ζημιών και την ανακεφ</w:t>
            </w:r>
            <w:r w:rsidRPr="006F36F0">
              <w:t>αλαιοποίηση θα πρέπει να διασφαλίζεται μέσω του μηχανισμού αφαιρέσεων. Επομένως, η επανεξέταση της Επιτροπής κατέληξε στο συμπέρασμα ότι οι ενδιάμεσες οντότητες θα πρέπει να συνεχίσουν να αφαιρούν το πλήρες ποσό των συμμετοχών τους σε πόρους που είναι επιλ</w:t>
            </w:r>
            <w:r w:rsidRPr="006F36F0">
              <w:t>έξιμοι για την εκπλήρωση της εσωτερικής MREL και έχουν εκδοθεί από άλλες οντότητες που δεν είναι οντότητες εκκαθάρισης στον ίδιο όμιλο εξυγίανσης.</w:t>
            </w:r>
          </w:p>
        </w:tc>
        <w:tc>
          <w:tcPr>
            <w:tcW w:w="4876" w:type="dxa"/>
            <w:hideMark/>
          </w:tcPr>
          <w:p w:rsidR="00932D06" w:rsidRPr="006F36F0" w:rsidRDefault="00551D8F" w:rsidP="006A17A3">
            <w:pPr>
              <w:pStyle w:val="Normal6"/>
              <w:rPr>
                <w:szCs w:val="24"/>
              </w:rPr>
            </w:pPr>
            <w:r w:rsidRPr="006F36F0">
              <w:t>(3)</w:t>
            </w:r>
            <w:r w:rsidRPr="006F36F0">
              <w:tab/>
              <w:t xml:space="preserve">Κατά την επανεξέταση της Επιτροπής, διαπιστώθηκε ότι θα ήταν σκόπιμο και αναλογικό προς τους στόχους που </w:t>
            </w:r>
            <w:r w:rsidRPr="006F36F0">
              <w:t xml:space="preserve">επιδιώκονται με τους εσωτερικούς κανόνες MREL να επιτρέπεται στις αρχές εξυγίανσης να καθορίζουν την εσωτερική MREL σε ενοποιημένη βάση για ευρύτερο φάσμα οντοτήτων από το φάσμα που προκύπτει από την εφαρμογή της οδηγίας 2014/59/ΕΕ και του κανονισμού (ΕΕ) </w:t>
            </w:r>
            <w:r w:rsidRPr="006F36F0">
              <w:t xml:space="preserve">αριθ. 806/2014, σε περίπτωση που το εν λόγω ευρύτερο φάσμα καλύπτει ιδρύματα και οντότητες που δεν είναι τα ίδια οντότητες εξυγίανσης, αλλά είναι θυγατρικές οντοτήτων εξυγίανσης και ελέγχουν τα ίδια </w:t>
            </w:r>
            <w:r w:rsidRPr="006F36F0">
              <w:rPr>
                <w:b/>
                <w:i/>
              </w:rPr>
              <w:t>άλλες θυγατρικές</w:t>
            </w:r>
            <w:r w:rsidRPr="006F36F0">
              <w:t xml:space="preserve"> (στο εξής: ενδιάμεσες οντότητες)</w:t>
            </w:r>
            <w:r w:rsidRPr="006F36F0">
              <w:rPr>
                <w:b/>
                <w:i/>
              </w:rPr>
              <w:t xml:space="preserve"> εντός τ</w:t>
            </w:r>
            <w:r w:rsidRPr="006F36F0">
              <w:rPr>
                <w:b/>
                <w:i/>
              </w:rPr>
              <w:t>ου ίδιου ομίλου εξυγίανσης</w:t>
            </w:r>
            <w:r w:rsidRPr="006F36F0">
              <w:t>. Τούτο ισχύει ιδίως για τους τραπεζικούς ομίλους των οποίων επικεφαλής είναι εταιρεία συμμετοχών. Στις περιπτώσεις αυτές, οι ενδιάμεσες οντότητες συγκεντρώνουν, εκ φύσεως, σε κεντρικό επίπεδο τα ενδοομιλικά ανοίγματα και διοχετεύ</w:t>
            </w:r>
            <w:r w:rsidRPr="006F36F0">
              <w:t xml:space="preserve">ουν τους επιλέξιμους πόρους για την εκπλήρωση της εσωτερικής MREL που έχει προκαθορίσει η οντότητα εξυγίανσης. Λόγω της δομής αυτής, οι εν λόγω ενδιάμεσες οντότητες θα </w:t>
            </w:r>
            <w:r w:rsidRPr="006F36F0">
              <w:rPr>
                <w:b/>
                <w:i/>
              </w:rPr>
              <w:t xml:space="preserve">μπορούσαν να </w:t>
            </w:r>
            <w:r w:rsidRPr="006F36F0">
              <w:t>επηρεαστούν δυσανάλογα από τους κανόνες αφαίρεσης. Η Επιτροπή κατέληξε επίσ</w:t>
            </w:r>
            <w:r w:rsidRPr="006F36F0">
              <w:t xml:space="preserve">ης στο συμπέρασμα ότι το πλαίσιο της MREL θα </w:t>
            </w:r>
            <w:r w:rsidRPr="006F36F0">
              <w:rPr>
                <w:b/>
                <w:i/>
              </w:rPr>
              <w:t>καταστεί</w:t>
            </w:r>
            <w:r w:rsidRPr="006F36F0">
              <w:t xml:space="preserve"> πιο αναλογικό με την </w:t>
            </w:r>
            <w:r w:rsidRPr="006F36F0">
              <w:rPr>
                <w:b/>
                <w:i/>
              </w:rPr>
              <w:t>προσαρμογή</w:t>
            </w:r>
            <w:r w:rsidRPr="006F36F0">
              <w:t xml:space="preserve"> των </w:t>
            </w:r>
            <w:r w:rsidRPr="006F36F0">
              <w:rPr>
                <w:b/>
                <w:i/>
              </w:rPr>
              <w:t>κανόνων σχετικά με</w:t>
            </w:r>
            <w:r w:rsidRPr="006F36F0">
              <w:t xml:space="preserve"> το πεδίο εφαρμογής των ανοιγμάτων που υποχρεούται να αφαιρέσει μια ενδιάμεση οντότητα</w:t>
            </w:r>
            <w:r w:rsidRPr="006F36F0">
              <w:rPr>
                <w:b/>
                <w:i/>
              </w:rPr>
              <w:t>, όταν η εκδίδουσα οντότητα είναι οντότητα εκκαθάρισης που δεν</w:t>
            </w:r>
            <w:r w:rsidRPr="006F36F0">
              <w:rPr>
                <w:b/>
                <w:i/>
              </w:rPr>
              <w:t xml:space="preserve"> υπόκειται σε απόφαση</w:t>
            </w:r>
            <w:r w:rsidRPr="006F36F0">
              <w:t xml:space="preserve"> MREL.</w:t>
            </w:r>
            <w:r w:rsidRPr="006F36F0">
              <w:rPr>
                <w:b/>
                <w:i/>
              </w:rPr>
              <w:t xml:space="preserve"> Στις περιπτώσεις αυτές,</w:t>
            </w:r>
            <w:r w:rsidRPr="006F36F0">
              <w:t xml:space="preserve"> δεν </w:t>
            </w:r>
            <w:r w:rsidRPr="006F36F0">
              <w:rPr>
                <w:b/>
                <w:i/>
              </w:rPr>
              <w:t xml:space="preserve">αναμένεται ότι οι εξουσίες απομείωσης και μετατροπής </w:t>
            </w:r>
            <w:r w:rsidRPr="006F36F0">
              <w:t xml:space="preserve">θα </w:t>
            </w:r>
            <w:r w:rsidRPr="006F36F0">
              <w:rPr>
                <w:b/>
                <w:i/>
              </w:rPr>
              <w:t>χρειαστεί</w:t>
            </w:r>
            <w:r w:rsidRPr="006F36F0">
              <w:t xml:space="preserve"> να </w:t>
            </w:r>
            <w:r w:rsidRPr="006F36F0">
              <w:rPr>
                <w:b/>
                <w:i/>
              </w:rPr>
              <w:t>ασκηθούν σε σχέση με τις εν λόγω οντότητες εκκαθάρισης</w:t>
            </w:r>
            <w:r w:rsidRPr="006F36F0">
              <w:t xml:space="preserve">, αίροντας με τον τρόπο αυτό την ανάγκη διαφύλαξης μηχανισμών μεταφοράς </w:t>
            </w:r>
            <w:r w:rsidRPr="006F36F0">
              <w:t>ζημιών και κεφαλαίου εντός των ομίλων εξυγίανσης, που ήταν και ο σκοπός των κανόνων αφαίρεσης που θεσπίστηκαν με τον κανονισμό (ΕΕ) 2022/2036. Αντιθέτως, οι υπόλοιπες οντότητες του ομίλου εξυγίανσης θα πρέπει να υποστηρίζονται από την οντότητα εξυγίανσης σ</w:t>
            </w:r>
            <w:r w:rsidRPr="006F36F0">
              <w:t>ε περίπτωση δυσχερειών ή πτώχευσης. Συνεπώς, οι αναγκαίοι πόροι της MREL θα πρέπει να υπάρχουν σε όλα τα επίπεδα του ομίλου εξυγίανσης και η διαθεσιμότητά τους για την απορρόφηση ζημιών και την ανακεφαλαιοποίηση θα πρέπει να διασφαλίζεται μέσω του μηχανισμ</w:t>
            </w:r>
            <w:r w:rsidRPr="006F36F0">
              <w:t>ού αφαιρέσεων. Επομένως, η επανεξέταση της Επιτροπής κατέληξε στο συμπέρασμα ότι οι ενδιάμεσες οντότητες θα πρέπει να συνεχίσουν να αφαιρούν το πλήρες ποσό των συμμετοχών τους σε πόρους που είναι επιλέξιμοι για την εκπλήρωση της εσωτερικής MREL και έχουν ε</w:t>
            </w:r>
            <w:r w:rsidRPr="006F36F0">
              <w:t>κδοθεί από άλλες οντότητες που δεν είναι οντότητες εκκαθάρισης στον ίδιο όμιλο εξυγίανσης.</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3</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Αιτιολογική σκέψη 5</w:t>
      </w:r>
      <w:r w:rsidRPr="006F36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 xml:space="preserve">Κείμενο </w:t>
            </w:r>
            <w:r w:rsidRPr="006F36F0">
              <w:t>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(5)</w:t>
            </w:r>
            <w:r w:rsidRPr="006F36F0">
              <w:tab/>
              <w:t>Για να διασφαλιστεί ότι η δυνατότητα συμμόρφωσης με την MREL σε ενοποιημένη βάση είναι διαθέσιμη μόνο στις σχετικές περιπτώσεις που προσδιορίζονται στην επανεξέταση της Επιτροπής και δεν οδηγεί σε έλλειψη επιλέξιμων</w:t>
            </w:r>
            <w:r w:rsidRPr="006F36F0">
              <w:t xml:space="preserve"> πόρων για την εκπλήρωση της εσωτερικής MREL σε ολόκληρο τον όμιλο εξυγίανσης, η εξουσία καθορισμού της εσωτερικής MREL σε ενοποιημένη βάση για τις ενδιάμεσες οντότητες θα πρέπει να αποτελεί διακριτική εξουσία της αρχής εξυγίανσης και θα πρέπει να υπόκειτα</w:t>
            </w:r>
            <w:r w:rsidRPr="006F36F0">
              <w:t>ι σε ορισμένες προϋποθέσεις. Η ενδιάμεση οντότητα θα πρέπει να είναι η μόνη άμεση θυγατρική, δηλαδή ίδρυμα ή οντότητα, μιας οντότητας εξυγίανσης η οποία είναι μητρική χρηματοδοτική εταιρεία συμμετοχών εγκατεστημένη στην Ένωση ή μητρική μεικτή χρηματοοικονο</w:t>
            </w:r>
            <w:r w:rsidRPr="006F36F0">
              <w:t>μική εταιρεία συμμετοχών εγκατεστημένη στην Ένωση, είναι εγκατεστημένη στο ίδιο κράτος μέλος και ανήκει στον ίδιο όμιλο εξυγίανσης. Εναλλακτικά, η σχετική ενδιάμεση οντότητα θα πρέπει να συμμορφώνεται με την πρόσθετη απαίτηση ιδίων κεφαλαίων ή με τη συνδυα</w:t>
            </w:r>
            <w:r w:rsidRPr="006F36F0">
              <w:t xml:space="preserve">σμένη απαίτηση αποθέματος ασφαλείας βάσει της ενοποιημένης κατάστασής της. Και στις δύο περιπτώσεις, ωστόσο, η συμμόρφωση με την εσωτερική MREL σε ενοποιημένη βάση δεν θα πρέπει, κατά την αξιολόγηση της αρχής εξυγίανσης, να επηρεάζει αρνητικά </w:t>
            </w:r>
            <w:r w:rsidRPr="006F36F0">
              <w:rPr>
                <w:b/>
                <w:i/>
              </w:rPr>
              <w:t xml:space="preserve">με σημαντικό </w:t>
            </w:r>
            <w:r w:rsidRPr="006F36F0">
              <w:rPr>
                <w:b/>
                <w:i/>
              </w:rPr>
              <w:t xml:space="preserve">τρόπο </w:t>
            </w:r>
            <w:r w:rsidRPr="006F36F0">
              <w:t>τη δυνατότητα εξυγίανσης του οικείου ομίλου εξυγίανσης, ούτε την άσκηση από την αρχή εξυγίανσης της εξουσίας απομείωσης ή μετατροπής των σχετικών κεφαλαιακών μέσων και επιλέξιμων υποχρεώσεων της οικείας ενδιάμεσης οντότητας ή άλλων οντοτήτων του ομίλ</w:t>
            </w:r>
            <w:r w:rsidRPr="006F36F0">
              <w:t>ου εξυγίανσης.</w:t>
            </w:r>
          </w:p>
        </w:tc>
        <w:tc>
          <w:tcPr>
            <w:tcW w:w="4876" w:type="dxa"/>
            <w:hideMark/>
          </w:tcPr>
          <w:p w:rsidR="00932D06" w:rsidRPr="006F36F0" w:rsidRDefault="00551D8F" w:rsidP="001C63AC">
            <w:pPr>
              <w:pStyle w:val="Normal6"/>
              <w:rPr>
                <w:szCs w:val="24"/>
              </w:rPr>
            </w:pPr>
            <w:r w:rsidRPr="006F36F0">
              <w:t>(5)</w:t>
            </w:r>
            <w:r w:rsidRPr="006F36F0">
              <w:tab/>
              <w:t>Για να διασφαλιστεί ότι η δυνατότητα συμμόρφωσης με την MREL σε ενοποιημένη βάση είναι διαθέσιμη μόνο στις σχετικές περιπτώσεις που προσδιορίζονται στην επανεξέταση της Επιτροπής και δεν οδηγεί σε έλλειψη επιλέξιμων πόρων για την εκπλήρω</w:t>
            </w:r>
            <w:r w:rsidRPr="006F36F0">
              <w:t>ση της εσωτερικής MREL σε ολόκληρο τον όμιλο εξυγίανσης, η εξουσία καθορισμού της εσωτερικής MREL σε ενοποιημένη βάση για τις ενδιάμεσες οντότητες θα πρέπει να αποτελεί διακριτική εξουσία της αρχής εξυγίανσης και θα πρέπει να υπόκειται σε ορισμένες προϋποθ</w:t>
            </w:r>
            <w:r w:rsidRPr="006F36F0">
              <w:t>έσεις. Η ενδιάμεση οντότητα θα πρέπει να είναι η μόνη άμεση θυγατρική, δηλαδή ίδρυμα ή οντότητα, μιας οντότητας εξυγίανσης η οποία είναι μητρική χρηματοδοτική εταιρεία συμμετοχών εγκατεστημένη στην Ένωση ή μητρική μεικτή χρηματοοικονομική εταιρεία συμμετοχ</w:t>
            </w:r>
            <w:r w:rsidRPr="006F36F0">
              <w:t>ών εγκατεστημένη στην Ένωση, είναι εγκατεστημένη στο ίδιο κράτος μέλος και ανήκει στον ίδιο όμιλο εξυγίανσης. Εναλλακτικά, η σχετική ενδιάμεση οντότητα θα πρέπει να συμμορφώνεται με την πρόσθετη απαίτηση ιδίων κεφαλαίων ή με τη συνδυασμένη απαίτηση αποθέμα</w:t>
            </w:r>
            <w:r w:rsidRPr="006F36F0">
              <w:t>τος ασφαλείας βάσει της ενοποιημένης κατάστασής της. Και στις δύο περιπτώσεις, ωστόσο, η συμμόρφωση με την εσωτερική MREL σε ενοποιημένη βάση δεν θα πρέπει, κατά την αξιολόγηση της αρχής εξυγίανσης, να επηρεάζει αρνητικά τη δυνατότητα εξυγίανσης του οικείο</w:t>
            </w:r>
            <w:r w:rsidRPr="006F36F0">
              <w:t xml:space="preserve">υ ομίλου εξυγίανσης, ούτε την άσκηση από την αρχή εξυγίανσης της εξουσίας απομείωσης ή μετατροπής των σχετικών κεφαλαιακών μέσων και επιλέξιμων υποχρεώσεων της οικείας ενδιάμεσης οντότητας ή άλλων οντοτήτων του ομίλου εξυγίανσης. </w:t>
            </w:r>
            <w:r w:rsidRPr="006F36F0">
              <w:rPr>
                <w:b/>
                <w:i/>
              </w:rPr>
              <w:t>Μία περίπτωση στην οποία ο</w:t>
            </w:r>
            <w:r w:rsidRPr="006F36F0">
              <w:rPr>
                <w:b/>
                <w:i/>
              </w:rPr>
              <w:t xml:space="preserve"> καθορισμός της εσωτερικής MREL σε ενοποιημένη βάση θα ήταν επιζήμιος για τη δυνατότητα εξυγίανσης του ομίλου εξυγίανσης είναι όταν το ποσό της εν λόγω MREL δεν διασφαλίζει τη συμμόρφωση με τις επιμέρους απαιτήσεις ιδίων κεφαλαίων που εφαρμόζονται μετά την</w:t>
            </w:r>
            <w:r w:rsidRPr="006F36F0">
              <w:rPr>
                <w:b/>
                <w:i/>
              </w:rPr>
              <w:t xml:space="preserve"> άσκηση των εξουσιών απομείωσης και μετατροπής.</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4</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Αιτιολογική σκέψη 6</w:t>
      </w:r>
      <w:r w:rsidRPr="006F36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(6)</w:t>
            </w:r>
            <w:r w:rsidRPr="006F36F0">
              <w:tab/>
            </w:r>
            <w:r w:rsidRPr="006F36F0">
              <w:t xml:space="preserve">Σύμφωνα με το άρθρο 45στ παράγραφος 2 της οδηγίας 2014/59/ΕΕ και το άρθρο 12ζ παράγραφος 2 του κανονισμού (ΕΕ) αριθ. 806/2014, οι ενδιάμεσες οντότητες δύναται να συμμορφώνονται με την ενοποιημένη εσωτερική MREL χρησιμοποιώντας ίδια κεφάλαια και επιλέξιμες </w:t>
            </w:r>
            <w:r w:rsidRPr="006F36F0">
              <w:t>υποχρεώσεις. Για την πλήρη εξασφάλιση της δυνατότητας συμμόρφωσης με την MREL σε ενοποιημένη βάση, είναι αναγκαίο να διασφαλιστεί ότι οι επιλέξιμες υποχρεώσεις των ενδιάμεσων οντοτήτων υπολογίζονται κατά τρόπο παρόμοιο με τον υπολογισμό των ιδίων κεφαλαίων</w:t>
            </w:r>
            <w:r w:rsidRPr="006F36F0">
              <w:t xml:space="preserve">. Επομένως, τα κριτήρια επιλεξιμότητας για τις επιλέξιμες υποχρεώσεις που μπορούν να χρησιμοποιηθούν για τη συμμόρφωση με την εσωτερική MREL σε ενοποιημένη βάση θα πρέπει να ευθυγραμμίζονται με τους κανόνες υπολογισμού των ενοποιημένων ιδίων κεφαλαίων που </w:t>
            </w:r>
            <w:r w:rsidRPr="006F36F0">
              <w:t>προβλέπονται στον κανονισμό (ΕΕ) αριθ. 575/2013. Για τη διασφάλιση της συνέπειας με τους υφιστάμενους κανόνες για την εξωτερική MREL, η εν λόγω ευθυγράμμιση θα πρέπει να αντικατοπτρίζει επίσης τους υφιστάμενους κανόνες που προβλέπονται στο άρθρο 45β παράγρ</w:t>
            </w:r>
            <w:r w:rsidRPr="006F36F0">
              <w:t>αφος 3 της οδηγίας 2014/59/ΕΕ και στο άρθρο 12δ παράγραφος 3 του κανονισμού (ΕΕ) αριθ. 806/2014 για τον υπολογισμό των επιλέξιμων υποχρεώσεων που μπορούν να χρησιμοποιούν οι οντότητες εξυγίανσης για τη συμμόρφωση με τη δική τους ενοποιημένη MREL. Ειδικότερ</w:t>
            </w:r>
            <w:r w:rsidRPr="006F36F0">
              <w:t>α, είναι αναγκαίο να διασφαλιστεί ότι οι επιλέξιμες υποχρεώσεις που εκδίδονται από τις θυγατρικές της οντότητας που υπόκειται σε ενοποιημένη εσωτερική MREL και βρίσκονται στην κατοχή άλλων οντοτήτων του ίδιου ομίλου εξυγίανσης, αλλά εκτός του πεδίου εφαρμο</w:t>
            </w:r>
            <w:r w:rsidRPr="006F36F0">
              <w:t>γής της ενοποίησης</w:t>
            </w:r>
            <w:r w:rsidRPr="006F36F0">
              <w:rPr>
                <w:b/>
                <w:i/>
              </w:rPr>
              <w:t>, συμπεριλαμβανομένης της οντότητας εξυγίανσης</w:t>
            </w:r>
            <w:r w:rsidRPr="006F36F0">
              <w:t>, ή στην κατοχή υφιστάμενων μετόχων που δεν ανήκουν στον ίδιο όμιλο εξυγίανσης, συνυπολογίζονται στα ίδια κεφάλαια και τις επιλέξιμες υποχρεώσεις της οντότητας που υπόκειται σε ενοποιημένη εσω</w:t>
            </w:r>
            <w:r w:rsidRPr="006F36F0">
              <w:t>τερική MREL.</w:t>
            </w:r>
          </w:p>
        </w:tc>
        <w:tc>
          <w:tcPr>
            <w:tcW w:w="4876" w:type="dxa"/>
            <w:hideMark/>
          </w:tcPr>
          <w:p w:rsidR="00932D06" w:rsidRPr="006F36F0" w:rsidRDefault="00551D8F">
            <w:pPr>
              <w:pStyle w:val="Normal6"/>
              <w:rPr>
                <w:szCs w:val="24"/>
              </w:rPr>
            </w:pPr>
            <w:r w:rsidRPr="006F36F0">
              <w:t>(6)</w:t>
            </w:r>
            <w:r w:rsidRPr="006F36F0">
              <w:tab/>
              <w:t>Σύμφωνα με το άρθρο 45στ παράγραφος 2 της οδηγίας 2014/59/ΕΕ και το άρθρο 12ζ παράγραφος 2 του κανονισμού (ΕΕ) αριθ. 806/2014, οι ενδιάμεσες οντότητες δύναται να συμμορφώνονται με την ενοποιημένη εσωτερική MREL χρησιμοποιώντας ίδια κεφάλαι</w:t>
            </w:r>
            <w:r w:rsidRPr="006F36F0">
              <w:t>α και επιλέξιμες υποχρεώσεις. Για την πλήρη εξασφάλιση της δυνατότητας συμμόρφωσης με την MREL σε ενοποιημένη βάση, είναι αναγκαίο να διασφαλιστεί ότι οι επιλέξιμες υποχρεώσεις των ενδιάμεσων οντοτήτων υπολογίζονται κατά τρόπο παρόμοιο με τον υπολογισμό τω</w:t>
            </w:r>
            <w:r w:rsidRPr="006F36F0">
              <w:t>ν ιδίων κεφαλαίων. Επομένως, τα κριτήρια επιλεξιμότητας για τις επιλέξιμες υποχρεώσεις που μπορούν να χρησιμοποιηθούν για τη συμμόρφωση με την εσωτερική MREL σε ενοποιημένη βάση θα πρέπει να ευθυγραμμίζονται με τους κανόνες υπολογισμού των ενοποιημένων ιδί</w:t>
            </w:r>
            <w:r w:rsidRPr="006F36F0">
              <w:t>ων κεφαλαίων που προβλέπονται στον κανονισμό (ΕΕ) αριθ. 575/2013. Για τη διασφάλιση της συνέπειας με τους υφιστάμενους κανόνες για την εξωτερική MREL, η εν λόγω ευθυγράμμιση θα πρέπει να αντικατοπτρίζει επίσης τους υφιστάμενους κανόνες που προβλέπονται στο</w:t>
            </w:r>
            <w:r w:rsidRPr="006F36F0">
              <w:t xml:space="preserve"> άρθρο 45β παράγραφος 3 της οδηγίας 2014/59/ΕΕ και στο άρθρο 12δ παράγραφος 3 του κανονισμού (ΕΕ) αριθ. 806/2014 για τον υπολογισμό των επιλέξιμων υποχρεώσεων που μπορούν να χρησιμοποιούν οι οντότητες εξυγίανσης για τη συμμόρφωση με τη δική τους ενοποιημέν</w:t>
            </w:r>
            <w:r w:rsidRPr="006F36F0">
              <w:t xml:space="preserve">η MREL. Ειδικότερα, είναι αναγκαίο να διασφαλιστεί ότι οι επιλέξιμες υποχρεώσεις που εκδίδονται από τις θυγατρικές της οντότητας που υπόκειται σε ενοποιημένη εσωτερική MREL και βρίσκονται στην κατοχή </w:t>
            </w:r>
            <w:r w:rsidRPr="006F36F0">
              <w:rPr>
                <w:b/>
                <w:i/>
              </w:rPr>
              <w:t xml:space="preserve">της οντότητας εξυγίανσης, είτε άμεσα είτε έμμεσα μέσω </w:t>
            </w:r>
            <w:r w:rsidRPr="006F36F0">
              <w:t>άλ</w:t>
            </w:r>
            <w:r w:rsidRPr="006F36F0">
              <w:t>λων οντοτήτων του ίδιου ομίλου εξυγίανσης, αλλά εκτός του πεδίου εφαρμογής της ενοποίησης, ή στην κατοχή υφιστάμενων μετόχων που δεν ανήκουν στον ίδιο όμιλο εξυγίανσης, συνυπολογίζονται στα ίδια κεφάλαια και τις επιλέξιμες υποχρεώσεις της οντότητας που υπό</w:t>
            </w:r>
            <w:r w:rsidRPr="006F36F0">
              <w:t>κειται σε ενοποιημένη εσωτερική MREL.</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5</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Αιτιολογική σκέψη 7</w:t>
      </w:r>
      <w:r w:rsidRPr="006F36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(7)</w:t>
            </w:r>
            <w:r w:rsidRPr="006F36F0">
              <w:tab/>
            </w:r>
            <w:r w:rsidRPr="006F36F0">
              <w:rPr>
                <w:b/>
                <w:i/>
              </w:rPr>
              <w:t xml:space="preserve">Όσον αφορά </w:t>
            </w:r>
            <w:r w:rsidRPr="006F36F0">
              <w:rPr>
                <w:b/>
                <w:i/>
              </w:rPr>
              <w:t>τις οντότητες εκκαθάρισης</w:t>
            </w:r>
            <w:r w:rsidRPr="006F36F0">
              <w:t xml:space="preserve">, η MREL </w:t>
            </w:r>
            <w:r w:rsidRPr="006F36F0">
              <w:rPr>
                <w:b/>
                <w:i/>
              </w:rPr>
              <w:t>περιορίζεται κατά κανόνα</w:t>
            </w:r>
            <w:r w:rsidRPr="006F36F0">
              <w:t xml:space="preserve"> στο ποσό που είναι αναγκαίο για την απορρόφηση των ζημιών, το οποίο αντιστοιχεί στις απαιτήσεις ιδίων κεφαλαίων. Στις περιπτώσεις αυτές, η MREL δεν συνεπάγεται για την οντότητα εκκαθάρισης πρόσθετη</w:t>
            </w:r>
            <w:r w:rsidRPr="006F36F0">
              <w:t xml:space="preserve"> απαίτηση που να συνδέεται άμεσα με το πλαίσιο εξυγίανσης. Αυτό σημαίνει ότι μια οντότητα εκκαθάρισης μπορεί να συμμορφώνεται πλήρως με την MREL εάν πληροί τις απαιτήσεις ιδίων κεφαλαίων και ότι μια απόφαση της αρχής εξυγίανσης ειδικά για τον καθορισμό της</w:t>
            </w:r>
            <w:r w:rsidRPr="006F36F0">
              <w:t xml:space="preserve"> MREL δεν συμβάλλει με ουσιαστικό τρόπο στη δυνατότητα εξυγίανσης των οντοτήτων εκκαθάρισης. Μια τέτοια απόφαση συνεπάγεται πολλές διαδικαστικές υποχρεώσεις για τις αρχές εξυγίανσης και για τις οντότητες εκκαθάρισης, χωρίς αντίστοιχο όφελος όσον αφορά τη β</w:t>
            </w:r>
            <w:r w:rsidRPr="006F36F0">
              <w:t>ελτίωση της δυνατότητας εξυγίανσης. Για τον λόγο αυτό, οι αρχές εξυγίανσης δεν θα πρέπει να καθορίζουν MREL για τις οντότητες εκκαθάρισης.</w:t>
            </w:r>
          </w:p>
        </w:tc>
        <w:tc>
          <w:tcPr>
            <w:tcW w:w="4876" w:type="dxa"/>
            <w:hideMark/>
          </w:tcPr>
          <w:p w:rsidR="00932D06" w:rsidRPr="006F36F0" w:rsidRDefault="00551D8F" w:rsidP="006A17A3">
            <w:pPr>
              <w:pStyle w:val="Normal6"/>
              <w:rPr>
                <w:szCs w:val="24"/>
              </w:rPr>
            </w:pPr>
            <w:r w:rsidRPr="006F36F0">
              <w:t>(7)</w:t>
            </w:r>
            <w:r w:rsidRPr="006F36F0">
              <w:tab/>
            </w:r>
            <w:r w:rsidRPr="006F36F0">
              <w:rPr>
                <w:b/>
                <w:i/>
              </w:rPr>
              <w:t>Βάσει του ισχύοντος πλαισίου της MREL</w:t>
            </w:r>
            <w:r w:rsidRPr="006F36F0">
              <w:t xml:space="preserve">, η MREL </w:t>
            </w:r>
            <w:r w:rsidRPr="006F36F0">
              <w:rPr>
                <w:b/>
                <w:i/>
              </w:rPr>
              <w:t>για τις οντότητες που προορίζονται για εκκαθάριση ορίζεται, στην πλ</w:t>
            </w:r>
            <w:r w:rsidRPr="006F36F0">
              <w:rPr>
                <w:b/>
                <w:i/>
              </w:rPr>
              <w:t>ειονότητα των περιπτώσεων,</w:t>
            </w:r>
            <w:r w:rsidRPr="006F36F0">
              <w:t xml:space="preserve"> στο ποσό που είναι αναγκαίο για την απορρόφηση των ζημιών, το οποίο αντιστοιχεί στις απαιτήσεις ιδίων κεφαλαίων. Στις περιπτώσεις αυτές, η MREL δεν συνεπάγεται για την οντότητα εκκαθάρισης πρόσθετη απαίτηση που να συνδέεται άμεσα</w:t>
            </w:r>
            <w:r w:rsidRPr="006F36F0">
              <w:t xml:space="preserve"> με το πλαίσιο εξυγίανσης. Αυτό σημαίνει ότι μια οντότητα εκκαθάρισης μπορεί να συμμορφώνεται πλήρως με την MREL εάν πληροί τις απαιτήσεις ιδίων κεφαλαίων και ότι μια απόφαση της αρχής εξυγίανσης ειδικά για τον καθορισμό της MREL δεν συμβάλλει με ουσιαστικ</w:t>
            </w:r>
            <w:r w:rsidRPr="006F36F0">
              <w:t>ό τρόπο στη δυνατότητα εξυγίανσης των οντοτήτων εκκαθάρισης. Μια τέτοια απόφαση συνεπάγεται πολλές διαδικαστικές υποχρεώσεις για τις αρχές εξυγίανσης και για τις οντότητες εκκαθάρισης, χωρίς αντίστοιχο όφελος όσον αφορά τη βελτίωση της δυνατότητας εξυγίανσ</w:t>
            </w:r>
            <w:r w:rsidRPr="006F36F0">
              <w:t>ης. Για τον λόγο αυτό, οι αρχές εξυγίανσης δεν θα πρέπει να καθορίζουν MREL για τις οντότητες εκκαθάρισης.</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6</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Αιτιολογική σκέψη 8</w:t>
      </w:r>
      <w:r w:rsidRPr="006F36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(8)</w:t>
            </w:r>
            <w:r w:rsidRPr="006F36F0">
              <w:tab/>
            </w:r>
            <w:r w:rsidRPr="006F36F0">
              <w:rPr>
                <w:b/>
                <w:i/>
              </w:rPr>
              <w:t>Όταν η αρχή</w:t>
            </w:r>
            <w:r w:rsidRPr="006F36F0">
              <w:t xml:space="preserve"> εξυγίανσης </w:t>
            </w:r>
            <w:r w:rsidRPr="006F36F0">
              <w:rPr>
                <w:b/>
                <w:i/>
              </w:rPr>
              <w:t>θεωρεί ότι μια οντότητα που ανήκει σε όμιλο</w:t>
            </w:r>
            <w:r w:rsidRPr="006F36F0">
              <w:t xml:space="preserve"> εξυγίανσης πληροί τις προϋποθέσεις για να χαρακτηριστεί οντότητα εκκαθάρισης, </w:t>
            </w:r>
            <w:r w:rsidRPr="006F36F0">
              <w:rPr>
                <w:b/>
                <w:i/>
              </w:rPr>
              <w:t>οι ενδιάμεσες οντότητες</w:t>
            </w:r>
            <w:r w:rsidRPr="006F36F0">
              <w:t xml:space="preserve"> δεν </w:t>
            </w:r>
            <w:r w:rsidRPr="006F36F0">
              <w:rPr>
                <w:b/>
                <w:i/>
              </w:rPr>
              <w:t>θα πρέπει να υποχρεού</w:t>
            </w:r>
            <w:r w:rsidRPr="006F36F0">
              <w:rPr>
                <w:b/>
                <w:i/>
              </w:rPr>
              <w:t>νται να αφαιρούν από τη δική τους ικανότητα εσωτερικής MREL τις συμμετοχές τους σε ίδια κεφάλαια ή άλλες υποχρεώσεις που θα πληρούσαν τις προϋποθέσεις συμμόρφωσης με την εσωτερική MREL και οι οποίες εκδίδονται από οντότητες εκκαθάρισης</w:t>
            </w:r>
            <w:r w:rsidRPr="006F36F0">
              <w:t>.</w:t>
            </w:r>
            <w:r w:rsidRPr="006F36F0">
              <w:rPr>
                <w:b/>
                <w:i/>
              </w:rPr>
              <w:t xml:space="preserve"> </w:t>
            </w:r>
            <w:r w:rsidRPr="006F36F0">
              <w:t xml:space="preserve">Σε </w:t>
            </w:r>
            <w:r w:rsidRPr="006F36F0">
              <w:rPr>
                <w:b/>
                <w:i/>
              </w:rPr>
              <w:t>μια τέτοια περίπ</w:t>
            </w:r>
            <w:r w:rsidRPr="006F36F0">
              <w:rPr>
                <w:b/>
                <w:i/>
              </w:rPr>
              <w:t>τωση</w:t>
            </w:r>
            <w:r w:rsidRPr="006F36F0">
              <w:t xml:space="preserve">, </w:t>
            </w:r>
            <w:r w:rsidRPr="006F36F0">
              <w:rPr>
                <w:b/>
                <w:i/>
              </w:rPr>
              <w:t>η οντότητα εκκαθάρισης</w:t>
            </w:r>
            <w:r w:rsidRPr="006F36F0">
              <w:t xml:space="preserve"> δεν </w:t>
            </w:r>
            <w:r w:rsidRPr="006F36F0">
              <w:rPr>
                <w:b/>
                <w:i/>
              </w:rPr>
              <w:t>υποχρεούται πλέον</w:t>
            </w:r>
            <w:r w:rsidRPr="006F36F0">
              <w:t xml:space="preserve"> να </w:t>
            </w:r>
            <w:r w:rsidRPr="006F36F0">
              <w:rPr>
                <w:b/>
                <w:i/>
              </w:rPr>
              <w:t>συμμορφώνεται με την</w:t>
            </w:r>
            <w:r w:rsidRPr="006F36F0">
              <w:t xml:space="preserve"> MREL </w:t>
            </w:r>
            <w:r w:rsidRPr="006F36F0">
              <w:rPr>
                <w:b/>
                <w:i/>
              </w:rPr>
              <w:t>και, ως εκ τούτου, δεν υπάρχει έμμεση ανάληψη επιλέξιμων πόρων για την εσωτερική</w:t>
            </w:r>
            <w:r w:rsidRPr="006F36F0">
              <w:t xml:space="preserve"> MREL</w:t>
            </w:r>
            <w:r w:rsidRPr="006F36F0">
              <w:rPr>
                <w:b/>
                <w:i/>
              </w:rPr>
              <w:t xml:space="preserve"> μέσω της αλυσίδας που σχηματίζεται από την οντότητα εξυγίανσης, την ενδιάμεση οντότητα και</w:t>
            </w:r>
            <w:r w:rsidRPr="006F36F0">
              <w:t xml:space="preserve"> την </w:t>
            </w:r>
            <w:r w:rsidRPr="006F36F0">
              <w:rPr>
                <w:b/>
                <w:i/>
              </w:rPr>
              <w:t>οντότητα εκκαθάρισης</w:t>
            </w:r>
            <w:r w:rsidRPr="006F36F0">
              <w:t xml:space="preserve">. Σε περίπτωση πτώχευσης, η στρατηγική εξυγίανσης δεν προβλέπει </w:t>
            </w:r>
            <w:r w:rsidRPr="006F36F0">
              <w:rPr>
                <w:b/>
                <w:i/>
              </w:rPr>
              <w:t>τη στήριξη</w:t>
            </w:r>
            <w:r w:rsidRPr="006F36F0">
              <w:t xml:space="preserve"> της οντότητας εκκαθάρισης από την οντότητα εξυγίανσης. Αυτό σημαίνει ότι δεν αναμένεται ούτε η ανάντη ροή των ζημιών από την οντότητα εκκαθάρισης προς την ο</w:t>
            </w:r>
            <w:r w:rsidRPr="006F36F0">
              <w:t>ντότητα εξυγίανσης, μέσω της ενδιάμεσης οντότητας, ούτε η κατάντη ροή κεφαλαίων προς την αντίθετη κατεύθυνση. Επομένως, η εν λόγω προσαρμογή στο εύρος των συμμετοχών που πρέπει να αφαιρεθούν στο πλαίσιο της έμμεσης ανάληψης επιλέξιμων πόρων για την εκπλήρω</w:t>
            </w:r>
            <w:r w:rsidRPr="006F36F0">
              <w:t>ση της εσωτερικής MREL δεν επηρεάζει την προληπτική ορθότητα του πλαισίου.</w:t>
            </w:r>
          </w:p>
        </w:tc>
        <w:tc>
          <w:tcPr>
            <w:tcW w:w="4876" w:type="dxa"/>
            <w:hideMark/>
          </w:tcPr>
          <w:p w:rsidR="00932D06" w:rsidRPr="006F36F0" w:rsidRDefault="00551D8F">
            <w:pPr>
              <w:pStyle w:val="Normal6"/>
              <w:rPr>
                <w:szCs w:val="24"/>
              </w:rPr>
            </w:pPr>
            <w:r w:rsidRPr="006F36F0">
              <w:t>(8)</w:t>
            </w:r>
            <w:r w:rsidRPr="006F36F0">
              <w:tab/>
            </w:r>
            <w:r w:rsidRPr="006F36F0">
              <w:rPr>
                <w:b/>
                <w:i/>
              </w:rPr>
              <w:t>Κατά την κατάρτιση σχεδίων</w:t>
            </w:r>
            <w:r w:rsidRPr="006F36F0">
              <w:t xml:space="preserve"> εξυγίανσης </w:t>
            </w:r>
            <w:r w:rsidRPr="006F36F0">
              <w:rPr>
                <w:b/>
                <w:i/>
              </w:rPr>
              <w:t>και την αξιολόγηση της δυνατότητας εξυγίανσης των ομίλων εξυγίανσης, οι αρχές</w:t>
            </w:r>
            <w:r w:rsidRPr="006F36F0">
              <w:t xml:space="preserve"> εξυγίανσης </w:t>
            </w:r>
            <w:r w:rsidRPr="006F36F0">
              <w:rPr>
                <w:b/>
                <w:i/>
              </w:rPr>
              <w:t xml:space="preserve">μπορούν να θεωρήσουν ότι μια οντότητα του ομίλου </w:t>
            </w:r>
            <w:r w:rsidRPr="006F36F0">
              <w:t>π</w:t>
            </w:r>
            <w:r w:rsidRPr="006F36F0">
              <w:t xml:space="preserve">ληροί τις προϋποθέσεις για να χαρακτηριστεί οντότητα εκκαθάρισης, </w:t>
            </w:r>
            <w:r w:rsidRPr="006F36F0">
              <w:rPr>
                <w:b/>
                <w:i/>
              </w:rPr>
              <w:t>καθώς</w:t>
            </w:r>
            <w:r w:rsidRPr="006F36F0">
              <w:t xml:space="preserve"> δεν </w:t>
            </w:r>
            <w:r w:rsidRPr="006F36F0">
              <w:rPr>
                <w:b/>
                <w:i/>
              </w:rPr>
              <w:t>προβλέπεται άσκηση των εξουσιών απομείωσης και μετατροπής σε σχέση με την εν λόγω οντότητα. Στην περίπτωση αυτή, η οντότητα του ομίλου ενδέχεται να μην χρειάζεται να κατέχει ίδια κ</w:t>
            </w:r>
            <w:r w:rsidRPr="006F36F0">
              <w:rPr>
                <w:b/>
                <w:i/>
              </w:rPr>
              <w:t xml:space="preserve">εφάλαια και επιλέξιμες υποχρεώσεις πέραν των απαιτήσεων ιδίων κεφαλαίων της. </w:t>
            </w:r>
            <w:r w:rsidRPr="006F36F0">
              <w:t xml:space="preserve">Σε </w:t>
            </w:r>
            <w:r w:rsidRPr="006F36F0">
              <w:rPr>
                <w:b/>
                <w:i/>
              </w:rPr>
              <w:t>αυτές τις περιπτώσεις</w:t>
            </w:r>
            <w:r w:rsidRPr="006F36F0">
              <w:t xml:space="preserve">, </w:t>
            </w:r>
            <w:r w:rsidRPr="006F36F0">
              <w:rPr>
                <w:b/>
                <w:i/>
              </w:rPr>
              <w:t>οι ενδιάμεσες οντότητες</w:t>
            </w:r>
            <w:r w:rsidRPr="006F36F0">
              <w:t xml:space="preserve"> δεν </w:t>
            </w:r>
            <w:r w:rsidRPr="006F36F0">
              <w:rPr>
                <w:b/>
                <w:i/>
              </w:rPr>
              <w:t>θα πρέπει</w:t>
            </w:r>
            <w:r w:rsidRPr="006F36F0">
              <w:t xml:space="preserve"> να </w:t>
            </w:r>
            <w:r w:rsidRPr="006F36F0">
              <w:rPr>
                <w:b/>
                <w:i/>
              </w:rPr>
              <w:t>υποχρεούνται να αφαιρούν από τη δική τους ικανότητα εσωτερικής</w:t>
            </w:r>
            <w:r w:rsidRPr="006F36F0">
              <w:t xml:space="preserve"> MREL </w:t>
            </w:r>
            <w:r w:rsidRPr="006F36F0">
              <w:rPr>
                <w:b/>
                <w:i/>
              </w:rPr>
              <w:t>τις συμμετοχές τους σε ίδια κεφάλαια που εκδ</w:t>
            </w:r>
            <w:r w:rsidRPr="006F36F0">
              <w:rPr>
                <w:b/>
                <w:i/>
              </w:rPr>
              <w:t>ίδονται από οντότητες εκκαθάρισης που δεν υπόκεινται σε απόφαση</w:t>
            </w:r>
            <w:r w:rsidRPr="006F36F0">
              <w:t xml:space="preserve"> MREL</w:t>
            </w:r>
            <w:r w:rsidRPr="006F36F0">
              <w:rPr>
                <w:b/>
                <w:i/>
              </w:rPr>
              <w:t>. Ωστόσο, δεν θα πρέπει να υποχρεούνται να αφαιρούν υποχρεώσεις που θα πληρούσαν τις προϋποθέσεις συμμόρφωσης με</w:t>
            </w:r>
            <w:r w:rsidRPr="006F36F0">
              <w:t xml:space="preserve"> την </w:t>
            </w:r>
            <w:r w:rsidRPr="006F36F0">
              <w:rPr>
                <w:b/>
                <w:i/>
              </w:rPr>
              <w:t>εσωτερική MREL</w:t>
            </w:r>
            <w:r w:rsidRPr="006F36F0">
              <w:t>. Σε περίπτωση πτώχευσης, η στρατηγική εξυγίανσης δεν προ</w:t>
            </w:r>
            <w:r w:rsidRPr="006F36F0">
              <w:t xml:space="preserve">βλέπει </w:t>
            </w:r>
            <w:r w:rsidRPr="006F36F0">
              <w:rPr>
                <w:b/>
                <w:i/>
              </w:rPr>
              <w:t>την ανακεφαλαιοποίηση</w:t>
            </w:r>
            <w:r w:rsidRPr="006F36F0">
              <w:t xml:space="preserve"> της οντότητας εκκαθάρισης από την οντότητα εξυγίανσης. Αυτό σημαίνει ότι δεν αναμένεται ούτε η ανάντη ροή των ζημιών</w:t>
            </w:r>
            <w:r w:rsidRPr="006F36F0">
              <w:rPr>
                <w:b/>
                <w:i/>
              </w:rPr>
              <w:t xml:space="preserve"> που υπερβαίνουν τις υφιστάμενες απαιτήσεις ιδίων κεφαλαίων</w:t>
            </w:r>
            <w:r w:rsidRPr="006F36F0">
              <w:t xml:space="preserve"> από την οντότητα εκκαθάρισης προς την οντότητα εξυγ</w:t>
            </w:r>
            <w:r w:rsidRPr="006F36F0">
              <w:t>ίανσης, μέσω της ενδιάμεσης οντότητας, ούτε η κατάντη ροή κεφαλαίων προς την αντίθετη κατεύθυνση. Επομένως, η εν λόγω προσαρμογή στο εύρος των συμμετοχών που πρέπει να αφαιρεθούν στο πλαίσιο της έμμεσης ανάληψης επιλέξιμων πόρων για την εκπλήρωση της εσωτε</w:t>
            </w:r>
            <w:r w:rsidRPr="006F36F0">
              <w:t>ρικής MREL δεν επηρεάζει την προληπτική ορθότητα του πλαισίου.</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7</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Αιτιολογική σκέψη 9</w:t>
      </w:r>
      <w:r w:rsidRPr="006F36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(9)</w:t>
            </w:r>
            <w:r w:rsidRPr="006F36F0">
              <w:tab/>
              <w:t>Κύριος στόχος του καθεστώτος άδειας για τη μείωση των μέσων επιλέξιμων υποχρεώσεων του άρθρου 77 παράγραφος 2 και του άρθρου 78α του κανονισμού (ΕΕ) αριθ. 575/2013, που εφαρμόζεται επίσης στα ιδρύματα και τις οντότητες που υπόκεινται στην M</w:t>
            </w:r>
            <w:r w:rsidRPr="006F36F0">
              <w:t>REL και στις υποχρεώσεις που εκδίδονται για τη συμμόρφωση με την MREL, είναι η παροχή της δυνατότητας στις αρχές εξυγίανσης να παρακολουθούν τις ενέργειες που οδηγούν σε μείωση του αποθέματος επιλέξιμων υποχρεώσεων και η απαγόρευση οποιασδήποτε ενέργειας π</w:t>
            </w:r>
            <w:r w:rsidRPr="006F36F0">
              <w:t xml:space="preserve">ου θα ισοδυναμούσε με μείωση πέραν του επιπέδου που θεωρείται επαρκές από τις αρχές εξυγίανσης. Εάν η αρχή εξυγίανσης δεν έχει εκδώσει απόφαση καθορισμού της MREL όσον αφορά ένα ίδρυμα ή μια οντότητα, ο στόχος αυτός δεν είναι συναφής. </w:t>
            </w:r>
            <w:r w:rsidRPr="006F36F0">
              <w:rPr>
                <w:b/>
                <w:i/>
              </w:rPr>
              <w:t>Επιπλέον, τα ιδρύματα</w:t>
            </w:r>
            <w:r w:rsidRPr="006F36F0">
              <w:rPr>
                <w:b/>
                <w:i/>
              </w:rPr>
              <w:t xml:space="preserve"> ή οι οντότητες που δεν υπόκεινται σε απόφαση καθορισμού της MREL δεν παρουσιάζουν επιλέξιμες υποχρεώσεις στον ισολογισμό τους.</w:t>
            </w:r>
            <w:r w:rsidRPr="006F36F0">
              <w:t xml:space="preserve"> Επομένως, τα ιδρύματα ή οι οντότητες για τις οποίες δεν έχουν εκδοθεί αποφάσεις καθορισμού της MREL δεν θα πρέπει να υποχρεούντα</w:t>
            </w:r>
            <w:r w:rsidRPr="006F36F0">
              <w:t>ι να λαμβάνουν την προηγούμενη άδεια της αρχής εξυγίανσης για την εξάσκηση της ανάκλησης, της εξόφλησης, της αποπληρωμής ή της επαναγοράς υποχρεώσεων που θα πληρούσαν τις απαιτήσεις επιλεξιμότητας για τη MREL.</w:t>
            </w:r>
          </w:p>
        </w:tc>
        <w:tc>
          <w:tcPr>
            <w:tcW w:w="4876" w:type="dxa"/>
            <w:hideMark/>
          </w:tcPr>
          <w:p w:rsidR="00932D06" w:rsidRPr="006F36F0" w:rsidRDefault="00551D8F">
            <w:pPr>
              <w:pStyle w:val="Normal6"/>
              <w:rPr>
                <w:szCs w:val="24"/>
              </w:rPr>
            </w:pPr>
            <w:r w:rsidRPr="006F36F0">
              <w:t>(9)</w:t>
            </w:r>
            <w:r w:rsidRPr="006F36F0">
              <w:tab/>
              <w:t>Κύριος στόχος του καθεστώτος άδειας για τη</w:t>
            </w:r>
            <w:r w:rsidRPr="006F36F0">
              <w:t xml:space="preserve"> μείωση των μέσων επιλέξιμων υποχρεώσεων του άρθρου 77 παράγραφος 2 και του άρθρου 78α του κανονισμού (ΕΕ) αριθ. 575/2013, που εφαρμόζεται επίσης στα ιδρύματα και τις οντότητες που υπόκεινται στην MREL και στις υποχρεώσεις που εκδίδονται για τη συμμόρφωση </w:t>
            </w:r>
            <w:r w:rsidRPr="006F36F0">
              <w:t>με την MREL, είναι η παροχή της δυνατότητας στις αρχές εξυγίανσης να παρακολουθούν τις ενέργειες που οδηγούν σε μείωση του αποθέματος επιλέξιμων υποχρεώσεων και η απαγόρευση οποιασδήποτε ενέργειας που θα ισοδυναμούσε με μείωση πέραν του επιπέδου που θεωρεί</w:t>
            </w:r>
            <w:r w:rsidRPr="006F36F0">
              <w:t>ται επαρκές από τις αρχές εξυγίανσης. Εάν η αρχή εξυγίανσης δεν έχει εκδώσει απόφαση καθορισμού της MREL όσον αφορά ένα ίδρυμα ή μια οντότητα, ο στόχος αυτός δεν είναι συναφής. Επομένως, τα ιδρύματα ή οι οντότητες για τις οποίες δεν έχουν εκδοθεί αποφάσεις</w:t>
            </w:r>
            <w:r w:rsidRPr="006F36F0">
              <w:t xml:space="preserve"> καθορισμού της MREL δεν θα πρέπει να υποχρεούνται να λαμβάνουν την προηγούμενη άδεια της αρχής εξυγίανσης για την εξάσκηση της ανάκλησης, της εξόφλησης, της αποπληρωμής ή της επαναγοράς υποχρεώσεων που θα πληρούσαν τις απαιτήσεις επιλεξιμότητας για τη MRE</w:t>
            </w:r>
            <w:r w:rsidRPr="006F36F0">
              <w:t>L.</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8</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Αιτιολογική σκέψη 10</w:t>
      </w:r>
      <w:r w:rsidRPr="006F36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(10)</w:t>
            </w:r>
            <w:r w:rsidRPr="006F36F0">
              <w:tab/>
            </w:r>
            <w:r w:rsidRPr="006F36F0">
              <w:t xml:space="preserve">Υπάρχουν οντότητες εκκαθάρισης για τις οποίες η MREL υπερβαίνει </w:t>
            </w:r>
            <w:r w:rsidRPr="006F36F0">
              <w:rPr>
                <w:b/>
                <w:i/>
              </w:rPr>
              <w:t xml:space="preserve">πράγματι </w:t>
            </w:r>
            <w:r w:rsidRPr="006F36F0">
              <w:t xml:space="preserve">το ποσό </w:t>
            </w:r>
            <w:r w:rsidRPr="006F36F0">
              <w:rPr>
                <w:b/>
                <w:i/>
              </w:rPr>
              <w:t>των απαιτήσεων ιδίων κεφαλαίων, οπότε, στην</w:t>
            </w:r>
            <w:r w:rsidRPr="006F36F0">
              <w:t xml:space="preserve"> περίπτωση </w:t>
            </w:r>
            <w:r w:rsidRPr="006F36F0">
              <w:rPr>
                <w:b/>
                <w:i/>
              </w:rPr>
              <w:t>αυτή,</w:t>
            </w:r>
            <w:r w:rsidRPr="006F36F0">
              <w:t xml:space="preserve"> οι αρχές εξυγίανσης </w:t>
            </w:r>
            <w:r w:rsidRPr="006F36F0">
              <w:rPr>
                <w:b/>
                <w:i/>
              </w:rPr>
              <w:t>θα πρέπει να έχουν τη δυνατότητα καθορισμού</w:t>
            </w:r>
            <w:r w:rsidRPr="006F36F0">
              <w:t xml:space="preserve"> της </w:t>
            </w:r>
            <w:r w:rsidRPr="006F36F0">
              <w:rPr>
                <w:b/>
                <w:i/>
              </w:rPr>
              <w:t>MREL. Η εν λόγω MREL θα πρέπει να ορίζεται σε π</w:t>
            </w:r>
            <w:r w:rsidRPr="006F36F0">
              <w:rPr>
                <w:b/>
                <w:i/>
              </w:rPr>
              <w:t>οσό που υπερβαίνει το ποσό για την απορρόφηση των ζημιών, σε περίπτωση που οι αρχές εξυγίανσης θεωρούν ότι το ποσό αυτό είναι αναγκαίο</w:t>
            </w:r>
            <w:r w:rsidRPr="006F36F0">
              <w:t xml:space="preserve"> για την </w:t>
            </w:r>
            <w:r w:rsidRPr="006F36F0">
              <w:rPr>
                <w:b/>
                <w:i/>
              </w:rPr>
              <w:t>προστασία της χρηματοπιστωτικής σταθερότητας ή</w:t>
            </w:r>
            <w:r w:rsidRPr="006F36F0">
              <w:t xml:space="preserve"> για την αντιμετώπιση </w:t>
            </w:r>
            <w:r w:rsidRPr="006F36F0">
              <w:rPr>
                <w:b/>
                <w:i/>
              </w:rPr>
              <w:t>του κινδύνου μετάδοσης στο χρηματοπιστωτικό σ</w:t>
            </w:r>
            <w:r w:rsidRPr="006F36F0">
              <w:rPr>
                <w:b/>
                <w:i/>
              </w:rPr>
              <w:t>ύστημα.</w:t>
            </w:r>
            <w:r w:rsidRPr="006F36F0">
              <w:t xml:space="preserve"> </w:t>
            </w:r>
            <w:r w:rsidRPr="006F36F0">
              <w:rPr>
                <w:b/>
                <w:i/>
              </w:rPr>
              <w:t>Στις περιπτώσεις αυτές,</w:t>
            </w:r>
            <w:r w:rsidRPr="006F36F0">
              <w:t xml:space="preserve"> η οντότητα εκκαθάρισης θα πρέπει να συμμορφώνεται με την MREL και δεν θα πρέπει να εξαιρείται από το καθεστώς προηγούμενης άδειας που προβλέπεται στο άρθρο 77 παράγραφος 2 και στο άρθρο 78α του κανονισμού (ΕΕ) αριθ. 575/2013</w:t>
            </w:r>
            <w:r w:rsidRPr="006F36F0">
              <w:t>. Κάθε ενδιάμεση οντότητα που ανήκει στον ίδιο όμιλο εξυγίανσης με την οικεία οντότητα εκκαθάρισης θα πρέπει να εξακολουθήσει να υποχρεούται να αφαιρεί από τη δική της ικανότητα εσωτερικής MREL τις συμμετοχές της σε επιλέξιμους πόρους για την εκπλήρωση της</w:t>
            </w:r>
            <w:r w:rsidRPr="006F36F0">
              <w:t xml:space="preserve"> εσωτερικής MREL που εκδίδει η εν λόγω οντότητα εκκαθάρισης. Επιπλέον, δεδομένου ότι οι διαδικασίες εκκαθάρισης πραγματοποιούνται στο επίπεδο της νομικής οντότητας, οι οντότητες εκκαθάρισης που εξακολουθούν να υπόκεινται στην MREL θα πρέπει να συμμορφώνοντ</w:t>
            </w:r>
            <w:r w:rsidRPr="006F36F0">
              <w:t xml:space="preserve">αι με την απαίτηση μόνο σε ατομική βάση. Τέλος, ορισμένες απαιτήσεις επιλεξιμότητας που αφορούν την κυριότητα της οικείας υποχρέωσης είναι άνευ σημασίας, δεδομένου ότι δεν </w:t>
            </w:r>
            <w:r w:rsidRPr="006F36F0">
              <w:rPr>
                <w:b/>
                <w:i/>
              </w:rPr>
              <w:t>είναι</w:t>
            </w:r>
            <w:r w:rsidRPr="006F36F0">
              <w:t xml:space="preserve"> αναγκαία η </w:t>
            </w:r>
            <w:r w:rsidRPr="006F36F0">
              <w:rPr>
                <w:b/>
                <w:i/>
              </w:rPr>
              <w:t>διασφάλιση της μεταφοράς ζημιών και κεφαλαίου</w:t>
            </w:r>
            <w:r w:rsidRPr="006F36F0">
              <w:t xml:space="preserve"> από την</w:t>
            </w:r>
            <w:r w:rsidRPr="006F36F0">
              <w:rPr>
                <w:b/>
                <w:i/>
              </w:rPr>
              <w:t xml:space="preserve"> οντότητα εκκα</w:t>
            </w:r>
            <w:r w:rsidRPr="006F36F0">
              <w:rPr>
                <w:b/>
                <w:i/>
              </w:rPr>
              <w:t>θάρισης προς</w:t>
            </w:r>
            <w:r w:rsidRPr="006F36F0">
              <w:t xml:space="preserve"> οντότητα εξυγίανσης και, κατά συνέπεια, δεν θα πρέπει να εφαρμόζονται.</w:t>
            </w:r>
          </w:p>
        </w:tc>
        <w:tc>
          <w:tcPr>
            <w:tcW w:w="4876" w:type="dxa"/>
            <w:hideMark/>
          </w:tcPr>
          <w:p w:rsidR="00932D06" w:rsidRPr="006F36F0" w:rsidRDefault="00551D8F" w:rsidP="000A7B09">
            <w:pPr>
              <w:pStyle w:val="Normal6"/>
              <w:rPr>
                <w:szCs w:val="24"/>
              </w:rPr>
            </w:pPr>
            <w:r w:rsidRPr="006F36F0">
              <w:t>(10)</w:t>
            </w:r>
            <w:r w:rsidRPr="006F36F0">
              <w:tab/>
              <w:t xml:space="preserve">Υπάρχουν οντότητες εκκαθάρισης για τις οποίες η MREL </w:t>
            </w:r>
            <w:r w:rsidRPr="006F36F0">
              <w:rPr>
                <w:b/>
                <w:i/>
              </w:rPr>
              <w:t xml:space="preserve">θα πρέπει να </w:t>
            </w:r>
            <w:r w:rsidRPr="006F36F0">
              <w:t xml:space="preserve">υπερβαίνει το ποσό </w:t>
            </w:r>
            <w:r w:rsidRPr="006F36F0">
              <w:rPr>
                <w:b/>
                <w:i/>
              </w:rPr>
              <w:t>για την απορρόφηση των ζημιών. Τούτο ισχύει σε</w:t>
            </w:r>
            <w:r w:rsidRPr="006F36F0">
              <w:t xml:space="preserve"> περίπτωση </w:t>
            </w:r>
            <w:r w:rsidRPr="006F36F0">
              <w:rPr>
                <w:b/>
                <w:i/>
              </w:rPr>
              <w:t>που</w:t>
            </w:r>
            <w:r w:rsidRPr="006F36F0">
              <w:t xml:space="preserve"> οι αρχές εξυγίανσης </w:t>
            </w:r>
            <w:r w:rsidRPr="006F36F0">
              <w:rPr>
                <w:b/>
                <w:i/>
              </w:rPr>
              <w:t>θ</w:t>
            </w:r>
            <w:r w:rsidRPr="006F36F0">
              <w:rPr>
                <w:b/>
                <w:i/>
              </w:rPr>
              <w:t>εωρούν ότι το υψηλότερο αυτό ποσό είναι αναγκαίο για την προστασία</w:t>
            </w:r>
            <w:r w:rsidRPr="006F36F0">
              <w:t xml:space="preserve"> της </w:t>
            </w:r>
            <w:r w:rsidRPr="006F36F0">
              <w:rPr>
                <w:b/>
                <w:i/>
              </w:rPr>
              <w:t>χρηματοπιστωτικής σταθερότητας ή για την αντιμετώπιση του κινδύνου μετάδοσης στο χρηματοπιστωτικό σύστημα.</w:t>
            </w:r>
            <w:r w:rsidRPr="006F36F0">
              <w:t xml:space="preserve"> </w:t>
            </w:r>
            <w:r w:rsidRPr="006F36F0">
              <w:rPr>
                <w:b/>
                <w:i/>
              </w:rPr>
              <w:t>Στις περιπτώσεις αυτές, οι αρχές εξυγίανσης θα πρέπει να καθορίζουν MREL για τ</w:t>
            </w:r>
            <w:r w:rsidRPr="006F36F0">
              <w:rPr>
                <w:b/>
                <w:i/>
              </w:rPr>
              <w:t>ην οντότητα εκκαθάρισης, η οποία συνίσταται σε ποσό επαρκές</w:t>
            </w:r>
            <w:r w:rsidRPr="006F36F0">
              <w:t xml:space="preserve"> για την </w:t>
            </w:r>
            <w:r w:rsidRPr="006F36F0">
              <w:rPr>
                <w:b/>
                <w:i/>
              </w:rPr>
              <w:t>απορρόφηση των ζημιών, προσαυξημένο κατά το ποσό που απαιτείται</w:t>
            </w:r>
            <w:r w:rsidRPr="006F36F0">
              <w:t xml:space="preserve"> για την </w:t>
            </w:r>
            <w:r w:rsidRPr="006F36F0">
              <w:rPr>
                <w:b/>
                <w:i/>
              </w:rPr>
              <w:t xml:space="preserve">ορθή </w:t>
            </w:r>
            <w:r w:rsidRPr="006F36F0">
              <w:t xml:space="preserve">αντιμετώπιση </w:t>
            </w:r>
            <w:r w:rsidRPr="006F36F0">
              <w:rPr>
                <w:b/>
                <w:i/>
              </w:rPr>
              <w:t>των δυνητικών κινδύνων που εντοπίζονται από τις αρχές εξυγίανσης.</w:t>
            </w:r>
            <w:r w:rsidRPr="006F36F0">
              <w:t xml:space="preserve"> Η οντότητα εκκαθάρισης θα πρέπει</w:t>
            </w:r>
            <w:r w:rsidRPr="006F36F0">
              <w:t xml:space="preserve"> να συμμορφώνεται με την MREL και δεν θα πρέπει να εξαιρείται από το καθεστώς προηγούμενης άδειας που προβλέπεται στο άρθρο 77 παράγραφος 2 και στο άρθρο 78α του κανονισμού (ΕΕ) αριθ. 575/2013. Κάθε ενδιάμεση οντότητα που ανήκει στον ίδιο όμιλο εξυγίανσης </w:t>
            </w:r>
            <w:r w:rsidRPr="006F36F0">
              <w:t>με την οικεία οντότητα εκκαθάρισης θα πρέπει να εξακολουθήσει να υποχρεούται να αφαιρεί από τη δική της ικανότητα εσωτερικής MREL τις συμμετοχές της σε επιλέξιμους πόρους για την εκπλήρωση της εσωτερικής MREL που εκδίδει η εν λόγω οντότητα εκκαθάρισης. Επι</w:t>
            </w:r>
            <w:r w:rsidRPr="006F36F0">
              <w:t>πλέον, δεδομένου ότι οι διαδικασίες εκκαθάρισης πραγματοποιούνται στο επίπεδο της νομικής οντότητας, οι οντότητες εκκαθάρισης που εξακολουθούν να υπόκεινται στην MREL θα πρέπει να συμμορφώνονται με την απαίτηση μόνο σε ατομική βάση. Τέλος, ορισμένες απαιτή</w:t>
            </w:r>
            <w:r w:rsidRPr="006F36F0">
              <w:t>σεις επιλεξιμότητας που αφορούν την κυριότητα της οικείας υποχρέωσης είναι άνευ σημασίας, δεδομένου ότι</w:t>
            </w:r>
            <w:r w:rsidRPr="006F36F0">
              <w:rPr>
                <w:b/>
                <w:i/>
              </w:rPr>
              <w:t>, δίχως την άσκηση των εξουσιών απομείωσης και μετατροπής,</w:t>
            </w:r>
            <w:r w:rsidRPr="006F36F0">
              <w:t xml:space="preserve"> δεν </w:t>
            </w:r>
            <w:r w:rsidRPr="006F36F0">
              <w:rPr>
                <w:b/>
                <w:i/>
              </w:rPr>
              <w:t>θα ήταν</w:t>
            </w:r>
            <w:r w:rsidRPr="006F36F0">
              <w:t xml:space="preserve"> αναγκαία η </w:t>
            </w:r>
            <w:r w:rsidRPr="006F36F0">
              <w:rPr>
                <w:b/>
                <w:i/>
              </w:rPr>
              <w:t>διατήρηση του ελέγχου της θυγατρικής</w:t>
            </w:r>
            <w:r w:rsidRPr="006F36F0">
              <w:t xml:space="preserve"> από την οντότητα εξυγίανσης και, κ</w:t>
            </w:r>
            <w:r w:rsidRPr="006F36F0">
              <w:t>ατά συνέπεια, δεν θα πρέπει να εφαρμόζονται.</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9</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Αιτιολογική σκέψη 14</w:t>
      </w:r>
      <w:r w:rsidRPr="006F36F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(14)</w:t>
            </w:r>
            <w:r w:rsidRPr="006F36F0">
              <w:tab/>
            </w:r>
            <w:r w:rsidRPr="006F36F0">
              <w:t xml:space="preserve">Δεδομένου ότι ο στόχος της παρούσας οδηγίας, δηλαδή η προσαρμογή της αντιμετώπισης των οντοτήτων εκκαθάρισης στο πλαίσιο της MREL και </w:t>
            </w:r>
            <w:r w:rsidRPr="006F36F0">
              <w:rPr>
                <w:b/>
                <w:i/>
              </w:rPr>
              <w:t>οι δυνατότητες συμμόρφωσης με</w:t>
            </w:r>
            <w:r w:rsidRPr="006F36F0">
              <w:t xml:space="preserve"> την εσωτερική MREL, σε ενοποιημένη βάση, δεν μπορεί να επιτευχθεί επαρκώς από τα κράτη μέλη,</w:t>
            </w:r>
            <w:r w:rsidRPr="006F36F0">
              <w:t xml:space="preserve"> μπορεί όμως να επιτευχθεί καλύτερα σε επίπεδο Ένωσης με τροποποίηση των κανόνων που έχουν θεσπιστεί ήδη σε ενωσιακό επίπεδο, η Ένωση δύναται να λάβει μέτρα, σύμφωνα με την αρχή της επικουρικότητας όπως ορίζεται στο άρθρο 5 της Συνθήκης για την Ευρωπαϊκή Έ</w:t>
            </w:r>
            <w:r w:rsidRPr="006F36F0">
              <w:t>νωση. Σύμφωνα με την αρχή της αναλογικότητας, που διατυπώνεται στο ίδιο άρθρο, η παρούσα οδηγία δεν υπερβαίνει τα αναγκαία για την επίτευξη αυτών των στόχων,</w:t>
            </w:r>
          </w:p>
        </w:tc>
        <w:tc>
          <w:tcPr>
            <w:tcW w:w="4876" w:type="dxa"/>
            <w:hideMark/>
          </w:tcPr>
          <w:p w:rsidR="00932D06" w:rsidRPr="006F36F0" w:rsidRDefault="00551D8F">
            <w:pPr>
              <w:pStyle w:val="Normal6"/>
              <w:rPr>
                <w:szCs w:val="24"/>
              </w:rPr>
            </w:pPr>
            <w:r w:rsidRPr="006F36F0">
              <w:t>(14)</w:t>
            </w:r>
            <w:r w:rsidRPr="006F36F0">
              <w:tab/>
              <w:t>Δεδομένου ότι ο στόχος της παρούσας οδηγίας, δηλαδή η προσαρμογή της αντιμετώπισης των οντοτή</w:t>
            </w:r>
            <w:r w:rsidRPr="006F36F0">
              <w:t xml:space="preserve">των εκκαθάρισης στο πλαίσιο της MREL και </w:t>
            </w:r>
            <w:r w:rsidRPr="006F36F0">
              <w:rPr>
                <w:b/>
                <w:i/>
              </w:rPr>
              <w:t>η δυνατότητα, για τις αρχές εξυγίανσης, να καθορίζουν</w:t>
            </w:r>
            <w:r w:rsidRPr="006F36F0">
              <w:t xml:space="preserve"> την εσωτερική MREL, σε ενοποιημένη βάση, δεν μπορεί να επιτευχθεί επαρκώς από τα κράτη μέλη, μπορεί όμως να επιτευχθεί καλύτερα σε επίπεδο Ένωσης με τροποποίηση </w:t>
            </w:r>
            <w:r w:rsidRPr="006F36F0">
              <w:t>των κανόνων που έχουν θεσπιστεί ήδη σε ενωσιακό επίπεδο, η Ένωση δύναται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διατυπώνεται στο ίδ</w:t>
            </w:r>
            <w:r w:rsidRPr="006F36F0">
              <w:t>ιο άρθρο, η παρούσα οδηγία δεν υπερβαίνει τα αναγκαία για την επίτευξη αυτών των στόχων,</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10</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Άρθρο 1 – παράγραφος 1 – σημείο 1</w:t>
      </w:r>
      <w:r w:rsidRPr="006F36F0">
        <w:rPr>
          <w:rStyle w:val="HideTWBExt"/>
          <w:b w:val="0"/>
        </w:rPr>
        <w:t>&lt;/Article</w:t>
      </w:r>
      <w:r w:rsidRPr="006F36F0">
        <w:rPr>
          <w:rStyle w:val="HideTWBExt"/>
          <w:b w:val="0"/>
        </w:rPr>
        <w:t>&gt;</w:t>
      </w:r>
    </w:p>
    <w:p w:rsidR="00932D06" w:rsidRPr="006F36F0" w:rsidRDefault="00551D8F" w:rsidP="00932D06">
      <w:pPr>
        <w:keepNext/>
      </w:pPr>
      <w:r w:rsidRPr="006F36F0">
        <w:rPr>
          <w:rStyle w:val="HideTWBExt"/>
        </w:rPr>
        <w:t>&lt;DocAmend2&gt;</w:t>
      </w:r>
      <w:r w:rsidRPr="006F36F0">
        <w:t>Οδηγία 2014/59/ΕΕ</w:t>
      </w:r>
      <w:r w:rsidRPr="006F36F0">
        <w:rPr>
          <w:rStyle w:val="HideTWBExt"/>
        </w:rPr>
        <w:t>&lt;/DocAmend2&gt;</w:t>
      </w:r>
    </w:p>
    <w:p w:rsidR="00932D06" w:rsidRPr="006F36F0" w:rsidRDefault="00551D8F" w:rsidP="00932D06">
      <w:r w:rsidRPr="006F36F0">
        <w:rPr>
          <w:rStyle w:val="HideTWBExt"/>
        </w:rPr>
        <w:t>&lt;Article2&gt;</w:t>
      </w:r>
      <w:r w:rsidRPr="006F36F0">
        <w:t>Άρθρο 2 – παράγραφος 1 – σημείο 83αα</w:t>
      </w:r>
      <w:r w:rsidRPr="006F36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83αα)</w:t>
            </w:r>
            <w:r w:rsidRPr="006F36F0">
              <w:tab/>
            </w:r>
            <w:r w:rsidRPr="006F36F0">
              <w:t xml:space="preserve">“οντότητα εκκαθάρισης”: νομικό πρόσωπο εγκατεστημένο στην Ένωση για το οποίο το σχέδιο εξυγίανσης του ομίλου ή, για οντότητες που δεν ανήκουν σε όμιλο, το σχέδιο εξυγίανσης προβλέπει ότι η οντότητα εκκαθαρίζεται </w:t>
            </w:r>
            <w:r w:rsidRPr="006F36F0">
              <w:rPr>
                <w:b/>
                <w:i/>
              </w:rPr>
              <w:t>με συντεταγμένο τρόπο σύμφωνα με το εφαρμοστ</w:t>
            </w:r>
            <w:r w:rsidRPr="006F36F0">
              <w:rPr>
                <w:b/>
                <w:i/>
              </w:rPr>
              <w:t>έο εθνικό δίκαιο</w:t>
            </w:r>
            <w:r w:rsidRPr="006F36F0">
              <w:t>·</w:t>
            </w:r>
            <w:r w:rsidRPr="00551D8F">
              <w:rPr>
                <w:b/>
              </w:rPr>
              <w:t>·</w:t>
            </w:r>
          </w:p>
        </w:tc>
        <w:tc>
          <w:tcPr>
            <w:tcW w:w="4876" w:type="dxa"/>
            <w:hideMark/>
          </w:tcPr>
          <w:p w:rsidR="00932D06" w:rsidRPr="006F36F0" w:rsidRDefault="00551D8F" w:rsidP="000A7B09">
            <w:pPr>
              <w:pStyle w:val="Normal6"/>
              <w:rPr>
                <w:szCs w:val="24"/>
              </w:rPr>
            </w:pPr>
            <w:r w:rsidRPr="006F36F0">
              <w:t>83αα)</w:t>
            </w:r>
            <w:r w:rsidRPr="006F36F0">
              <w:tab/>
              <w:t xml:space="preserve">“οντότητα εκκαθάρισης”: νομικό πρόσωπο εγκατεστημένο στην Ένωση για το οποίο το σχέδιο εξυγίανσης του ομίλου ή, για οντότητες που δεν ανήκουν σε όμιλο, το σχέδιο εξυγίανσης προβλέπει ότι η οντότητα εκκαθαρίζεται </w:t>
            </w:r>
            <w:r w:rsidRPr="006F36F0">
              <w:rPr>
                <w:b/>
                <w:i/>
              </w:rPr>
              <w:t>υπό κανονικές διαδι</w:t>
            </w:r>
            <w:r w:rsidRPr="006F36F0">
              <w:rPr>
                <w:b/>
                <w:i/>
              </w:rPr>
              <w:t>κασίες αφερεγγυότητας ή δεν προβλέπει την άσκηση των εξουσιών απομείωσης και μετατροπής όσον αφορά την εν λόγω οντότητα</w:t>
            </w:r>
            <w:r w:rsidRPr="006F36F0">
              <w:t>·</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11</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Άρθρο 1 –</w:t>
      </w:r>
      <w:r w:rsidRPr="006F36F0">
        <w:t xml:space="preserve"> παράγραφος 1 – σημείο 2 – στοιχείο β</w:t>
      </w:r>
      <w:r w:rsidRPr="006F36F0">
        <w:rPr>
          <w:rStyle w:val="HideTWBExt"/>
          <w:b w:val="0"/>
        </w:rPr>
        <w:t>&lt;/Article&gt;</w:t>
      </w:r>
    </w:p>
    <w:p w:rsidR="00932D06" w:rsidRPr="006F36F0" w:rsidRDefault="00551D8F" w:rsidP="00932D06">
      <w:pPr>
        <w:keepNext/>
      </w:pPr>
      <w:r w:rsidRPr="006F36F0">
        <w:rPr>
          <w:rStyle w:val="HideTWBExt"/>
        </w:rPr>
        <w:t>&lt;DocAmend2&gt;</w:t>
      </w:r>
      <w:r w:rsidRPr="006F36F0">
        <w:t>Οδηγία 2014/59/ΕΕ</w:t>
      </w:r>
      <w:r w:rsidRPr="006F36F0">
        <w:rPr>
          <w:rStyle w:val="HideTWBExt"/>
        </w:rPr>
        <w:t>&lt;/DocAmend2&gt;</w:t>
      </w:r>
    </w:p>
    <w:p w:rsidR="00932D06" w:rsidRPr="006F36F0" w:rsidRDefault="00551D8F" w:rsidP="00932D06">
      <w:r w:rsidRPr="006F36F0">
        <w:rPr>
          <w:rStyle w:val="HideTWBExt"/>
        </w:rPr>
        <w:t>&lt;Article2&gt;</w:t>
      </w:r>
      <w:r w:rsidRPr="006F36F0">
        <w:t>Άρθρο 45γ – παράγραφος 2α – εδάφιο 2</w:t>
      </w:r>
      <w:r w:rsidRPr="006F36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 xml:space="preserve">Κατά παρέκκλιση από το πρώτο εδάφιο, </w:t>
            </w:r>
            <w:r w:rsidRPr="006F36F0">
              <w:rPr>
                <w:b/>
                <w:i/>
              </w:rPr>
              <w:t>και εφόσον είναι αναγκαίο</w:t>
            </w:r>
            <w:r w:rsidRPr="006F36F0">
              <w:rPr>
                <w:b/>
                <w:i/>
              </w:rPr>
              <w:t xml:space="preserve"> για τους στόχους της προστασίας της χρηματοπιστωτικής σταθερότητας ή του περιορισμού πιθανής μετάδοσης στο χρηματοπιστωτικό σύστημα, οι αρχές εξυγίανσης μπορούν κατ’ εξαίρεση</w:t>
            </w:r>
            <w:r w:rsidRPr="006F36F0">
              <w:t xml:space="preserve"> να </w:t>
            </w:r>
            <w:r w:rsidRPr="006F36F0">
              <w:rPr>
                <w:b/>
                <w:i/>
              </w:rPr>
              <w:t>καθορίζουν την</w:t>
            </w:r>
            <w:r w:rsidRPr="006F36F0">
              <w:t xml:space="preserve"> απαίτηση που αναφέρεται στο άρθρο 45 παράγραφος 1 για τις οντό</w:t>
            </w:r>
            <w:r w:rsidRPr="006F36F0">
              <w:t xml:space="preserve">τητες εκκαθάρισης, σε μεμονωμένη βάση, </w:t>
            </w:r>
            <w:r w:rsidRPr="006F36F0">
              <w:rPr>
                <w:b/>
                <w:i/>
              </w:rPr>
              <w:t>στο</w:t>
            </w:r>
            <w:r w:rsidRPr="006F36F0">
              <w:t xml:space="preserve"> ποσό που επαρκεί για την απορρόφηση ζημιών σύμφωνα με την παράγραφο 2 στοιχείο α) του παρόντος άρθρου, </w:t>
            </w:r>
            <w:r w:rsidRPr="006F36F0">
              <w:rPr>
                <w:b/>
                <w:i/>
              </w:rPr>
              <w:t>προσαυξημένη στο ποσό που είναι αναγκαίο για την επίτευξη των εν λόγω στόχων</w:t>
            </w:r>
            <w:r w:rsidRPr="006F36F0">
              <w:t xml:space="preserve">. Στις περιπτώσεις αυτές, οι </w:t>
            </w:r>
            <w:r w:rsidRPr="006F36F0">
              <w:t>οντότητες εκκαθάρισης πληρούν την απαίτηση που αναφέρεται στο άρθρο 45 παράγραφος 1 χρησιμοποιώντας ένα ή περισσότερα από τα ακόλουθα:</w:t>
            </w:r>
          </w:p>
        </w:tc>
        <w:tc>
          <w:tcPr>
            <w:tcW w:w="4876" w:type="dxa"/>
            <w:hideMark/>
          </w:tcPr>
          <w:p w:rsidR="00932D06" w:rsidRPr="006F36F0" w:rsidRDefault="00551D8F">
            <w:pPr>
              <w:pStyle w:val="Normal6"/>
              <w:rPr>
                <w:szCs w:val="24"/>
              </w:rPr>
            </w:pPr>
            <w:r w:rsidRPr="006F36F0">
              <w:t xml:space="preserve">Κατά παρέκκλιση από το πρώτο εδάφιο, </w:t>
            </w:r>
            <w:r w:rsidRPr="006F36F0">
              <w:rPr>
                <w:b/>
                <w:i/>
              </w:rPr>
              <w:t>η αρχή εξυγίανσης αξιολογεί κατά πόσον είναι δικαιολογημένο</w:t>
            </w:r>
            <w:r w:rsidRPr="006F36F0">
              <w:t xml:space="preserve"> να </w:t>
            </w:r>
            <w:r w:rsidRPr="006F36F0">
              <w:rPr>
                <w:b/>
                <w:i/>
              </w:rPr>
              <w:t>καθοριστεί η</w:t>
            </w:r>
            <w:r w:rsidRPr="006F36F0">
              <w:t xml:space="preserve"> απαίτηση</w:t>
            </w:r>
            <w:r w:rsidRPr="006F36F0">
              <w:t xml:space="preserve"> που αναφέρεται στο άρθρο 45 παράγραφος 1 για τις οντότητες εκκαθάρισης, σε μεμονωμένη βάση, </w:t>
            </w:r>
            <w:r w:rsidRPr="006F36F0">
              <w:rPr>
                <w:b/>
                <w:i/>
              </w:rPr>
              <w:t>σε ποσό που υπερβαίνει το</w:t>
            </w:r>
            <w:r w:rsidRPr="006F36F0">
              <w:t xml:space="preserve"> ποσό που επαρκεί για την απορρόφηση ζημιών σύμφωνα με την παράγραφο 2 στοιχείο α) του παρόντος άρθρου</w:t>
            </w:r>
            <w:r w:rsidRPr="006F36F0">
              <w:rPr>
                <w:b/>
                <w:i/>
              </w:rPr>
              <w:t>. Η αξιολόγηση από την αρχή εξυγίανσ</w:t>
            </w:r>
            <w:r w:rsidRPr="006F36F0">
              <w:rPr>
                <w:b/>
                <w:i/>
              </w:rPr>
              <w:t>ης εξετάζει τις πιθανές συνέπειες της πτώχευσης της οικείας οντότητας εκκαθάρισης και</w:t>
            </w:r>
            <w:r w:rsidRPr="006F36F0">
              <w:t xml:space="preserve">, </w:t>
            </w:r>
            <w:r w:rsidRPr="006F36F0">
              <w:rPr>
                <w:b/>
                <w:i/>
              </w:rPr>
              <w:t>ιδίως, λαμβάνει υπόψη τις πιθανές επιπτώσεις στη χρηματοπιστωτική σταθερότητα και στον κίνδυνο μετάδοσης στο χρηματοπιστωτικό σύστημα</w:t>
            </w:r>
            <w:r w:rsidRPr="006F36F0">
              <w:t>. Στις περιπτώσεις αυτές, οι οντότητ</w:t>
            </w:r>
            <w:r w:rsidRPr="006F36F0">
              <w:t>ες εκκαθάρισης πληρούν την απαίτηση που αναφέρεται στο άρθρο 45 παράγραφος 1 χρησιμοποιώντας ένα ή περισσότερα από τα ακόλουθα:</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12</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Άρθρο 1 – παράγραφος 1 – σημείο 2 – στοιχείο β</w:t>
      </w:r>
      <w:r w:rsidRPr="006F36F0">
        <w:rPr>
          <w:rStyle w:val="HideTWBExt"/>
          <w:b w:val="0"/>
        </w:rPr>
        <w:t>&lt;/Article&gt;</w:t>
      </w:r>
    </w:p>
    <w:p w:rsidR="00932D06" w:rsidRPr="006F36F0" w:rsidRDefault="00551D8F" w:rsidP="00932D06">
      <w:pPr>
        <w:keepNext/>
      </w:pPr>
      <w:r w:rsidRPr="006F36F0">
        <w:rPr>
          <w:rStyle w:val="HideTWBExt"/>
        </w:rPr>
        <w:t>&lt;DocAmend2&gt;</w:t>
      </w:r>
      <w:r w:rsidRPr="006F36F0">
        <w:t>Οδηγία 2014/59/ΕΕ</w:t>
      </w:r>
      <w:r w:rsidRPr="006F36F0">
        <w:rPr>
          <w:rStyle w:val="HideTWBExt"/>
        </w:rPr>
        <w:t>&lt;/DocAmend2&gt;</w:t>
      </w:r>
    </w:p>
    <w:p w:rsidR="00932D06" w:rsidRPr="006F36F0" w:rsidRDefault="00551D8F" w:rsidP="00932D06">
      <w:r w:rsidRPr="006F36F0">
        <w:rPr>
          <w:rStyle w:val="HideTWBExt"/>
        </w:rPr>
        <w:t>&lt;Article2&gt;</w:t>
      </w:r>
      <w:r w:rsidRPr="006F36F0">
        <w:t>Άρθρο 45γ – παράγραφος 2α – εδάφιο 4</w:t>
      </w:r>
      <w:r w:rsidRPr="006F36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 xml:space="preserve">Οι συμμετοχές σε </w:t>
            </w:r>
            <w:r w:rsidRPr="006F36F0">
              <w:rPr>
                <w:b/>
                <w:i/>
              </w:rPr>
              <w:t>μέσα ιδίων κεφαλαίων ή σε υποχρεώσει</w:t>
            </w:r>
            <w:r w:rsidRPr="006F36F0">
              <w:rPr>
                <w:b/>
                <w:i/>
              </w:rPr>
              <w:t>ς</w:t>
            </w:r>
            <w:r w:rsidRPr="006F36F0">
              <w:t xml:space="preserve"> που εκδίδονται από θυγατρικές που είναι οντότητες εκκαθάρισης για τις οποίες η αρχή εξυγίανσης δεν έχει καθορίσει την απαίτηση που αναφέρεται στο άρθρο 45 παράγραφος 1, δεν αφαιρούνται δυνάμει του άρθρου 72ε παράγραφος 5 του κανονισμού (ΕΕ) αριθ. 575/201</w:t>
            </w:r>
            <w:r w:rsidRPr="006F36F0">
              <w:t>3.</w:t>
            </w:r>
            <w:r w:rsidRPr="006F36F0">
              <w:rPr>
                <w:b/>
                <w:i/>
              </w:rPr>
              <w:t>·</w:t>
            </w:r>
          </w:p>
        </w:tc>
        <w:tc>
          <w:tcPr>
            <w:tcW w:w="4876" w:type="dxa"/>
            <w:hideMark/>
          </w:tcPr>
          <w:p w:rsidR="00932D06" w:rsidRPr="006F36F0" w:rsidRDefault="00551D8F">
            <w:pPr>
              <w:pStyle w:val="Normal6"/>
              <w:rPr>
                <w:szCs w:val="24"/>
              </w:rPr>
            </w:pPr>
            <w:r w:rsidRPr="006F36F0">
              <w:t xml:space="preserve">Οι συμμετοχές σε </w:t>
            </w:r>
            <w:r w:rsidRPr="006F36F0">
              <w:rPr>
                <w:b/>
                <w:i/>
              </w:rPr>
              <w:t>υποχρεώσεις που δεν χαρακτηρίζονται ως μέσα ιδίων κεφαλαίων</w:t>
            </w:r>
            <w:r w:rsidRPr="006F36F0">
              <w:t xml:space="preserve"> που εκδίδονται από θυγατρικές που είναι οντότητες εκκαθάρισης για τις οποίες η αρχή εξυγίανσης δεν έχει καθορίσει την απαίτηση που αναφέρεται στο άρθρο 45 παράγραφος 1, δεν αφ</w:t>
            </w:r>
            <w:r w:rsidRPr="006F36F0">
              <w:t>αιρούνται δυνάμει του άρθρου 72ε παράγραφος 5 του κανονισμού (ΕΕ) αριθ. 575/2013.</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13</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Άρθρο 1 – παράγραφος 1 – σημείο 3 – στοιχείο α</w:t>
      </w:r>
      <w:r w:rsidRPr="006F36F0">
        <w:rPr>
          <w:rStyle w:val="HideTWBExt"/>
          <w:b w:val="0"/>
        </w:rPr>
        <w:t>&lt;/Article&gt;</w:t>
      </w:r>
    </w:p>
    <w:p w:rsidR="00932D06" w:rsidRPr="006F36F0" w:rsidRDefault="00551D8F" w:rsidP="00932D06">
      <w:pPr>
        <w:keepNext/>
      </w:pPr>
      <w:r w:rsidRPr="006F36F0">
        <w:rPr>
          <w:rStyle w:val="HideTWBExt"/>
        </w:rPr>
        <w:t>&lt;DocAmend2&gt;</w:t>
      </w:r>
      <w:r w:rsidRPr="006F36F0">
        <w:t>Οδηγία 2014/59/ΕΕ</w:t>
      </w:r>
      <w:r w:rsidRPr="006F36F0">
        <w:rPr>
          <w:rStyle w:val="HideTWBExt"/>
        </w:rPr>
        <w:t>&lt;/DocAmend2&gt;</w:t>
      </w:r>
    </w:p>
    <w:p w:rsidR="00932D06" w:rsidRPr="006F36F0" w:rsidRDefault="00551D8F" w:rsidP="00932D06">
      <w:r w:rsidRPr="006F36F0">
        <w:rPr>
          <w:rStyle w:val="HideTWBExt"/>
        </w:rPr>
        <w:t>&lt;Article2&gt;</w:t>
      </w:r>
      <w:r w:rsidRPr="006F36F0">
        <w:t>Άρθρο 45στ – παράγραφος 1 – εδάφιο 3α – στοιχείο α – σημείο ii</w:t>
      </w:r>
      <w:r w:rsidRPr="006F36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(ii)</w:t>
            </w:r>
            <w:r w:rsidRPr="006F36F0">
              <w:tab/>
            </w:r>
            <w:r w:rsidRPr="006F36F0">
              <w:t xml:space="preserve">η θυγατρική υπόκειται στην απαίτηση που αναφέρεται στο άρθρο 104α της οδηγίας 2013/36/ΕΕ </w:t>
            </w:r>
            <w:r w:rsidRPr="006F36F0">
              <w:rPr>
                <w:b/>
                <w:i/>
              </w:rPr>
              <w:t>ή στη συνδυασμένη απαίτηση αποθέματος ασφαλείας</w:t>
            </w:r>
            <w:r w:rsidRPr="006F36F0">
              <w:t xml:space="preserve"> σε ενοποιημένη βάση·</w:t>
            </w:r>
          </w:p>
        </w:tc>
        <w:tc>
          <w:tcPr>
            <w:tcW w:w="4876" w:type="dxa"/>
            <w:hideMark/>
          </w:tcPr>
          <w:p w:rsidR="00932D06" w:rsidRPr="006F36F0" w:rsidRDefault="00551D8F">
            <w:pPr>
              <w:pStyle w:val="Normal6"/>
              <w:rPr>
                <w:szCs w:val="24"/>
              </w:rPr>
            </w:pPr>
            <w:r w:rsidRPr="006F36F0">
              <w:t>(ii)</w:t>
            </w:r>
            <w:r w:rsidRPr="006F36F0">
              <w:tab/>
              <w:t xml:space="preserve">η θυγατρική υπόκειται στην απαίτηση που αναφέρεται στο άρθρο 104α της οδηγίας 2013/36/ΕΕ </w:t>
            </w:r>
            <w:r w:rsidRPr="006F36F0">
              <w:rPr>
                <w:b/>
                <w:i/>
              </w:rPr>
              <w:t>μόνο</w:t>
            </w:r>
            <w:r w:rsidRPr="006F36F0">
              <w:t xml:space="preserve"> σε ενοποιημένη βάση·</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14</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Άρθρο 1 – παράγραφος 1 – σημείο 3 – στοιχείο α</w:t>
      </w:r>
      <w:r w:rsidRPr="006F36F0">
        <w:rPr>
          <w:rStyle w:val="HideTWBExt"/>
          <w:b w:val="0"/>
        </w:rPr>
        <w:t>&lt;/Article&gt;</w:t>
      </w:r>
    </w:p>
    <w:p w:rsidR="00932D06" w:rsidRPr="006F36F0" w:rsidRDefault="00551D8F" w:rsidP="00932D06">
      <w:pPr>
        <w:keepNext/>
      </w:pPr>
      <w:r w:rsidRPr="006F36F0">
        <w:rPr>
          <w:rStyle w:val="HideTWBExt"/>
        </w:rPr>
        <w:t>&lt;DocAmend2&gt;</w:t>
      </w:r>
      <w:r w:rsidRPr="006F36F0">
        <w:t>Οδηγία 2014/59/ΕΕ</w:t>
      </w:r>
      <w:r w:rsidRPr="006F36F0">
        <w:rPr>
          <w:rStyle w:val="HideTWBExt"/>
        </w:rPr>
        <w:t>&lt;/DocAmend2&gt;</w:t>
      </w:r>
    </w:p>
    <w:p w:rsidR="00932D06" w:rsidRPr="006F36F0" w:rsidRDefault="00551D8F" w:rsidP="00932D06">
      <w:r w:rsidRPr="006F36F0">
        <w:rPr>
          <w:rStyle w:val="HideTWBExt"/>
        </w:rPr>
        <w:t>&lt;Article2&gt;</w:t>
      </w:r>
      <w:r w:rsidRPr="006F36F0">
        <w:t>Άρθρο 45στ – παράγραφος 1 – εδάφιο 3α – στοιχείο β</w:t>
      </w:r>
      <w:r w:rsidRPr="006F36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β)</w:t>
            </w:r>
            <w:r w:rsidRPr="006F36F0">
              <w:tab/>
              <w:t xml:space="preserve">η συμμόρφωση με την απαίτηση του άρθρου 45γ σε ενοποιημένη βάση δεν επηρεάζει αρνητικά </w:t>
            </w:r>
            <w:r w:rsidRPr="006F36F0">
              <w:rPr>
                <w:b/>
                <w:i/>
              </w:rPr>
              <w:t xml:space="preserve">και με σημαντικό τρόπο </w:t>
            </w:r>
            <w:r w:rsidRPr="006F36F0">
              <w:t xml:space="preserve">τη δυνατότητα εξυγίανσης του </w:t>
            </w:r>
            <w:r w:rsidRPr="006F36F0">
              <w:t>ομίλου εξυγίανσης ή την απομείωση ή τη μετατροπή, σύμφωνα με το άρθρο 59, των σχετικών κεφαλαιακών μέσων και επιλέξιμων υποχρεώσεων της οικείας θυγατρικής ή άλλων οντοτήτων του ομίλου εξυγίανσης.·</w:t>
            </w:r>
          </w:p>
        </w:tc>
        <w:tc>
          <w:tcPr>
            <w:tcW w:w="4876" w:type="dxa"/>
            <w:hideMark/>
          </w:tcPr>
          <w:p w:rsidR="00932D06" w:rsidRPr="006F36F0" w:rsidRDefault="00551D8F">
            <w:pPr>
              <w:pStyle w:val="Normal6"/>
              <w:rPr>
                <w:szCs w:val="24"/>
              </w:rPr>
            </w:pPr>
            <w:r w:rsidRPr="006F36F0">
              <w:t>β)</w:t>
            </w:r>
            <w:r w:rsidRPr="006F36F0">
              <w:tab/>
              <w:t>η συμμόρφωση με την απαίτηση του άρθρου 45γ σε ενοποιημέ</w:t>
            </w:r>
            <w:r w:rsidRPr="006F36F0">
              <w:t>νη βάση δεν επηρεάζει αρνητικά τη δυνατότητα εξυγίανσης του ομίλου εξυγίανσης ή την απομείωση ή τη μετατροπή, σύμφωνα με το άρθρο 59, των σχετικών κεφαλαιακών μέσων και επιλέξιμων υποχρεώσεων της οικείας θυγατρικής ή άλλων οντοτήτων του ομίλου εξυγίανσης.·</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15</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Άρθρο 2 – παράγραφος 1 – σημείο 2 – στοιχείο β</w:t>
      </w:r>
      <w:r w:rsidRPr="006F36F0">
        <w:rPr>
          <w:rStyle w:val="HideTWBExt"/>
          <w:b w:val="0"/>
        </w:rPr>
        <w:t>&lt;/Article&gt;</w:t>
      </w:r>
    </w:p>
    <w:p w:rsidR="00932D06" w:rsidRPr="006F36F0" w:rsidRDefault="00551D8F" w:rsidP="00932D06">
      <w:pPr>
        <w:keepNext/>
      </w:pPr>
      <w:r w:rsidRPr="006F36F0">
        <w:rPr>
          <w:rStyle w:val="HideTWBExt"/>
        </w:rPr>
        <w:t>&lt;DocAmend2&gt;</w:t>
      </w:r>
      <w:r w:rsidRPr="006F36F0">
        <w:t>Κανονισμός (ΕΕ) αριθ. 806/2014</w:t>
      </w:r>
      <w:r w:rsidRPr="006F36F0">
        <w:rPr>
          <w:rStyle w:val="HideTWBExt"/>
        </w:rPr>
        <w:t>&lt;/DocAmend2&gt;</w:t>
      </w:r>
    </w:p>
    <w:p w:rsidR="00932D06" w:rsidRPr="006F36F0" w:rsidRDefault="00551D8F" w:rsidP="00932D06">
      <w:r w:rsidRPr="006F36F0">
        <w:rPr>
          <w:rStyle w:val="HideTWBExt"/>
        </w:rPr>
        <w:t>&lt;Article2&gt;</w:t>
      </w:r>
      <w:r w:rsidRPr="006F36F0">
        <w:t>Άρθρο 12δ</w:t>
      </w:r>
      <w:r w:rsidRPr="006F36F0">
        <w:t xml:space="preserve"> – παράγραφος 2α – εδάφιο 2</w:t>
      </w:r>
      <w:r w:rsidRPr="006F36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 xml:space="preserve">Κατά παρέκκλιση από το πρώτο εδάφιο, </w:t>
            </w:r>
            <w:r w:rsidRPr="006F36F0">
              <w:rPr>
                <w:b/>
                <w:i/>
              </w:rPr>
              <w:t xml:space="preserve">και εφόσον είναι αναγκαίο για τους στόχους της προστασίας της χρηματοπιστωτικής σταθερότητας ή του περιορισμού πιθανής μετάδοσης στο χρηματοπιστωτικό σύστημα, </w:t>
            </w:r>
            <w:r w:rsidRPr="006F36F0">
              <w:t xml:space="preserve">το Συμβούλιο Εξυγίανσης </w:t>
            </w:r>
            <w:r w:rsidRPr="006F36F0">
              <w:rPr>
                <w:b/>
                <w:i/>
              </w:rPr>
              <w:t>μπορεί κατ’ εξαίρεση</w:t>
            </w:r>
            <w:r w:rsidRPr="006F36F0">
              <w:t xml:space="preserve"> να </w:t>
            </w:r>
            <w:r w:rsidRPr="006F36F0">
              <w:rPr>
                <w:b/>
                <w:i/>
              </w:rPr>
              <w:t>καθορίζει την</w:t>
            </w:r>
            <w:r w:rsidRPr="006F36F0">
              <w:t xml:space="preserve"> απαίτηση που αναφέρεται στο άρθρο 1</w:t>
            </w:r>
            <w:r w:rsidRPr="006F36F0">
              <w:t xml:space="preserve">2α παράγραφος 1 για τις οντότητες εκκαθάρισης, σε μεμονωμένη βάση, </w:t>
            </w:r>
            <w:r w:rsidRPr="006F36F0">
              <w:rPr>
                <w:b/>
                <w:i/>
              </w:rPr>
              <w:t>στο</w:t>
            </w:r>
            <w:r w:rsidRPr="006F36F0">
              <w:t xml:space="preserve"> ποσό που επαρκεί για την απορρόφηση ζημιών σύμφωνα με την παράγραφο 2 στοιχείο α) του παρόντος άρθρου, </w:t>
            </w:r>
            <w:r w:rsidRPr="006F36F0">
              <w:rPr>
                <w:b/>
                <w:i/>
              </w:rPr>
              <w:t>προσαυξημένη στο ποσό που είναι αναγκαίο για την επίτευξη των εν λόγω στόχων</w:t>
            </w:r>
            <w:r w:rsidRPr="006F36F0">
              <w:t>. Στις</w:t>
            </w:r>
            <w:r w:rsidRPr="006F36F0">
              <w:t xml:space="preserve"> περιπτώσεις αυτές, οι οντότητες εκκαθάρισης πληρούν την απαίτηση που αναφέρεται στο άρθρο 12α παράγραφος 1 χρησιμοποιώντας ένα ή περισσότερα από τα ακόλουθα:</w:t>
            </w:r>
          </w:p>
        </w:tc>
        <w:tc>
          <w:tcPr>
            <w:tcW w:w="4876" w:type="dxa"/>
            <w:hideMark/>
          </w:tcPr>
          <w:p w:rsidR="00932D06" w:rsidRPr="006F36F0" w:rsidRDefault="00551D8F">
            <w:pPr>
              <w:pStyle w:val="Normal6"/>
              <w:rPr>
                <w:szCs w:val="24"/>
              </w:rPr>
            </w:pPr>
            <w:r w:rsidRPr="006F36F0">
              <w:t xml:space="preserve">Κατά παρέκκλιση από το πρώτο εδάφιο, το Συμβούλιο Εξυγίανσης </w:t>
            </w:r>
            <w:r w:rsidRPr="006F36F0">
              <w:rPr>
                <w:b/>
                <w:i/>
              </w:rPr>
              <w:t>αξιολογεί κατά πόσον είναι δικαιολογ</w:t>
            </w:r>
            <w:r w:rsidRPr="006F36F0">
              <w:rPr>
                <w:b/>
                <w:i/>
              </w:rPr>
              <w:t>ημένο</w:t>
            </w:r>
            <w:r w:rsidRPr="006F36F0">
              <w:t xml:space="preserve"> να </w:t>
            </w:r>
            <w:r w:rsidRPr="006F36F0">
              <w:rPr>
                <w:b/>
                <w:i/>
              </w:rPr>
              <w:t>καθοριστεί η</w:t>
            </w:r>
            <w:r w:rsidRPr="006F36F0">
              <w:t xml:space="preserve"> απαίτηση που αναφέρεται στο άρθρο 12α παράγραφος 1 για τις οντότητες εκκαθάρισης, σε μεμονωμένη βάση, </w:t>
            </w:r>
            <w:r w:rsidRPr="006F36F0">
              <w:rPr>
                <w:b/>
                <w:i/>
              </w:rPr>
              <w:t>σε ποσό που υπερβαίνει το</w:t>
            </w:r>
            <w:r w:rsidRPr="006F36F0">
              <w:t xml:space="preserve"> ποσό που επαρκεί για την απορρόφηση ζημιών σύμφωνα με την παράγραφο 2 στοιχείο α) του παρόντος άρθρου</w:t>
            </w:r>
            <w:r w:rsidRPr="006F36F0">
              <w:rPr>
                <w:b/>
                <w:i/>
              </w:rPr>
              <w:t>. Η α</w:t>
            </w:r>
            <w:r w:rsidRPr="006F36F0">
              <w:rPr>
                <w:b/>
                <w:i/>
              </w:rPr>
              <w:t>ξιολόγηση από το Συμβούλιο Εξυγίανσης εξετάζει τις πιθανές συνέπειες της πτώχευσης της οικείας οντότητας εκκαθάρισης και</w:t>
            </w:r>
            <w:r w:rsidRPr="006F36F0">
              <w:t xml:space="preserve">, </w:t>
            </w:r>
            <w:r w:rsidRPr="006F36F0">
              <w:rPr>
                <w:b/>
                <w:i/>
              </w:rPr>
              <w:t>ιδίως, λαμβάνει υπόψη τις πιθανές επιπτώσεις στη χρηματοπιστωτική σταθερότητα και στον κίνδυνο μετάδοσης στο χρηματοπιστωτικό σύστημα</w:t>
            </w:r>
            <w:r w:rsidRPr="006F36F0">
              <w:t>.</w:t>
            </w:r>
            <w:r w:rsidRPr="006F36F0">
              <w:t xml:space="preserve"> Στις περιπτώσεις αυτές, οι οντότητες εκκαθάρισης πληρούν την απαίτηση που αναφέρεται στο άρθρο 12α παράγραφος 1 χρησιμοποιώντας ένα ή περισσότερα από τα ακόλουθα:</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16</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w:t>
      </w:r>
      <w:r w:rsidRPr="006F36F0">
        <w:t>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Άρθρο 2 – παράγραφος 1 – σημείο 2 – στοιχείο β</w:t>
      </w:r>
      <w:r w:rsidRPr="006F36F0">
        <w:rPr>
          <w:rStyle w:val="HideTWBExt"/>
          <w:b w:val="0"/>
        </w:rPr>
        <w:t>&lt;/Article&gt;</w:t>
      </w:r>
    </w:p>
    <w:p w:rsidR="00932D06" w:rsidRPr="006F36F0" w:rsidRDefault="00551D8F" w:rsidP="00932D06">
      <w:pPr>
        <w:keepNext/>
      </w:pPr>
      <w:r w:rsidRPr="006F36F0">
        <w:rPr>
          <w:rStyle w:val="HideTWBExt"/>
        </w:rPr>
        <w:t>&lt;DocAmend2&gt;</w:t>
      </w:r>
      <w:r w:rsidRPr="006F36F0">
        <w:t>Κανονισμός (ΕΕ) αριθ. 806/2014</w:t>
      </w:r>
      <w:r w:rsidRPr="006F36F0">
        <w:rPr>
          <w:rStyle w:val="HideTWBExt"/>
        </w:rPr>
        <w:t>&lt;/DocAmend2&gt;</w:t>
      </w:r>
    </w:p>
    <w:p w:rsidR="00932D06" w:rsidRPr="006F36F0" w:rsidRDefault="00551D8F" w:rsidP="00932D06">
      <w:r w:rsidRPr="006F36F0">
        <w:rPr>
          <w:rStyle w:val="HideTWBExt"/>
        </w:rPr>
        <w:t>&lt;Article2&gt;</w:t>
      </w:r>
      <w:r w:rsidRPr="006F36F0">
        <w:t>Άρθρο 12δ – παράγραφος 2α – εδάφιο 4</w:t>
      </w:r>
      <w:r w:rsidRPr="006F36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 xml:space="preserve">Οι συμμετοχές σε </w:t>
            </w:r>
            <w:r w:rsidRPr="006F36F0">
              <w:rPr>
                <w:b/>
                <w:i/>
              </w:rPr>
              <w:t>μέσα ιδίων κεφαλαίων ή σε υποχρεώσεις</w:t>
            </w:r>
            <w:r w:rsidRPr="006F36F0">
              <w:t xml:space="preserve"> που εκδίδονται από θυγατρικές που είναι οντότητες εκκαθάρισης για τις οποίες η αρχή εξυγίανσης δεν έχει καθορίσει την απαίτηση που αναφέρεται στο άρθρο 12α παράγραφος 1, δεν αφαιρούνται δυνάμει του άρθ</w:t>
            </w:r>
            <w:r w:rsidRPr="006F36F0">
              <w:t>ρου 72ε παράγραφος 5 του κανονισμού (ΕΕ) αριθ. 575/2013.</w:t>
            </w:r>
            <w:r w:rsidRPr="006F36F0">
              <w:rPr>
                <w:b/>
                <w:i/>
              </w:rPr>
              <w:t>·</w:t>
            </w:r>
          </w:p>
        </w:tc>
        <w:tc>
          <w:tcPr>
            <w:tcW w:w="4876" w:type="dxa"/>
            <w:hideMark/>
          </w:tcPr>
          <w:p w:rsidR="00932D06" w:rsidRPr="006F36F0" w:rsidRDefault="00551D8F">
            <w:pPr>
              <w:pStyle w:val="Normal6"/>
              <w:rPr>
                <w:szCs w:val="24"/>
              </w:rPr>
            </w:pPr>
            <w:r w:rsidRPr="006F36F0">
              <w:t xml:space="preserve">Οι συμμετοχές σε </w:t>
            </w:r>
            <w:r w:rsidRPr="006F36F0">
              <w:rPr>
                <w:b/>
                <w:i/>
              </w:rPr>
              <w:t>υποχρεώσεις που δεν χαρακτηρίζονται ως μέσα ιδίων κεφαλαίων</w:t>
            </w:r>
            <w:r w:rsidRPr="006F36F0">
              <w:t xml:space="preserve"> που εκδίδονται από θυγατρικές που είναι οντότητες εκκαθάρισης για τις οποίες η αρχή εξυγίανσης δεν έχει καθορίσει την απα</w:t>
            </w:r>
            <w:r w:rsidRPr="006F36F0">
              <w:t>ίτηση που αναφέρεται στο άρθρο 12α παράγραφος 1, δεν αφαιρούνται δυνάμει του άρθρου 72ε παράγραφος 5 του κανονισμού (ΕΕ) αριθ. 575/2013.</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17</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Άρθρο 2 – παράγραφος 1 – σημείο 3 – στοιχείο α</w:t>
      </w:r>
      <w:r w:rsidRPr="006F36F0">
        <w:rPr>
          <w:rStyle w:val="HideTWBExt"/>
          <w:b w:val="0"/>
        </w:rPr>
        <w:t>&lt;/Article&gt;</w:t>
      </w:r>
    </w:p>
    <w:p w:rsidR="00932D06" w:rsidRPr="006F36F0" w:rsidRDefault="00551D8F" w:rsidP="00932D06">
      <w:pPr>
        <w:keepNext/>
      </w:pPr>
      <w:r w:rsidRPr="006F36F0">
        <w:rPr>
          <w:rStyle w:val="HideTWBExt"/>
        </w:rPr>
        <w:t>&lt;DocAmend2&gt;</w:t>
      </w:r>
      <w:r w:rsidRPr="006F36F0">
        <w:t>Κανονισμός (ΕΕ) αριθ. 806/2014</w:t>
      </w:r>
      <w:r w:rsidRPr="006F36F0">
        <w:rPr>
          <w:rStyle w:val="HideTWBExt"/>
        </w:rPr>
        <w:t>&lt;/DocAmend2&gt;</w:t>
      </w:r>
    </w:p>
    <w:p w:rsidR="00932D06" w:rsidRPr="006F36F0" w:rsidRDefault="00551D8F" w:rsidP="00932D06">
      <w:r w:rsidRPr="006F36F0">
        <w:rPr>
          <w:rStyle w:val="HideTWBExt"/>
        </w:rPr>
        <w:t>&lt;Article2&gt;</w:t>
      </w:r>
      <w:r w:rsidRPr="006F36F0">
        <w:t>Άρθρο 12ζ – παράγραφος 1 – εδάφιο 3α – στοιχείο α – σημείο ii</w:t>
      </w:r>
      <w:r w:rsidRPr="006F36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(ii)</w:t>
            </w:r>
            <w:r w:rsidRPr="006F36F0">
              <w:tab/>
            </w:r>
            <w:r w:rsidRPr="006F36F0">
              <w:t xml:space="preserve">η θυγατρική υπόκειται στην απαίτηση που αναφέρεται στο άρθρο 104α της οδηγίας 2013/36/ΕΕ </w:t>
            </w:r>
            <w:r w:rsidRPr="006F36F0">
              <w:rPr>
                <w:b/>
                <w:i/>
              </w:rPr>
              <w:t>ή στη συνδυασμένη απαίτηση αποθέματος ασφαλείας</w:t>
            </w:r>
            <w:r w:rsidRPr="006F36F0">
              <w:t xml:space="preserve"> σε ενοποιημένη βάση·</w:t>
            </w:r>
          </w:p>
        </w:tc>
        <w:tc>
          <w:tcPr>
            <w:tcW w:w="4876" w:type="dxa"/>
            <w:hideMark/>
          </w:tcPr>
          <w:p w:rsidR="00932D06" w:rsidRPr="006F36F0" w:rsidRDefault="00551D8F">
            <w:pPr>
              <w:pStyle w:val="Normal6"/>
              <w:rPr>
                <w:szCs w:val="24"/>
              </w:rPr>
            </w:pPr>
            <w:r w:rsidRPr="006F36F0">
              <w:t>(ii)</w:t>
            </w:r>
            <w:r w:rsidRPr="006F36F0">
              <w:tab/>
              <w:t xml:space="preserve">η θυγατρική υπόκειται στην απαίτηση που αναφέρεται στο άρθρο 104α της οδηγίας 2013/36/ΕΕ </w:t>
            </w:r>
            <w:r w:rsidRPr="006F36F0">
              <w:rPr>
                <w:b/>
                <w:i/>
              </w:rPr>
              <w:t>μόνο</w:t>
            </w:r>
            <w:r w:rsidRPr="006F36F0">
              <w:t xml:space="preserve"> σε ενοποιημένη βάση·</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18</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Άρθρο 2 – παράγραφος 1 – σημείο 3 – στοιχείο α</w:t>
      </w:r>
      <w:r w:rsidRPr="006F36F0">
        <w:rPr>
          <w:rStyle w:val="HideTWBExt"/>
          <w:b w:val="0"/>
        </w:rPr>
        <w:t>&lt;/Article&gt;</w:t>
      </w:r>
    </w:p>
    <w:p w:rsidR="00932D06" w:rsidRPr="006F36F0" w:rsidRDefault="00551D8F" w:rsidP="00932D06">
      <w:pPr>
        <w:keepNext/>
      </w:pPr>
      <w:r w:rsidRPr="006F36F0">
        <w:rPr>
          <w:rStyle w:val="HideTWBExt"/>
        </w:rPr>
        <w:t>&lt;DocAmend2&gt;</w:t>
      </w:r>
      <w:r w:rsidRPr="006F36F0">
        <w:t>Κανονισμός (ΕΕ) αριθ. 806/2014</w:t>
      </w:r>
      <w:r w:rsidRPr="006F36F0">
        <w:rPr>
          <w:rStyle w:val="HideTWBExt"/>
        </w:rPr>
        <w:t>&lt;/DocAmend2&gt;</w:t>
      </w:r>
    </w:p>
    <w:p w:rsidR="00932D06" w:rsidRPr="006F36F0" w:rsidRDefault="00551D8F" w:rsidP="00932D06">
      <w:r w:rsidRPr="006F36F0">
        <w:rPr>
          <w:rStyle w:val="HideTWBExt"/>
        </w:rPr>
        <w:t>&lt;Article2&gt;</w:t>
      </w:r>
      <w:r w:rsidRPr="006F36F0">
        <w:t>Άρθρο 12ζ – παράγραφος 1 – εδάφιο 3α – στοιχείο β</w:t>
      </w:r>
      <w:r w:rsidRPr="006F36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β)</w:t>
            </w:r>
            <w:r w:rsidRPr="006F36F0">
              <w:tab/>
              <w:t xml:space="preserve">η συμμόρφωση με την απαίτηση του άρθρου 12δ σε ενοποιημένη βάση δεν επηρεάζει αρνητικά </w:t>
            </w:r>
            <w:r w:rsidRPr="006F36F0">
              <w:rPr>
                <w:b/>
                <w:i/>
              </w:rPr>
              <w:t xml:space="preserve">και με σημαντικό τρόπο </w:t>
            </w:r>
            <w:r w:rsidRPr="006F36F0">
              <w:t xml:space="preserve">τη </w:t>
            </w:r>
            <w:r w:rsidRPr="006F36F0">
              <w:t>δυνατότητα εξυγίανσης του ομίλου εξυγίανσης ή την απομείωση ή τη μετατροπή, σύμφωνα με το άρθρο 21, των σχετικών κεφαλαιακών μέσων και επιλέξιμων υποχρεώσεων της οικείας θυγατρικής ή άλλων οντοτήτων του ομίλου εξυγίανσης.</w:t>
            </w:r>
            <w:r w:rsidRPr="006F36F0">
              <w:rPr>
                <w:b/>
                <w:i/>
              </w:rPr>
              <w:t>·</w:t>
            </w:r>
          </w:p>
        </w:tc>
        <w:tc>
          <w:tcPr>
            <w:tcW w:w="4876" w:type="dxa"/>
            <w:hideMark/>
          </w:tcPr>
          <w:p w:rsidR="00932D06" w:rsidRPr="006F36F0" w:rsidRDefault="00551D8F">
            <w:pPr>
              <w:pStyle w:val="Normal6"/>
              <w:rPr>
                <w:szCs w:val="24"/>
              </w:rPr>
            </w:pPr>
            <w:r w:rsidRPr="006F36F0">
              <w:t>β)</w:t>
            </w:r>
            <w:r w:rsidRPr="006F36F0">
              <w:tab/>
              <w:t>η συμμόρφωση με την απαίτηση τ</w:t>
            </w:r>
            <w:r w:rsidRPr="006F36F0">
              <w:t>ου άρθρου 12δ σε ενοποιημένη βάση δεν επηρεάζει αρνητικά τη δυνατότητα εξυγίανσης του ομίλου εξυγίανσης ή την απομείωση ή τη μετατροπή, σύμφωνα με το άρθρο 21, των σχετικών κεφαλαιακών μέσων και επιλέξιμων υποχρεώσεων της οικείας θυγατρικής ή άλλων οντοτήτ</w:t>
            </w:r>
            <w:r w:rsidRPr="006F36F0">
              <w:t>ων του ομίλου εξυγίανσης.</w:t>
            </w:r>
          </w:p>
        </w:tc>
      </w:tr>
    </w:tbl>
    <w:p w:rsidR="00932D06" w:rsidRPr="006F36F0" w:rsidRDefault="00551D8F" w:rsidP="00932D06">
      <w:pPr>
        <w:pStyle w:val="Olang"/>
        <w:rPr>
          <w:sz w:val="24"/>
          <w:szCs w:val="24"/>
        </w:rPr>
      </w:pPr>
      <w:r w:rsidRPr="006F36F0">
        <w:rPr>
          <w:sz w:val="24"/>
          <w:szCs w:val="24"/>
        </w:rPr>
        <w:t xml:space="preserve">Or. </w:t>
      </w:r>
      <w:r w:rsidRPr="006F36F0">
        <w:rPr>
          <w:rStyle w:val="HideTWBExt"/>
        </w:rPr>
        <w:t>&lt;Original&gt;</w:t>
      </w:r>
      <w:r w:rsidRPr="006F36F0">
        <w:rPr>
          <w:rStyle w:val="HideTWBInt"/>
          <w:sz w:val="24"/>
          <w:szCs w:val="24"/>
        </w:rPr>
        <w:t>{EN}</w:t>
      </w:r>
      <w:r w:rsidRPr="006F36F0">
        <w:rPr>
          <w:sz w:val="24"/>
          <w:szCs w:val="24"/>
        </w:rPr>
        <w:t>en</w:t>
      </w:r>
      <w:r w:rsidRPr="006F36F0">
        <w:rPr>
          <w:rStyle w:val="HideTWBExt"/>
        </w:rPr>
        <w:t>&lt;/Original&gt;</w:t>
      </w:r>
    </w:p>
    <w:p w:rsidR="00932D06" w:rsidRPr="006F36F0" w:rsidRDefault="00551D8F" w:rsidP="00932D06">
      <w:pPr>
        <w:rPr>
          <w:szCs w:val="24"/>
        </w:rPr>
      </w:pPr>
      <w:r w:rsidRPr="006F36F0">
        <w:rPr>
          <w:rStyle w:val="HideTWBExt"/>
        </w:rPr>
        <w:t>&lt;/Amend&gt;</w:t>
      </w:r>
    </w:p>
    <w:p w:rsidR="00932D06" w:rsidRPr="006F36F0" w:rsidRDefault="00551D8F" w:rsidP="00932D06">
      <w:pPr>
        <w:pStyle w:val="AMNumberTabs0"/>
        <w:keepNext/>
      </w:pPr>
      <w:r w:rsidRPr="006F36F0">
        <w:rPr>
          <w:rStyle w:val="HideTWBExt"/>
          <w:b w:val="0"/>
        </w:rPr>
        <w:t>&lt;Amend&gt;</w:t>
      </w:r>
      <w:r w:rsidRPr="006F36F0">
        <w:t>Τροπολογία</w:t>
      </w:r>
      <w:r w:rsidRPr="006F36F0">
        <w:tab/>
      </w:r>
      <w:r w:rsidRPr="006F36F0">
        <w:tab/>
      </w:r>
      <w:r w:rsidRPr="006F36F0">
        <w:rPr>
          <w:rStyle w:val="HideTWBExt"/>
          <w:b w:val="0"/>
        </w:rPr>
        <w:t>&lt;NumAm&gt;</w:t>
      </w:r>
      <w:r w:rsidRPr="006F36F0">
        <w:t>19</w:t>
      </w:r>
      <w:r w:rsidRPr="006F36F0">
        <w:rPr>
          <w:rStyle w:val="HideTWBExt"/>
          <w:b w:val="0"/>
        </w:rPr>
        <w:t>&lt;/NumAm&gt;</w:t>
      </w:r>
    </w:p>
    <w:p w:rsidR="00932D06" w:rsidRPr="006F36F0" w:rsidRDefault="00551D8F" w:rsidP="00932D06">
      <w:pPr>
        <w:pStyle w:val="NormalBold12b"/>
        <w:keepNext/>
      </w:pPr>
      <w:r w:rsidRPr="006F36F0">
        <w:rPr>
          <w:rStyle w:val="HideTWBExt"/>
          <w:b w:val="0"/>
        </w:rPr>
        <w:t>&lt;DocAmend&gt;</w:t>
      </w:r>
      <w:r w:rsidRPr="006F36F0">
        <w:t>Πρόταση οδηγίας</w:t>
      </w:r>
      <w:r w:rsidRPr="006F36F0">
        <w:rPr>
          <w:rStyle w:val="HideTWBExt"/>
          <w:b w:val="0"/>
        </w:rPr>
        <w:t>&lt;/DocAmend&gt;</w:t>
      </w:r>
    </w:p>
    <w:p w:rsidR="00932D06" w:rsidRPr="006F36F0" w:rsidRDefault="00551D8F" w:rsidP="00932D06">
      <w:pPr>
        <w:pStyle w:val="NormalBold"/>
      </w:pPr>
      <w:r w:rsidRPr="006F36F0">
        <w:rPr>
          <w:rStyle w:val="HideTWBExt"/>
          <w:b w:val="0"/>
        </w:rPr>
        <w:t>&lt;Article&gt;</w:t>
      </w:r>
      <w:r w:rsidRPr="006F36F0">
        <w:t>Άρθρο 2 – παράγραφος 1 – σημείο 3 – στοιχείο β</w:t>
      </w:r>
      <w:r w:rsidRPr="006F36F0">
        <w:rPr>
          <w:rStyle w:val="HideTWBExt"/>
          <w:b w:val="0"/>
        </w:rPr>
        <w:t>&lt;/Article&gt;</w:t>
      </w:r>
    </w:p>
    <w:p w:rsidR="00932D06" w:rsidRPr="006F36F0" w:rsidRDefault="00551D8F" w:rsidP="00932D06">
      <w:pPr>
        <w:keepNext/>
      </w:pPr>
      <w:r w:rsidRPr="006F36F0">
        <w:rPr>
          <w:rStyle w:val="HideTWBExt"/>
        </w:rPr>
        <w:t>&lt;DocAmend2&gt;</w:t>
      </w:r>
      <w:r w:rsidRPr="006F36F0">
        <w:t>Κανονισμός (ΕΕ) αριθ. 806/2014</w:t>
      </w:r>
      <w:r w:rsidRPr="006F36F0">
        <w:rPr>
          <w:rStyle w:val="HideTWBExt"/>
        </w:rPr>
        <w:t>&lt;/DocAmend2&gt;</w:t>
      </w:r>
    </w:p>
    <w:p w:rsidR="00932D06" w:rsidRPr="006F36F0" w:rsidRDefault="00551D8F" w:rsidP="00932D06">
      <w:r w:rsidRPr="006F36F0">
        <w:rPr>
          <w:rStyle w:val="HideTWBExt"/>
        </w:rPr>
        <w:t>&lt;Article2&gt;</w:t>
      </w:r>
      <w:r w:rsidRPr="006F36F0">
        <w:t>Άρθρο 12ζ – παράγραφος 2α – εδάφιο 2 – εισαγωγικό μέρος</w:t>
      </w:r>
      <w:r w:rsidRPr="006F36F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53B8" w:rsidRPr="006F36F0" w:rsidTr="00932D06">
        <w:trPr>
          <w:jc w:val="center"/>
        </w:trPr>
        <w:tc>
          <w:tcPr>
            <w:tcW w:w="9752" w:type="dxa"/>
            <w:gridSpan w:val="2"/>
          </w:tcPr>
          <w:p w:rsidR="00932D06" w:rsidRPr="006F36F0" w:rsidRDefault="00932D06">
            <w:pPr>
              <w:keepNext/>
            </w:pPr>
          </w:p>
        </w:tc>
      </w:tr>
      <w:tr w:rsidR="008F53B8" w:rsidRPr="006F36F0" w:rsidTr="00932D06">
        <w:trPr>
          <w:jc w:val="center"/>
        </w:trPr>
        <w:tc>
          <w:tcPr>
            <w:tcW w:w="4876" w:type="dxa"/>
            <w:hideMark/>
          </w:tcPr>
          <w:p w:rsidR="00932D06" w:rsidRPr="006F36F0" w:rsidRDefault="00551D8F">
            <w:pPr>
              <w:pStyle w:val="ColumnHeading"/>
              <w:keepNext/>
            </w:pPr>
            <w:r w:rsidRPr="006F36F0">
              <w:t>Κείμενο που προτείνει η Επιτροπή</w:t>
            </w:r>
          </w:p>
        </w:tc>
        <w:tc>
          <w:tcPr>
            <w:tcW w:w="4876" w:type="dxa"/>
            <w:hideMark/>
          </w:tcPr>
          <w:p w:rsidR="00932D06" w:rsidRPr="006F36F0" w:rsidRDefault="00551D8F">
            <w:pPr>
              <w:pStyle w:val="ColumnHeading"/>
              <w:keepNext/>
            </w:pPr>
            <w:r w:rsidRPr="006F36F0">
              <w:t>Τροπολογία</w:t>
            </w:r>
          </w:p>
        </w:tc>
      </w:tr>
      <w:tr w:rsidR="008F53B8" w:rsidRPr="006F36F0" w:rsidTr="00932D06">
        <w:trPr>
          <w:jc w:val="center"/>
        </w:trPr>
        <w:tc>
          <w:tcPr>
            <w:tcW w:w="4876" w:type="dxa"/>
            <w:hideMark/>
          </w:tcPr>
          <w:p w:rsidR="00932D06" w:rsidRPr="006F36F0" w:rsidRDefault="00551D8F">
            <w:pPr>
              <w:pStyle w:val="Normal6"/>
            </w:pPr>
            <w:r w:rsidRPr="006F36F0">
              <w:t xml:space="preserve">Οι υποχρεώσεις που αναφέρονται στο πρώτο εδάφιο στοιχεία α) και β) δεν υπερβαίνουν το ποσό που καθορίζεται αφαιρώντας </w:t>
            </w:r>
            <w:r w:rsidRPr="006F36F0">
              <w:t>από το ποσό της απαίτησης που αναφέρεται στο άρθρο </w:t>
            </w:r>
            <w:r w:rsidRPr="006F36F0">
              <w:rPr>
                <w:b/>
                <w:i/>
              </w:rPr>
              <w:t>45</w:t>
            </w:r>
            <w:r w:rsidRPr="006F36F0">
              <w:t xml:space="preserve"> παράγραφος 1, το οποίο εφαρμόζεται στη θυγατρική που περιλαμβάνεται στην ενοποίηση, το άθροισμα όλων των ακόλουθων στοιχείων:</w:t>
            </w:r>
          </w:p>
        </w:tc>
        <w:tc>
          <w:tcPr>
            <w:tcW w:w="4876" w:type="dxa"/>
            <w:hideMark/>
          </w:tcPr>
          <w:p w:rsidR="00932D06" w:rsidRPr="006F36F0" w:rsidRDefault="00551D8F">
            <w:pPr>
              <w:pStyle w:val="Normal6"/>
              <w:rPr>
                <w:szCs w:val="24"/>
              </w:rPr>
            </w:pPr>
            <w:r w:rsidRPr="006F36F0">
              <w:t xml:space="preserve">Οι υποχρεώσεις που αναφέρονται στο πρώτο εδάφιο στοιχεία α) και β) δεν </w:t>
            </w:r>
            <w:r w:rsidRPr="006F36F0">
              <w:t>υπερβαίνουν το ποσό που καθορίζεται αφαιρώντας από το ποσό της απαίτησης που αναφέρεται στο άρθρο </w:t>
            </w:r>
            <w:r w:rsidRPr="006F36F0">
              <w:rPr>
                <w:b/>
                <w:i/>
              </w:rPr>
              <w:t>12</w:t>
            </w:r>
            <w:r w:rsidRPr="006F36F0">
              <w:t xml:space="preserve"> παράγραφος 1, το οποίο εφαρμόζεται στη θυγατρική που περιλαμβάνεται στην ενοποίηση, το άθροισμα όλων των ακόλουθων στοιχείων:</w:t>
            </w:r>
          </w:p>
        </w:tc>
      </w:tr>
    </w:tbl>
    <w:p w:rsidR="00932D06" w:rsidRPr="00551D8F" w:rsidRDefault="00551D8F" w:rsidP="00932D06">
      <w:pPr>
        <w:pStyle w:val="Olang"/>
        <w:rPr>
          <w:sz w:val="24"/>
          <w:szCs w:val="24"/>
          <w:lang w:val="en-GB"/>
        </w:rPr>
      </w:pPr>
      <w:r w:rsidRPr="00551D8F">
        <w:rPr>
          <w:sz w:val="24"/>
          <w:szCs w:val="24"/>
          <w:lang w:val="en-GB"/>
        </w:rPr>
        <w:t xml:space="preserve">Or. </w:t>
      </w:r>
      <w:r w:rsidRPr="00551D8F">
        <w:rPr>
          <w:rStyle w:val="HideTWBExt"/>
          <w:lang w:val="en-GB"/>
        </w:rPr>
        <w:t>&lt;Original&gt;</w:t>
      </w:r>
      <w:r w:rsidRPr="00551D8F">
        <w:rPr>
          <w:rStyle w:val="HideTWBInt"/>
          <w:sz w:val="24"/>
          <w:szCs w:val="24"/>
          <w:lang w:val="en-GB"/>
        </w:rPr>
        <w:t>{EN}</w:t>
      </w:r>
      <w:r w:rsidRPr="00551D8F">
        <w:rPr>
          <w:sz w:val="24"/>
          <w:szCs w:val="24"/>
          <w:lang w:val="en-GB"/>
        </w:rPr>
        <w:t>en</w:t>
      </w:r>
      <w:r w:rsidRPr="00551D8F">
        <w:rPr>
          <w:rStyle w:val="HideTWBExt"/>
          <w:lang w:val="en-GB"/>
        </w:rPr>
        <w:t>&lt;/Origin</w:t>
      </w:r>
      <w:r w:rsidRPr="00551D8F">
        <w:rPr>
          <w:rStyle w:val="HideTWBExt"/>
          <w:lang w:val="en-GB"/>
        </w:rPr>
        <w:t>al&gt;</w:t>
      </w:r>
    </w:p>
    <w:p w:rsidR="00467F7B" w:rsidRPr="00551D8F" w:rsidRDefault="00551D8F" w:rsidP="00467F7B">
      <w:pPr>
        <w:rPr>
          <w:lang w:val="en-GB"/>
        </w:rPr>
      </w:pPr>
      <w:r w:rsidRPr="00551D8F">
        <w:rPr>
          <w:rStyle w:val="HideTWBExt"/>
          <w:lang w:val="en-GB"/>
        </w:rPr>
        <w:t>&lt;/Amend&gt;</w:t>
      </w:r>
    </w:p>
    <w:p w:rsidR="002669B6" w:rsidRPr="00551D8F" w:rsidRDefault="00551D8F" w:rsidP="002669B6">
      <w:pPr>
        <w:rPr>
          <w:lang w:val="en-GB"/>
        </w:rPr>
      </w:pPr>
      <w:r w:rsidRPr="00551D8F">
        <w:rPr>
          <w:rStyle w:val="HideTWBExt"/>
          <w:lang w:val="en-GB"/>
        </w:rPr>
        <w:t>&lt;/RepeatBlock-Amend&gt;</w:t>
      </w:r>
      <w:bookmarkStart w:id="2" w:name="_GoBack"/>
      <w:bookmarkEnd w:id="2"/>
    </w:p>
    <w:sectPr w:rsidR="002669B6" w:rsidRPr="00551D8F" w:rsidSect="006F36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6F36F0" w:rsidRDefault="00551D8F">
      <w:r w:rsidRPr="006F36F0">
        <w:separator/>
      </w:r>
    </w:p>
  </w:endnote>
  <w:endnote w:type="continuationSeparator" w:id="0">
    <w:p w:rsidR="00000000" w:rsidRPr="006F36F0" w:rsidRDefault="00551D8F">
      <w:r w:rsidRPr="006F36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6F0" w:rsidRPr="006F36F0" w:rsidRDefault="006F36F0" w:rsidP="006F36F0">
    <w:pPr>
      <w:pStyle w:val="EPFooter"/>
    </w:pPr>
    <w:r w:rsidRPr="006F36F0">
      <w:t>PE</w:t>
    </w:r>
    <w:r w:rsidRPr="006F36F0">
      <w:rPr>
        <w:rStyle w:val="HideTWBExt"/>
      </w:rPr>
      <w:t>&lt;NoPE&gt;</w:t>
    </w:r>
    <w:r w:rsidRPr="006F36F0">
      <w:t>752.913</w:t>
    </w:r>
    <w:r w:rsidRPr="006F36F0">
      <w:rPr>
        <w:rStyle w:val="HideTWBExt"/>
      </w:rPr>
      <w:t>&lt;/NoPE&gt;&lt;Version&gt;</w:t>
    </w:r>
    <w:r w:rsidRPr="006F36F0">
      <w:t>v01-00</w:t>
    </w:r>
    <w:r w:rsidRPr="006F36F0">
      <w:rPr>
        <w:rStyle w:val="HideTWBExt"/>
      </w:rPr>
      <w:t>&lt;/Version&gt;</w:t>
    </w:r>
    <w:r w:rsidRPr="006F36F0">
      <w:tab/>
    </w:r>
    <w:r w:rsidRPr="006F36F0">
      <w:fldChar w:fldCharType="begin"/>
    </w:r>
    <w:r w:rsidRPr="006F36F0">
      <w:instrText xml:space="preserve"> PAGE  \* MERGEFORMAT </w:instrText>
    </w:r>
    <w:r w:rsidRPr="006F36F0">
      <w:fldChar w:fldCharType="separate"/>
    </w:r>
    <w:r w:rsidR="00551D8F">
      <w:rPr>
        <w:noProof/>
      </w:rPr>
      <w:t>20</w:t>
    </w:r>
    <w:r w:rsidRPr="006F36F0">
      <w:fldChar w:fldCharType="end"/>
    </w:r>
    <w:r w:rsidRPr="006F36F0">
      <w:t>/</w:t>
    </w:r>
    <w:fldSimple w:instr=" NUMPAGES  \* MERGEFORMAT ">
      <w:r w:rsidR="00551D8F">
        <w:rPr>
          <w:noProof/>
        </w:rPr>
        <w:t>21</w:t>
      </w:r>
    </w:fldSimple>
    <w:r w:rsidRPr="006F36F0">
      <w:tab/>
    </w:r>
    <w:r w:rsidRPr="006F36F0">
      <w:rPr>
        <w:rStyle w:val="HideTWBExt"/>
      </w:rPr>
      <w:t>&lt;PathFdR&gt;</w:t>
    </w:r>
    <w:r w:rsidRPr="006F36F0">
      <w:t>PR\1285454EL.docx</w:t>
    </w:r>
    <w:r w:rsidRPr="006F36F0">
      <w:rPr>
        <w:rStyle w:val="HideTWBExt"/>
      </w:rPr>
      <w:t>&lt;/PathFdR&gt;</w:t>
    </w:r>
  </w:p>
  <w:p w:rsidR="0048211B" w:rsidRPr="006F36F0" w:rsidRDefault="006F36F0" w:rsidP="006F36F0">
    <w:pPr>
      <w:pStyle w:val="EPFooter2"/>
    </w:pPr>
    <w:r w:rsidRPr="006F36F0">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6F0" w:rsidRPr="006F36F0" w:rsidRDefault="006F36F0" w:rsidP="006F36F0">
    <w:pPr>
      <w:pStyle w:val="EPFooter"/>
    </w:pPr>
    <w:r w:rsidRPr="006F36F0">
      <w:rPr>
        <w:rStyle w:val="HideTWBExt"/>
      </w:rPr>
      <w:t>&lt;PathFdR&gt;</w:t>
    </w:r>
    <w:r w:rsidRPr="006F36F0">
      <w:t>PR\1285454EL.docx</w:t>
    </w:r>
    <w:r w:rsidRPr="006F36F0">
      <w:rPr>
        <w:rStyle w:val="HideTWBExt"/>
      </w:rPr>
      <w:t>&lt;/PathFdR&gt;</w:t>
    </w:r>
    <w:r w:rsidRPr="006F36F0">
      <w:tab/>
    </w:r>
    <w:r w:rsidRPr="006F36F0">
      <w:fldChar w:fldCharType="begin"/>
    </w:r>
    <w:r w:rsidRPr="006F36F0">
      <w:instrText xml:space="preserve"> PAGE  \* MERGEFORMAT </w:instrText>
    </w:r>
    <w:r w:rsidRPr="006F36F0">
      <w:fldChar w:fldCharType="separate"/>
    </w:r>
    <w:r w:rsidR="00551D8F">
      <w:rPr>
        <w:noProof/>
      </w:rPr>
      <w:t>21</w:t>
    </w:r>
    <w:r w:rsidRPr="006F36F0">
      <w:fldChar w:fldCharType="end"/>
    </w:r>
    <w:r w:rsidRPr="006F36F0">
      <w:t>/</w:t>
    </w:r>
    <w:fldSimple w:instr=" NUMPAGES  \* MERGEFORMAT ">
      <w:r w:rsidR="00551D8F">
        <w:rPr>
          <w:noProof/>
        </w:rPr>
        <w:t>21</w:t>
      </w:r>
    </w:fldSimple>
    <w:r w:rsidRPr="006F36F0">
      <w:tab/>
      <w:t>PE</w:t>
    </w:r>
    <w:r w:rsidRPr="006F36F0">
      <w:rPr>
        <w:rStyle w:val="HideTWBExt"/>
      </w:rPr>
      <w:t>&lt;NoPE&gt;</w:t>
    </w:r>
    <w:r w:rsidRPr="006F36F0">
      <w:t>752.913</w:t>
    </w:r>
    <w:r w:rsidRPr="006F36F0">
      <w:rPr>
        <w:rStyle w:val="HideTWBExt"/>
      </w:rPr>
      <w:t>&lt;/NoPE&gt;&lt;Version&gt;</w:t>
    </w:r>
    <w:r w:rsidRPr="006F36F0">
      <w:t>v01-00</w:t>
    </w:r>
    <w:r w:rsidRPr="006F36F0">
      <w:rPr>
        <w:rStyle w:val="HideTWBExt"/>
      </w:rPr>
      <w:t>&lt;/Version&gt;</w:t>
    </w:r>
  </w:p>
  <w:p w:rsidR="0048211B" w:rsidRPr="006F36F0" w:rsidRDefault="006F36F0" w:rsidP="006F36F0">
    <w:pPr>
      <w:pStyle w:val="EPFooter2"/>
    </w:pPr>
    <w:r w:rsidRPr="006F36F0">
      <w:tab/>
    </w:r>
    <w:r w:rsidRPr="006F36F0">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6F0" w:rsidRPr="006F36F0" w:rsidRDefault="006F36F0" w:rsidP="006F36F0">
    <w:pPr>
      <w:pStyle w:val="EPFooter"/>
    </w:pPr>
    <w:r w:rsidRPr="006F36F0">
      <w:rPr>
        <w:rStyle w:val="HideTWBExt"/>
      </w:rPr>
      <w:t>&lt;PathFdR&gt;</w:t>
    </w:r>
    <w:r w:rsidRPr="006F36F0">
      <w:t>PR\1285454EL.docx</w:t>
    </w:r>
    <w:r w:rsidRPr="006F36F0">
      <w:rPr>
        <w:rStyle w:val="HideTWBExt"/>
      </w:rPr>
      <w:t>&lt;/PathFdR&gt;</w:t>
    </w:r>
    <w:r w:rsidRPr="006F36F0">
      <w:tab/>
    </w:r>
    <w:r w:rsidRPr="006F36F0">
      <w:tab/>
      <w:t>PE</w:t>
    </w:r>
    <w:r w:rsidRPr="006F36F0">
      <w:rPr>
        <w:rStyle w:val="HideTWBExt"/>
      </w:rPr>
      <w:t>&lt;NoPE&gt;</w:t>
    </w:r>
    <w:r w:rsidRPr="006F36F0">
      <w:t>752.913</w:t>
    </w:r>
    <w:r w:rsidRPr="006F36F0">
      <w:rPr>
        <w:rStyle w:val="HideTWBExt"/>
      </w:rPr>
      <w:t>&lt;/NoPE&gt;&lt;Version&gt;</w:t>
    </w:r>
    <w:r w:rsidRPr="006F36F0">
      <w:t>v01-00</w:t>
    </w:r>
    <w:r w:rsidRPr="006F36F0">
      <w:rPr>
        <w:rStyle w:val="HideTWBExt"/>
      </w:rPr>
      <w:t>&lt;/Version&gt;</w:t>
    </w:r>
  </w:p>
  <w:p w:rsidR="0048211B" w:rsidRPr="006F36F0" w:rsidRDefault="006F36F0" w:rsidP="006F36F0">
    <w:pPr>
      <w:pStyle w:val="EPFooter2"/>
    </w:pPr>
    <w:r w:rsidRPr="006F36F0">
      <w:t>EL</w:t>
    </w:r>
    <w:r w:rsidRPr="006F36F0">
      <w:tab/>
    </w:r>
    <w:r w:rsidRPr="006F36F0">
      <w:rPr>
        <w:b w:val="0"/>
        <w:i/>
        <w:color w:val="C0C0C0"/>
        <w:sz w:val="22"/>
      </w:rPr>
      <w:t>Ενωμένη στην πολυμορφία</w:t>
    </w:r>
    <w:r w:rsidRPr="006F36F0">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11B" w:rsidRPr="006F36F0" w:rsidRDefault="00551D8F">
      <w:r w:rsidRPr="006F36F0">
        <w:separator/>
      </w:r>
    </w:p>
  </w:footnote>
  <w:footnote w:type="continuationSeparator" w:id="0">
    <w:p w:rsidR="0048211B" w:rsidRPr="006F36F0" w:rsidRDefault="00551D8F">
      <w:r w:rsidRPr="006F36F0">
        <w:continuationSeparator/>
      </w:r>
    </w:p>
  </w:footnote>
  <w:footnote w:id="1">
    <w:p w:rsidR="0048211B" w:rsidRPr="00551D8F" w:rsidRDefault="00551D8F">
      <w:pPr>
        <w:pStyle w:val="FootnoteText"/>
        <w:rPr>
          <w:sz w:val="22"/>
          <w:szCs w:val="22"/>
        </w:rPr>
      </w:pPr>
      <w:r w:rsidRPr="00551D8F">
        <w:rPr>
          <w:rStyle w:val="FootnoteReference"/>
          <w:sz w:val="22"/>
          <w:szCs w:val="22"/>
        </w:rPr>
        <w:footnoteRef/>
      </w:r>
      <w:r w:rsidRPr="00551D8F">
        <w:rPr>
          <w:sz w:val="22"/>
          <w:szCs w:val="22"/>
        </w:rPr>
        <w:t xml:space="preserve"> ΕΕ C 307 της 31.8.2023, σ. 19.</w:t>
      </w:r>
    </w:p>
  </w:footnote>
  <w:footnote w:id="2">
    <w:p w:rsidR="0048211B" w:rsidRPr="00551D8F" w:rsidRDefault="00551D8F">
      <w:pPr>
        <w:pStyle w:val="FootnoteText"/>
        <w:rPr>
          <w:sz w:val="22"/>
          <w:szCs w:val="22"/>
        </w:rPr>
      </w:pPr>
      <w:r w:rsidRPr="00551D8F">
        <w:rPr>
          <w:rStyle w:val="FootnoteReference"/>
          <w:sz w:val="22"/>
          <w:szCs w:val="22"/>
        </w:rPr>
        <w:footnoteRef/>
      </w:r>
      <w:r w:rsidRPr="00551D8F">
        <w:rPr>
          <w:sz w:val="22"/>
          <w:szCs w:val="22"/>
        </w:rPr>
        <w:t xml:space="preserve"> Δεν έχει ακόμη δημοσιευθεί στην Επίσημη Εφημερίδα.</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D8F" w:rsidRDefault="00551D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D8F" w:rsidRDefault="00551D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D8F" w:rsidRDefault="00551D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ECON"/>
    <w:docVar w:name="CopyToNetwork" w:val="-1"/>
    <w:docVar w:name="CVar" w:val="2"/>
    <w:docVar w:name="DOCMNU" w:val=" 2"/>
    <w:docVar w:name="EPOJMNU" w:val=" 3"/>
    <w:docVar w:name="EPSTATMNU" w:val=" 1"/>
    <w:docVar w:name="EPSTATPLURMNU" w:val=" 1"/>
    <w:docVar w:name="iNoAmend" w:val="2"/>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58872 HideTWBExt;}{\*\cs18 \additive \v\f1\fs20\cf15 _x000d__x000a_\spriority0 \styrsid16658872 HideTWBInt;}{\s19\ql \li0\ri0\sa120\nowidctlpar\wrapdefault\aspalpha\aspnum\faauto\adjustright\rin0\lin0\itap0 \rtlch\fcs1 \af0\afs20\alang1025 \ltrch\fcs0 \fs24\lang2057\langfe2057\cgrid\langnp2057\langfenp2057 _x000d__x000a_\sbasedon0 \snext19 \spriority0 \styrsid16658872 Normal6a;}{\s20\ql \li0\ri0\nowidctlpar\wrapdefault\aspalpha\aspnum\faauto\adjustright\rin0\lin0\itap0 \rtlch\fcs1 \af0\afs20\alang1025 \ltrch\fcs0 \b\fs24\lang2057\langfe2057\cgrid\langnp2057\langfenp2057 _x000d__x000a_\sbasedon0 \snext20 \spriority0 \styrsid16658872 NormalBold;}{\s21\ql \li0\ri0\sa240\nowidctlpar\wrapdefault\aspalpha\aspnum\faauto\adjustright\rin0\lin0\itap0 \rtlch\fcs1 \af0\afs20\alang1025 \ltrch\fcs0 _x000d__x000a_\i\fs24\lang2057\langfe2057\cgrid\langnp2057\langfenp2057 \sbasedon0 \snext21 \spriority0 \styrsid16658872 AmJustText;}{\s22\qc \li0\ri0\sb240\sa240\nowidctlpar\wrapdefault\aspalpha\aspnum\faauto\adjustright\rin0\lin0\itap0 \rtlch\fcs1 _x000d__x000a_\af0\afs20\alang1025 \ltrch\fcs0 \i\fs24\lang2057\langfe2057\cgrid\langnp2057\langfenp2057 \sbasedon0 \snext22 \spriority0 \styrsid16658872 AmCrossRef;}{_x000d__x000a_\s23\qc \li0\ri0\sb240\sa240\keepn\nowidctlpar\wrapdefault\aspalpha\aspnum\faauto\adjustright\rin0\lin0\itap0 \rtlch\fcs1 \af0\afs20\alang1025 \ltrch\fcs0 \i\fs24\lang2057\langfe2057\cgrid\langnp2057\langfenp2057 _x000d__x000a_\sbasedon0 \snext21 \spriority0 \styrsid16658872 AmJustTitle;}{\s24\qr \li0\ri0\sb240\sa240\nowidctlpar\wrapdefault\aspalpha\aspnum\faauto\adjustright\rin0\lin0\itap0 \rtlch\fcs1 \af0\afs20\alang1025 \ltrch\fcs0 _x000d__x000a_\fs24\lang2057\langfe2057\cgrid\langnp2057\langfenp2057 \sbasedon0 \snext24 \spriority0 \styrsid16658872 AmOrLang;}{\s25\qc \li0\ri0\sa240\nowidctlpar\wrapdefault\aspalpha\aspnum\faauto\adjustright\rin0\lin0\itap0 \rtlch\fcs1 \af0\afs20\alang1025 _x000d__x000a_\ltrch\fcs0 \i\fs24\lang2057\langfe2057\cgrid\langnp2057\langfenp2057 \sbasedon0 \snext25 \spriority0 \styrsid166588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658872 AmNumberTabs;}{\s27\ql \li0\ri0\sb240\nowidctlpar\wrapdefault\aspalpha\aspnum\faauto\adjustright\rin0\lin0\itap0 \rtlch\fcs1 _x000d__x000a_\af0\afs20\alang1025 \ltrch\fcs0 \b\fs24\lang2057\langfe2057\cgrid\langnp2057\langfenp2057 \sbasedon0 \snext27 \spriority0 \styrsid16658872 NormalBold12b;}}{\*\rsidtbl \rsid24658\rsid223860\rsid735077\rsid1718133\rsid2892074\rsid3565327\rsid4666813_x000d__x000a_\rsid6641733\rsid7602181\rsid7823322\rsid9636012\rsid10377208\rsid11215221\rsid11549030\rsid12154954\rsid14382809\rsid14424199\rsid15204470\rsid15285974\rsid15950462\rsid16324206\rsid16658872\rsid16662270}{\mmathPr\mmathFont34\mbrkBin0\mbrkBinSub0_x000d__x000a_\msmallFrac0\mdispDef1\mlMargin0\mrMargin0\mdefJc1\mwrapIndent1440\mintLim0\mnaryLim1}{\info{\author TURLUI Emil-Gabriel}{\operator TURLUI Emil-Gabriel}{\creatim\yr2023\mo9\dy8\hr15\min57}{\revtim\yr2023\mo9\dy8\hr15\min57}{\version1}{\edmins0}_x000d__x000a_{\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58872\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7602181 \chftnsep _x000d__x000a_\par }}{\*\ftnsepc \ltrpar \pard\plain \ltrpar\ql \li0\ri0\widctlpar\wrapdefault\aspalpha\aspnum\faauto\adjustright\rin0\lin0\itap0 \rtlch\fcs1 \af0\afs20\alang1025 \ltrch\fcs0 \fs24\lang2057\langfe2057\cgrid\langnp2057\langfenp2057 {\rtlch\fcs1 \af0 _x000d__x000a_\ltrch\fcs0 \insrsid7602181 \chftnsepc _x000d__x000a_\par }}{\*\aftnsep \ltrpar \pard\plain \ltrpar\ql \li0\ri0\widctlpar\wrapdefault\aspalpha\aspnum\faauto\adjustright\rin0\lin0\itap0 \rtlch\fcs1 \af0\afs20\alang1025 \ltrch\fcs0 \fs24\lang2057\langfe2057\cgrid\langnp2057\langfenp2057 {\rtlch\fcs1 \af0 _x000d__x000a_\ltrch\fcs0 \insrsid7602181 \chftnsep _x000d__x000a_\par }}{\*\aftnsepc \ltrpar \pard\plain \ltrpar\ql \li0\ri0\widctlpar\wrapdefault\aspalpha\aspnum\faauto\adjustright\rin0\lin0\itap0 \rtlch\fcs1 \af0\afs20\alang1025 \ltrch\fcs0 \fs24\lang2057\langfe2057\cgrid\langnp2057\langfenp2057 {\rtlch\fcs1 \af0 _x000d__x000a_\ltrch\fcs0 \insrsid76021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658872 \rtlch\fcs1 _x000d__x000a_\af0\afs20\alang1025 \ltrch\fcs0 \b\fs24\lang2057\langfe2057\cgrid\langnp2057\langfenp2057 {\rtlch\fcs1 \af0 \ltrch\fcs0 \cs17\b0\v\fs20\cf9\lang1024\langfe1024\loch\af1\hich\af1\dbch\af31501\noproof\insrsid16658872\charrsid6768093 {\*\bkmkstart restart}_x000d__x000a_\hich\af1\dbch\af31501\loch\f1 &lt;Amend&gt;}{\rtlch\fcs1 \af0 \ltrch\fcs0 \insrsid16658872\charrsid6768093 Amendment\tab \tab }{\rtlch\fcs1 \af0 \ltrch\fcs0 _x000d__x000a_\cs17\b0\v\fs20\cf9\lang1024\langfe1024\loch\af1\hich\af1\dbch\af31501\noproof\insrsid16658872\charrsid6768093 \hich\af1\dbch\af31501\loch\f1 &lt;NumAm&gt;}{\rtlch\fcs1 \af0 \ltrch\fcs0 \insrsid16658872\charrsid6768093 #}{\rtlch\fcs1 \af1 \ltrch\fcs0 _x000d__x000a_\cs18\v\f1\fs20\cf15\insrsid16658872\charrsid6768093 ENMIENDA@NRAM@}{\rtlch\fcs1 \af0 \ltrch\fcs0 \insrsid16658872\charrsid6768093 #}{\rtlch\fcs1 \af0 \ltrch\fcs0 _x000d__x000a_\cs17\b0\v\fs20\cf9\lang1024\langfe1024\loch\af1\hich\af1\dbch\af31501\noproof\insrsid16658872\charrsid6768093 \hich\af1\dbch\af31501\loch\f1 &lt;/NumAm&gt;}{\rtlch\fcs1 \af0 \ltrch\fcs0 \insrsid16658872\charrsid6768093 _x000d__x000a_\par }\pard\plain \ltrpar\s27\ql \li0\ri0\sb240\keepn\nowidctlpar\wrapdefault\aspalpha\aspnum\faauto\adjustright\rin0\lin0\itap0\pararsid16658872 \rtlch\fcs1 \af0\afs20\alang1025 \ltrch\fcs0 \b\fs24\lang2057\langfe2057\cgrid\langnp2057\langfenp2057 {_x000d__x000a_\rtlch\fcs1 \af0 \ltrch\fcs0 \cs17\b0\v\fs20\cf9\lang1024\langfe1024\loch\af1\hich\af1\dbch\af31501\noproof\insrsid16658872\charrsid6768093 \hich\af1\dbch\af31501\loch\f1 &lt;DocAmend&gt;}{\rtlch\fcs1 \af0 \ltrch\fcs0 \insrsid16658872\charrsid6768093 _x000d__x000a_Proposal for a #}{\rtlch\fcs1 \af1 \ltrch\fcs0 \cs18\v\f1\fs20\cf15\insrsid16658872\charrsid6768093 MNU[DOC1][DOC2][DOC3]@DOCMSG@DOCMNU}{\rtlch\fcs1 \af0 \ltrch\fcs0 \insrsid16658872\charrsid6768093 ##}{\rtlch\fcs1 \af1 \ltrch\fcs0 _x000d__x000a_\cs18\v\f1\fs20\cf15\insrsid16658872\charrsid6768093 MNU[AMACTYES][NOTAPP]@CHOICE@AMACTMNU}{\rtlch\fcs1 \af0 \ltrch\fcs0 \insrsid16658872\charrsid6768093 #}{\rtlch\fcs1 \af0 \ltrch\fcs0 _x000d__x000a_\cs17\b0\v\fs20\cf9\lang1024\langfe1024\loch\af1\hich\af1\dbch\af31501\noproof\insrsid16658872\charrsid6768093 \hich\af1\dbch\af31501\loch\f1 &lt;/DocAmend&gt;}{\rtlch\fcs1 \af0 \ltrch\fcs0 \insrsid16658872\charrsid6768093 _x000d__x000a_\par }\pard\plain \ltrpar\s20\ql \li0\ri0\keepn\nowidctlpar\wrapdefault\aspalpha\aspnum\faauto\adjustright\rin0\lin0\itap0\pararsid16658872 \rtlch\fcs1 \af0\afs20\alang1025 \ltrch\fcs0 \b\fs24\lang2057\langfe2057\cgrid\langnp2057\langfenp2057 {\rtlch\fcs1 _x000d__x000a_\af0 \ltrch\fcs0 \cs17\b0\v\fs20\cf9\lang1024\langfe1024\loch\af1\hich\af1\dbch\af31501\noproof\insrsid16658872\charrsid6768093 \hich\af1\dbch\af31501\loch\f1 &lt;Article&gt;}{\rtlch\fcs1 \af0 \ltrch\fcs0 \insrsid16658872\charrsid6768093 #}{\rtlch\fcs1 \af1 _x000d__x000a_\ltrch\fcs0 \cs18\v\f1\fs20\cf15\insrsid16658872\charrsid6768093 MNU[AMACTPARTYES][AMACTPARTNO]@CHOICE@AMACTMNU}{\rtlch\fcs1 \af0 \ltrch\fcs0 \insrsid16658872\charrsid6768093 #}{\rtlch\fcs1 \af0 \ltrch\fcs0 _x000d__x000a_\cs17\b0\v\fs20\cf9\lang1024\langfe1024\loch\af1\hich\af1\dbch\af31501\noproof\insrsid16658872\charrsid6768093 \hich\af1\dbch\af31501\loch\f1 &lt;/Article&gt;}{\rtlch\fcs1 \af0 \ltrch\fcs0 \insrsid16658872\charrsid6768093 _x000d__x000a_\par }\pard\plain \ltrpar\ql \li0\ri0\keepn\widctlpar\wrapdefault\aspalpha\aspnum\faauto\adjustright\rin0\lin0\itap0\pararsid16658872 \rtlch\fcs1 \af0\afs20\alang1025 \ltrch\fcs0 \fs24\lang2057\langfe2057\cgrid\langnp2057\langfenp2057 {\rtlch\fcs1 \af0 _x000d__x000a_\ltrch\fcs0 \cs17\v\fs20\cf9\lang1024\langfe1024\loch\af1\hich\af1\dbch\af31501\noproof\insrsid16658872\charrsid6768093 \hich\af1\dbch\af31501\loch\f1 &lt;DocAmend2&gt;&lt;OptDel&gt;}{\rtlch\fcs1 \af0 \ltrch\fcs0 \insrsid16658872\charrsid6768093 #}{\rtlch\fcs1 \af1 _x000d__x000a_\ltrch\fcs0 \cs18\v\f1\fs20\cf15\insrsid16658872\charrsid6768093 MNU[OPTNRACTYES][NOTAPP]@CHOICE@AMACTMNU}{\rtlch\fcs1 \af0 \ltrch\fcs0 \insrsid16658872\charrsid6768093 #}{\rtlch\fcs1 \af0 \ltrch\fcs0 _x000d__x000a_\cs17\v\fs20\cf9\lang1024\langfe1024\loch\af1\hich\af1\dbch\af31501\noproof\insrsid16658872\charrsid6768093 \hich\af1\dbch\af31501\loch\f1 &lt;/OptDel&gt;&lt;/DocAmend2&gt;}{\rtlch\fcs1 \af0 \ltrch\fcs0 \insrsid16658872\charrsid6768093 _x000d__x000a_\par }\pard \ltrpar\ql \li0\ri0\widctlpar\wrapdefault\aspalpha\aspnum\faauto\adjustright\rin0\lin0\itap0\pararsid16658872 {\rtlch\fcs1 \af0 \ltrch\fcs0 \cs17\v\fs20\cf9\lang1024\langfe1024\loch\af1\hich\af1\dbch\af31501\noproof\insrsid16658872\charrsid6768093 _x000d__x000a_\hich\af1\dbch\af31501\loch\f1 &lt;Article2&gt;&lt;OptDel&gt;}{\rtlch\fcs1 \af0 \ltrch\fcs0 \insrsid16658872\charrsid6768093 #}{\rtlch\fcs1 \af1 \ltrch\fcs0 \cs18\v\f1\fs20\cf15\insrsid16658872\charrsid6768093 MNU[OPTACTPARTYES][NOTAPP]@CHOICE@AMACTMNU}{\rtlch\fcs1 _x000d__x000a_\af0 \ltrch\fcs0 \insrsid16658872\charrsid6768093 #}{\rtlch\fcs1 \af0 \ltrch\fcs0 \cs17\v\fs20\cf9\lang1024\langfe1024\loch\af1\hich\af1\dbch\af31501\noproof\insrsid16658872\charrsid6768093 \hich\af1\dbch\af31501\loch\f1 &lt;/OptDel&gt;&lt;/Article2&gt;}{\rtlch\fcs1 _x000d__x000a_\af0 \ltrch\fcs0 \insrsid16658872\charrsid676809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6658872\charrsid6768093 \cell }\pard\plain \ltrpar\ql \li0\ri0\widctlpar\intbl\wrapdefault\aspalpha\aspnum\faauto\adjustright\rin0\lin0 \rtlch\fcs1 _x000d__x000a_\af0\afs20\alang1025 \ltrch\fcs0 \fs24\lang2057\langfe2057\cgrid\langnp2057\langfenp2057 {\rtlch\fcs1 \af0 \ltrch\fcs0 \insrsid16658872\charrsid676809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6658872\charrsid6768093 #}{\rtlch\fcs1 \af1 \ltrch\fcs0 \cs18\v\f1\fs20\cf15\insrsid16658872\charrsid6768093 MNU[OPTLEFTAMACT][LEFTPROP]@CHOICE@AMACTMNU}{\rtlch\fcs1 \af0 \ltrch\fcs0 \insrsid16658872\charrsid6768093 #\cell Amendment\cell _x000d__x000a_}\pard\plain \ltrpar\ql \li0\ri0\widctlpar\intbl\wrapdefault\aspalpha\aspnum\faauto\adjustright\rin0\lin0 \rtlch\fcs1 \af0\afs20\alang1025 \ltrch\fcs0 \fs24\lang2057\langfe2057\cgrid\langnp2057\langfenp2057 {\rtlch\fcs1 \af0 \ltrch\fcs0 _x000d__x000a_\insrsid16658872\charrsid6768093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6658872\charrsid6768093 ##\cell ##}{\rtlch\fcs1 \af0\afs24 \ltrch\fcs0 \insrsid16658872\charrsid6768093 \cell }\pard\plain \ltrpar\ql \li0\ri0\widctlpar\intbl\wrapdefault\aspalpha\aspnum\faauto\adjustright\rin0\lin0 \rtlch\fcs1 _x000d__x000a_\af0\afs20\alang1025 \ltrch\fcs0 \fs24\lang2057\langfe2057\cgrid\langnp2057\langfenp2057 {\rtlch\fcs1 \af0 \ltrch\fcs0 \insrsid16658872\charrsid676809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658872 \rtlch\fcs1 \af0\afs20\alang1025 \ltrch\fcs0 \fs24\lang2057\langfe2057\cgrid\langnp2057\langfenp2057 {\rtlch\fcs1 \af0 \ltrch\fcs0 _x000d__x000a_\insrsid16658872\charrsid6768093 Or. }{\rtlch\fcs1 \af0 \ltrch\fcs0 \cs17\v\fs20\cf9\lang1024\langfe1024\loch\af1\hich\af1\dbch\af31501\noproof\insrsid16658872\charrsid6768093 \hich\af1\dbch\af31501\loch\f1 &lt;Original&gt;}{\rtlch\fcs1 \af0 \ltrch\fcs0 _x000d__x000a_\insrsid16658872\charrsid6768093 #}{\rtlch\fcs1 \af1 \ltrch\fcs0 \cs18\v\f1\fs20\cf15\insrsid16658872\charrsid6768093 MNU[ORLANGONE][ORLANGMORE]@CHOICE@ORLANGMNU}{\rtlch\fcs1 \af0 \ltrch\fcs0 \insrsid16658872\charrsid6768093 #}{\rtlch\fcs1 \af0 _x000d__x000a_\ltrch\fcs0 \cs17\v\fs20\cf9\lang1024\langfe1024\loch\af1\hich\af1\dbch\af31501\noproof\insrsid16658872\charrsid6768093 \hich\af1\dbch\af31501\loch\f1 &lt;/Original&gt;}{\rtlch\fcs1 \af0 \ltrch\fcs0 \insrsid16658872\charrsid6768093 _x000d__x000a_\par }\pard\plain \ltrpar\s22\qc \li0\ri0\sb240\sa240\nowidctlpar\wrapdefault\aspalpha\aspnum\faauto\adjustright\rin0\lin0\itap0\pararsid16658872 \rtlch\fcs1 \af0\afs20\alang1025 \ltrch\fcs0 \i\fs24\lang2057\langfe2057\cgrid\langnp2057\langfenp2057 {_x000d__x000a_\rtlch\fcs1 \af0 \ltrch\fcs0 \cs17\i0\v\fs20\cf9\lang1024\langfe1024\loch\af1\hich\af1\dbch\af31501\noproof\insrsid16658872\charrsid6768093 \hich\af1\dbch\af31501\loch\f1 &lt;OptDel&gt;}{\rtlch\fcs1 \af0 \ltrch\fcs0 \insrsid16658872\charrsid6768093 #}{_x000d__x000a_\rtlch\fcs1 \af1 \ltrch\fcs0 \cs18\v\f1\fs20\cf15\insrsid16658872\charrsid6768093 MNU[CROSSREFNO][CROSSREFYES]@CHOICE@}{\rtlch\fcs1 \af0 \ltrch\fcs0 \insrsid16658872\charrsid6768093 #}{\rtlch\fcs1 \af0 \ltrch\fcs0 _x000d__x000a_\cs17\i0\v\fs20\cf9\lang1024\langfe1024\loch\af1\hich\af1\dbch\af31501\noproof\insrsid16658872\charrsid6768093 \hich\af1\dbch\af31501\loch\f1 &lt;/OptDel&gt;}{\rtlch\fcs1 \af0 \ltrch\fcs0 \insrsid16658872\charrsid6768093 _x000d__x000a_\par }\pard\plain \ltrpar\s23\qc \li0\ri0\sb240\sa240\keepn\nowidctlpar\wrapdefault\aspalpha\aspnum\faauto\adjustright\rin0\lin0\itap0\pararsid16658872 \rtlch\fcs1 \af0\afs20\alang1025 \ltrch\fcs0 \i\fs24\lang2057\langfe2057\cgrid\langnp2057\langfenp2057 {_x000d__x000a_\rtlch\fcs1 \af0 \ltrch\fcs0 \cs17\i0\v\fs20\cf9\lang1024\langfe1024\loch\af1\hich\af1\dbch\af31501\noproof\insrsid16658872\charrsid6768093 \hich\af1\dbch\af31501\loch\f1 &lt;TitreJust&gt;}{\rtlch\fcs1 \af0 \ltrch\fcs0 \insrsid16658872\charrsid6768093 _x000d__x000a_Justification}{\rtlch\fcs1 \af0 \ltrch\fcs0 \cs17\i0\v\fs20\cf9\lang1024\langfe1024\loch\af1\hich\af1\dbch\af31501\noproof\insrsid16658872\charrsid6768093 \hich\af1\dbch\af31501\loch\f1 &lt;/TitreJust&gt;}{\rtlch\fcs1 \af0 \ltrch\fcs0 _x000d__x000a_\insrsid16658872\charrsid6768093 _x000d__x000a_\par }\pard\plain \ltrpar\s21\ql \li0\ri0\sa240\nowidctlpar\wrapdefault\aspalpha\aspnum\faauto\adjustright\rin0\lin0\itap0\pararsid16658872 \rtlch\fcs1 \af0\afs20\alang1025 \ltrch\fcs0 \i\fs24\lang2057\langfe2057\cgrid\langnp2057\langfenp2057 {\rtlch\fcs1 _x000d__x000a_\af0 \ltrch\fcs0 \cs17\i0\v\fs20\cf9\lang1024\langfe1024\loch\af1\hich\af1\dbch\af31501\noproof\insrsid16658872\charrsid6768093 \hich\af1\dbch\af31501\loch\f1 &lt;OptDelPrev&gt;}{\rtlch\fcs1 \af0 \ltrch\fcs0 \insrsid16658872\charrsid6768093 #}{\rtlch\fcs1 \af1 _x000d__x000a_\ltrch\fcs0 \cs18\v\f1\fs20\cf15\insrsid16658872\charrsid6768093 MNU[TEXTJUSTYES][TEXTJUSTNO]@CHOICE@}{\rtlch\fcs1 \af0 \ltrch\fcs0 \insrsid16658872\charrsid6768093 #}{\rtlch\fcs1 \af0 \ltrch\fcs0 _x000d__x000a_\cs17\i0\v\fs20\cf9\lang1024\langfe1024\loch\af1\hich\af1\dbch\af31501\noproof\insrsid16658872\charrsid6768093 \hich\af1\dbch\af31501\loch\f1 &lt;/OptDelPrev&gt;}{\rtlch\fcs1 \af0 \ltrch\fcs0 \insrsid16658872\charrsid6768093 _x000d__x000a_\par }\pard\plain \ltrpar\ql \li0\ri0\widctlpar\wrapdefault\aspalpha\aspnum\faauto\adjustright\rin0\lin0\itap0\pararsid16658872 \rtlch\fcs1 \af0\afs20\alang1025 \ltrch\fcs0 \fs24\lang2057\langfe2057\cgrid\langnp2057\langfenp2057 {\rtlch\fcs1 \af0 \ltrch\fcs0 _x000d__x000a_\cs17\v\fs20\cf9\lang1024\langfe1024\loch\af1\hich\af1\dbch\af31501\noproof\insrsid16658872\charrsid676809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a2_x000d__x000a_bc655ce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5"/>
    <w:docVar w:name="TVTAMPART" w:val="Recital 1"/>
    <w:docVar w:name="TXTAUTHOR" w:val="Jonás Fernández"/>
    <w:docVar w:name="TXTLANGUE" w:val="EN"/>
    <w:docVar w:name="TXTLANGUEMIN" w:val="en"/>
    <w:docVar w:name="TXTNRC" w:val="0134/2023"/>
    <w:docVar w:name="TXTNRCOD" w:val="2023/0113"/>
    <w:docVar w:name="TXTNRCOM" w:val="(2023)0229"/>
    <w:docVar w:name="TXTNRFIRSTAM" w:val="1"/>
    <w:docVar w:name="TXTNRLASTAM" w:val="2"/>
    <w:docVar w:name="TXTNRPE" w:val="752.913"/>
    <w:docVar w:name="TXTPEorAP" w:val="PE"/>
    <w:docVar w:name="TXTROUTE" w:val="PR\1285454EN.docx"/>
    <w:docVar w:name="TXTTITLE" w:val="amending Directive 2014/59/EU and Regulation (EU) No 806/2014 as regards certain aspects of the minimum requirement for own funds and eligible liabilities"/>
    <w:docVar w:name="TXTVERSION" w:val="01-00"/>
  </w:docVars>
  <w:rsids>
    <w:rsidRoot w:val="006745DD"/>
    <w:rsid w:val="00011AAB"/>
    <w:rsid w:val="00012351"/>
    <w:rsid w:val="000139E5"/>
    <w:rsid w:val="00084DD2"/>
    <w:rsid w:val="00084E89"/>
    <w:rsid w:val="000A7B09"/>
    <w:rsid w:val="000B7489"/>
    <w:rsid w:val="000F1096"/>
    <w:rsid w:val="00120948"/>
    <w:rsid w:val="00123DD5"/>
    <w:rsid w:val="001277AE"/>
    <w:rsid w:val="00142215"/>
    <w:rsid w:val="001767E2"/>
    <w:rsid w:val="00187008"/>
    <w:rsid w:val="001B3829"/>
    <w:rsid w:val="001C01EE"/>
    <w:rsid w:val="001C5592"/>
    <w:rsid w:val="001C5B44"/>
    <w:rsid w:val="001C63AC"/>
    <w:rsid w:val="001C6FFC"/>
    <w:rsid w:val="001F7C7C"/>
    <w:rsid w:val="00212B84"/>
    <w:rsid w:val="002346B0"/>
    <w:rsid w:val="002667C3"/>
    <w:rsid w:val="002669B6"/>
    <w:rsid w:val="00290BED"/>
    <w:rsid w:val="002D13EE"/>
    <w:rsid w:val="002E33EE"/>
    <w:rsid w:val="002F40BB"/>
    <w:rsid w:val="002F4B02"/>
    <w:rsid w:val="00323EF8"/>
    <w:rsid w:val="00325A50"/>
    <w:rsid w:val="003316DD"/>
    <w:rsid w:val="00366A46"/>
    <w:rsid w:val="00370AC3"/>
    <w:rsid w:val="003824EE"/>
    <w:rsid w:val="003B4689"/>
    <w:rsid w:val="003C2068"/>
    <w:rsid w:val="003C37CF"/>
    <w:rsid w:val="004100B1"/>
    <w:rsid w:val="00426E47"/>
    <w:rsid w:val="00455743"/>
    <w:rsid w:val="00461601"/>
    <w:rsid w:val="0046639E"/>
    <w:rsid w:val="00467F7B"/>
    <w:rsid w:val="0048211B"/>
    <w:rsid w:val="004C0915"/>
    <w:rsid w:val="004D424E"/>
    <w:rsid w:val="004E42C8"/>
    <w:rsid w:val="004E733D"/>
    <w:rsid w:val="004F3FA5"/>
    <w:rsid w:val="0051271F"/>
    <w:rsid w:val="00521F46"/>
    <w:rsid w:val="00551111"/>
    <w:rsid w:val="00551123"/>
    <w:rsid w:val="00551D8F"/>
    <w:rsid w:val="00557C21"/>
    <w:rsid w:val="00570A6A"/>
    <w:rsid w:val="00586E50"/>
    <w:rsid w:val="0059583D"/>
    <w:rsid w:val="005A42D9"/>
    <w:rsid w:val="005C2BEF"/>
    <w:rsid w:val="005D1A99"/>
    <w:rsid w:val="005D7609"/>
    <w:rsid w:val="005D7EE8"/>
    <w:rsid w:val="00620AA8"/>
    <w:rsid w:val="00642325"/>
    <w:rsid w:val="006606A1"/>
    <w:rsid w:val="006745DD"/>
    <w:rsid w:val="00682F54"/>
    <w:rsid w:val="006A17A3"/>
    <w:rsid w:val="006A1920"/>
    <w:rsid w:val="006A2F5D"/>
    <w:rsid w:val="006F1136"/>
    <w:rsid w:val="006F36F0"/>
    <w:rsid w:val="006F7907"/>
    <w:rsid w:val="00743189"/>
    <w:rsid w:val="00743D33"/>
    <w:rsid w:val="007932B3"/>
    <w:rsid w:val="00793EA9"/>
    <w:rsid w:val="007D6F68"/>
    <w:rsid w:val="00823E6B"/>
    <w:rsid w:val="00826780"/>
    <w:rsid w:val="00837CCD"/>
    <w:rsid w:val="00862812"/>
    <w:rsid w:val="008633CC"/>
    <w:rsid w:val="00865190"/>
    <w:rsid w:val="008719B9"/>
    <w:rsid w:val="00894ECE"/>
    <w:rsid w:val="00896BB4"/>
    <w:rsid w:val="008A7FB8"/>
    <w:rsid w:val="008C37B3"/>
    <w:rsid w:val="008F53B8"/>
    <w:rsid w:val="008F652F"/>
    <w:rsid w:val="009022B8"/>
    <w:rsid w:val="00914537"/>
    <w:rsid w:val="00917CC4"/>
    <w:rsid w:val="00932D06"/>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B59CE"/>
    <w:rsid w:val="00AD18C8"/>
    <w:rsid w:val="00AD7FA6"/>
    <w:rsid w:val="00AE4643"/>
    <w:rsid w:val="00AF0416"/>
    <w:rsid w:val="00B10CB4"/>
    <w:rsid w:val="00B13D6F"/>
    <w:rsid w:val="00B17848"/>
    <w:rsid w:val="00B23B72"/>
    <w:rsid w:val="00B42702"/>
    <w:rsid w:val="00B57B8B"/>
    <w:rsid w:val="00B85407"/>
    <w:rsid w:val="00B95702"/>
    <w:rsid w:val="00BC6489"/>
    <w:rsid w:val="00BD480C"/>
    <w:rsid w:val="00BE22DA"/>
    <w:rsid w:val="00C10E7F"/>
    <w:rsid w:val="00C20954"/>
    <w:rsid w:val="00C23324"/>
    <w:rsid w:val="00C42A41"/>
    <w:rsid w:val="00C47E74"/>
    <w:rsid w:val="00C57A72"/>
    <w:rsid w:val="00C73602"/>
    <w:rsid w:val="00CF60C8"/>
    <w:rsid w:val="00D30DE2"/>
    <w:rsid w:val="00D32924"/>
    <w:rsid w:val="00D503A3"/>
    <w:rsid w:val="00D73518"/>
    <w:rsid w:val="00DA0796"/>
    <w:rsid w:val="00DA6ED0"/>
    <w:rsid w:val="00DC5011"/>
    <w:rsid w:val="00E171B6"/>
    <w:rsid w:val="00E70D3B"/>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C7E5A3"/>
  <w15:chartTrackingRefBased/>
  <w15:docId w15:val="{4DFF2750-D27A-4F52-B6FB-B2D7BB6C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F1136"/>
    <w:pPr>
      <w:tabs>
        <w:tab w:val="right" w:pos="454"/>
        <w:tab w:val="left" w:pos="737"/>
      </w:tabs>
      <w:ind w:left="737" w:hanging="737"/>
    </w:pPr>
    <w:rPr>
      <w:snapToGrid w:val="0"/>
      <w:sz w:val="18"/>
      <w:lang w:eastAsia="en-US"/>
    </w:rPr>
  </w:style>
  <w:style w:type="paragraph" w:customStyle="1" w:styleId="Lgendetitre">
    <w:name w:val="Légende titre"/>
    <w:basedOn w:val="Normal"/>
    <w:rsid w:val="006F1136"/>
    <w:pPr>
      <w:spacing w:before="240" w:after="240"/>
    </w:pPr>
    <w:rPr>
      <w:b/>
      <w:i/>
      <w:snapToGrid w:val="0"/>
      <w:lang w:eastAsia="en-US"/>
    </w:rPr>
  </w:style>
  <w:style w:type="paragraph" w:customStyle="1" w:styleId="Lgendestandard">
    <w:name w:val="Légende standard"/>
    <w:basedOn w:val="Normal"/>
    <w:rsid w:val="006F1136"/>
    <w:rPr>
      <w:sz w:val="18"/>
    </w:rPr>
  </w:style>
  <w:style w:type="paragraph" w:styleId="FootnoteText">
    <w:name w:val="footnote text"/>
    <w:basedOn w:val="Normal"/>
    <w:link w:val="FootnoteTextChar"/>
    <w:rsid w:val="006F1136"/>
    <w:rPr>
      <w:sz w:val="20"/>
    </w:rPr>
  </w:style>
  <w:style w:type="character" w:customStyle="1" w:styleId="FootnoteTextChar">
    <w:name w:val="Footnote Text Char"/>
    <w:basedOn w:val="DefaultParagraphFont"/>
    <w:link w:val="FootnoteText"/>
    <w:rsid w:val="006F1136"/>
  </w:style>
  <w:style w:type="character" w:styleId="FootnoteReference">
    <w:name w:val="footnote reference"/>
    <w:basedOn w:val="DefaultParagraphFont"/>
    <w:rsid w:val="006F1136"/>
    <w:rPr>
      <w:vertAlign w:val="superscript"/>
    </w:rPr>
  </w:style>
  <w:style w:type="character" w:customStyle="1" w:styleId="Normal6Char">
    <w:name w:val="Normal6 Char"/>
    <w:basedOn w:val="DefaultParagraphFont"/>
    <w:link w:val="Normal6"/>
    <w:locked/>
    <w:rsid w:val="00932D06"/>
    <w:rPr>
      <w:sz w:val="24"/>
      <w:lang w:val="el-GR"/>
    </w:rPr>
  </w:style>
  <w:style w:type="paragraph" w:customStyle="1" w:styleId="Normal6">
    <w:name w:val="Normal6"/>
    <w:basedOn w:val="Normal"/>
    <w:link w:val="Normal6Char"/>
    <w:rsid w:val="00932D06"/>
    <w:pPr>
      <w:spacing w:after="120"/>
    </w:pPr>
  </w:style>
  <w:style w:type="character" w:customStyle="1" w:styleId="NormalBoldChar">
    <w:name w:val="NormalBold Char"/>
    <w:basedOn w:val="DefaultParagraphFont"/>
    <w:link w:val="NormalBold"/>
    <w:locked/>
    <w:rsid w:val="00932D06"/>
    <w:rPr>
      <w:b/>
      <w:sz w:val="24"/>
    </w:rPr>
  </w:style>
  <w:style w:type="paragraph" w:customStyle="1" w:styleId="ColumnHeading">
    <w:name w:val="ColumnHeading"/>
    <w:basedOn w:val="Normal"/>
    <w:rsid w:val="00932D06"/>
    <w:pPr>
      <w:spacing w:after="240"/>
      <w:jc w:val="center"/>
    </w:pPr>
    <w:rPr>
      <w:i/>
    </w:rPr>
  </w:style>
  <w:style w:type="paragraph" w:customStyle="1" w:styleId="AMNumberTabs0">
    <w:name w:val="AMNumberTabs"/>
    <w:basedOn w:val="Normal"/>
    <w:rsid w:val="00932D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32D06"/>
    <w:pPr>
      <w:jc w:val="right"/>
    </w:pPr>
  </w:style>
  <w:style w:type="paragraph" w:styleId="Footer">
    <w:name w:val="footer"/>
    <w:basedOn w:val="Normal"/>
    <w:link w:val="FooterChar"/>
    <w:semiHidden/>
    <w:rsid w:val="00932D06"/>
    <w:pPr>
      <w:tabs>
        <w:tab w:val="center" w:pos="4513"/>
        <w:tab w:val="right" w:pos="9026"/>
      </w:tabs>
    </w:pPr>
  </w:style>
  <w:style w:type="character" w:customStyle="1" w:styleId="FooterChar">
    <w:name w:val="Footer Char"/>
    <w:basedOn w:val="DefaultParagraphFont"/>
    <w:link w:val="Footer"/>
    <w:semiHidden/>
    <w:rsid w:val="00932D06"/>
    <w:rPr>
      <w:sz w:val="24"/>
    </w:rPr>
  </w:style>
  <w:style w:type="paragraph" w:styleId="BalloonText">
    <w:name w:val="Balloon Text"/>
    <w:basedOn w:val="Normal"/>
    <w:link w:val="BalloonTextChar"/>
    <w:semiHidden/>
    <w:unhideWhenUsed/>
    <w:rsid w:val="00557C21"/>
    <w:rPr>
      <w:rFonts w:ascii="Segoe UI" w:hAnsi="Segoe UI" w:cs="Segoe UI"/>
      <w:sz w:val="18"/>
      <w:szCs w:val="18"/>
    </w:rPr>
  </w:style>
  <w:style w:type="character" w:customStyle="1" w:styleId="BalloonTextChar">
    <w:name w:val="Balloon Text Char"/>
    <w:basedOn w:val="DefaultParagraphFont"/>
    <w:link w:val="BalloonText"/>
    <w:semiHidden/>
    <w:rsid w:val="00557C21"/>
    <w:rPr>
      <w:rFonts w:ascii="Segoe UI" w:hAnsi="Segoe UI" w:cs="Segoe UI"/>
      <w:sz w:val="18"/>
      <w:szCs w:val="18"/>
    </w:rPr>
  </w:style>
  <w:style w:type="character" w:styleId="CommentReference">
    <w:name w:val="annotation reference"/>
    <w:basedOn w:val="DefaultParagraphFont"/>
    <w:rsid w:val="001C63AC"/>
    <w:rPr>
      <w:sz w:val="16"/>
      <w:szCs w:val="16"/>
    </w:rPr>
  </w:style>
  <w:style w:type="paragraph" w:styleId="CommentText">
    <w:name w:val="annotation text"/>
    <w:basedOn w:val="Normal"/>
    <w:link w:val="CommentTextChar"/>
    <w:rsid w:val="001C63AC"/>
    <w:rPr>
      <w:sz w:val="20"/>
    </w:rPr>
  </w:style>
  <w:style w:type="character" w:customStyle="1" w:styleId="CommentTextChar">
    <w:name w:val="Comment Text Char"/>
    <w:basedOn w:val="DefaultParagraphFont"/>
    <w:link w:val="CommentText"/>
    <w:rsid w:val="001C63AC"/>
  </w:style>
  <w:style w:type="paragraph" w:styleId="CommentSubject">
    <w:name w:val="annotation subject"/>
    <w:basedOn w:val="CommentText"/>
    <w:next w:val="CommentText"/>
    <w:link w:val="CommentSubjectChar"/>
    <w:semiHidden/>
    <w:unhideWhenUsed/>
    <w:rsid w:val="001C63AC"/>
    <w:rPr>
      <w:b/>
      <w:bCs/>
    </w:rPr>
  </w:style>
  <w:style w:type="character" w:customStyle="1" w:styleId="CommentSubjectChar">
    <w:name w:val="Comment Subject Char"/>
    <w:basedOn w:val="CommentTextChar"/>
    <w:link w:val="CommentSubject"/>
    <w:semiHidden/>
    <w:rsid w:val="001C6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D83CD-6C68-47D8-9E9A-E09ED02B1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6686</Words>
  <Characters>39119</Characters>
  <Application>Microsoft Office Word</Application>
  <DocSecurity>0</DocSecurity>
  <Lines>1397</Lines>
  <Paragraphs>281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TURLUI Emil-Gabriel</dc:creator>
  <cp:lastModifiedBy>CHRISTIDOU Sophia Efrossini</cp:lastModifiedBy>
  <cp:revision>2</cp:revision>
  <cp:lastPrinted>2004-11-04T09:41:00Z</cp:lastPrinted>
  <dcterms:created xsi:type="dcterms:W3CDTF">2023-09-26T07:30:00Z</dcterms:created>
  <dcterms:modified xsi:type="dcterms:W3CDTF">2023-09-26T07:30:00Z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1285454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PR\1285454EL.docx</vt:lpwstr>
  </property>
  <property fmtid="{D5CDD505-2E9C-101B-9397-08002B2CF9AE}" pid="10" name="LastEdited with">
    <vt:lpwstr>9.14.1 Build [20230315]</vt:lpwstr>
  </property>
  <property fmtid="{D5CDD505-2E9C-101B-9397-08002B2CF9AE}" pid="11" name="PE number">
    <vt:lpwstr>752.913</vt:lpwstr>
  </property>
  <property fmtid="{D5CDD505-2E9C-101B-9397-08002B2CF9AE}" pid="12" name="SDLStudio">
    <vt:lpwstr/>
  </property>
  <property fmtid="{D5CDD505-2E9C-101B-9397-08002B2CF9AE}" pid="13" name="SendToEpades">
    <vt:lpwstr>OK - 2023/09/11 11:42</vt:lpwstr>
  </property>
  <property fmtid="{D5CDD505-2E9C-101B-9397-08002B2CF9AE}" pid="14" name="Bookout">
    <vt:lpwstr>OK - 2023/09/26 09:30</vt:lpwstr>
  </property>
</Properties>
</file>