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A783D" w:rsidRPr="00101CCB" w:rsidTr="00DA0796">
        <w:trPr>
          <w:trHeight w:hRule="exact" w:val="1418"/>
        </w:trPr>
        <w:tc>
          <w:tcPr>
            <w:tcW w:w="6804" w:type="dxa"/>
            <w:shd w:val="clear" w:color="auto" w:fill="auto"/>
            <w:vAlign w:val="center"/>
          </w:tcPr>
          <w:p w:rsidR="00B13D6F" w:rsidRPr="00101CCB" w:rsidRDefault="008D2DA5" w:rsidP="00DA0796">
            <w:pPr>
              <w:pStyle w:val="EPName"/>
            </w:pPr>
            <w:r w:rsidRPr="00101CCB">
              <w:t>Euroopa Parlament</w:t>
            </w:r>
          </w:p>
          <w:p w:rsidR="00B13D6F" w:rsidRPr="00101CCB" w:rsidRDefault="008D2DA5" w:rsidP="006F1136">
            <w:pPr>
              <w:pStyle w:val="EPTerm"/>
            </w:pPr>
            <w:r w:rsidRPr="00101CCB">
              <w:t>2019-2024</w:t>
            </w:r>
          </w:p>
        </w:tc>
        <w:tc>
          <w:tcPr>
            <w:tcW w:w="2268" w:type="dxa"/>
            <w:shd w:val="clear" w:color="auto" w:fill="auto"/>
          </w:tcPr>
          <w:p w:rsidR="00B13D6F" w:rsidRPr="00101CCB" w:rsidRDefault="008D2DA5" w:rsidP="00DA0796">
            <w:pPr>
              <w:pStyle w:val="EPLogo"/>
            </w:pPr>
            <w:r w:rsidRPr="00101C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01CCB" w:rsidRDefault="00461601" w:rsidP="00461601">
      <w:pPr>
        <w:pStyle w:val="LineTop"/>
      </w:pPr>
    </w:p>
    <w:p w:rsidR="00461601" w:rsidRPr="00101CCB" w:rsidRDefault="008D2DA5" w:rsidP="00461601">
      <w:pPr>
        <w:pStyle w:val="EPBody"/>
      </w:pPr>
      <w:r w:rsidRPr="00101CCB">
        <w:rPr>
          <w:rStyle w:val="HideTWBExt"/>
        </w:rPr>
        <w:t>&lt;</w:t>
      </w:r>
      <w:r w:rsidRPr="00101CCB">
        <w:rPr>
          <w:rStyle w:val="HideTWBExt"/>
          <w:i w:val="0"/>
        </w:rPr>
        <w:t>Commission</w:t>
      </w:r>
      <w:r w:rsidRPr="00101CCB">
        <w:rPr>
          <w:rStyle w:val="HideTWBExt"/>
        </w:rPr>
        <w:t>&gt;</w:t>
      </w:r>
      <w:r w:rsidRPr="00101CCB">
        <w:rPr>
          <w:rStyle w:val="HideTWBInt"/>
          <w:color w:val="auto"/>
        </w:rPr>
        <w:t>{ECON}</w:t>
      </w:r>
      <w:r w:rsidRPr="00101CCB">
        <w:t>Majandus- ja rahanduskomisjon</w:t>
      </w:r>
      <w:r w:rsidRPr="00101CCB">
        <w:rPr>
          <w:rStyle w:val="HideTWBExt"/>
        </w:rPr>
        <w:t>&lt;/</w:t>
      </w:r>
      <w:r w:rsidRPr="00101CCB">
        <w:rPr>
          <w:rStyle w:val="HideTWBExt"/>
          <w:i w:val="0"/>
        </w:rPr>
        <w:t>Commission</w:t>
      </w:r>
      <w:r w:rsidRPr="00101CCB">
        <w:rPr>
          <w:rStyle w:val="HideTWBExt"/>
        </w:rPr>
        <w:t>&gt;</w:t>
      </w:r>
    </w:p>
    <w:p w:rsidR="00461601" w:rsidRPr="00101CCB" w:rsidRDefault="00461601" w:rsidP="00461601">
      <w:pPr>
        <w:pStyle w:val="LineBottom"/>
      </w:pPr>
    </w:p>
    <w:p w:rsidR="00793EA9" w:rsidRPr="00101CCB" w:rsidRDefault="008D2DA5">
      <w:pPr>
        <w:pStyle w:val="CoverReference"/>
      </w:pPr>
      <w:r w:rsidRPr="00101CCB">
        <w:rPr>
          <w:rStyle w:val="HideTWBExt"/>
          <w:b w:val="0"/>
        </w:rPr>
        <w:t>&lt;RefProc&gt;</w:t>
      </w:r>
      <w:r w:rsidRPr="00101CCB">
        <w:t>2023/0113</w:t>
      </w:r>
      <w:r w:rsidRPr="00101CCB">
        <w:rPr>
          <w:rStyle w:val="HideTWBExt"/>
          <w:b w:val="0"/>
        </w:rPr>
        <w:t>&lt;/RefProc&gt;&lt;RefTypeProc&gt;</w:t>
      </w:r>
      <w:r w:rsidRPr="00101CCB">
        <w:t>(COD)</w:t>
      </w:r>
      <w:r w:rsidRPr="00101CCB">
        <w:rPr>
          <w:rStyle w:val="HideTWBExt"/>
          <w:b w:val="0"/>
        </w:rPr>
        <w:t>&lt;/RefTypeProc&gt;</w:t>
      </w:r>
    </w:p>
    <w:p w:rsidR="00793EA9" w:rsidRPr="00101CCB" w:rsidRDefault="008D2DA5">
      <w:pPr>
        <w:pStyle w:val="CoverDate"/>
      </w:pPr>
      <w:r w:rsidRPr="00101CCB">
        <w:rPr>
          <w:rStyle w:val="HideTWBExt"/>
        </w:rPr>
        <w:t>&lt;Date&gt;</w:t>
      </w:r>
      <w:r w:rsidRPr="00101CCB">
        <w:rPr>
          <w:rStyle w:val="HideTWBInt"/>
          <w:color w:val="auto"/>
        </w:rPr>
        <w:t>{11/09/2023}</w:t>
      </w:r>
      <w:r w:rsidRPr="00101CCB">
        <w:t>11.9.2023</w:t>
      </w:r>
      <w:r w:rsidRPr="00101CCB">
        <w:rPr>
          <w:rStyle w:val="HideTWBExt"/>
        </w:rPr>
        <w:t>&lt;/Date&gt;</w:t>
      </w:r>
    </w:p>
    <w:p w:rsidR="00793EA9" w:rsidRPr="00101CCB" w:rsidRDefault="008D2DA5">
      <w:pPr>
        <w:pStyle w:val="CoverDocType"/>
      </w:pPr>
      <w:r w:rsidRPr="00101CCB">
        <w:rPr>
          <w:rStyle w:val="HideTWBExt"/>
          <w:b w:val="0"/>
        </w:rPr>
        <w:t>&lt;RefProcLect&gt;</w:t>
      </w:r>
      <w:r w:rsidRPr="00101CCB">
        <w:t>***I</w:t>
      </w:r>
      <w:r w:rsidRPr="00101CCB">
        <w:rPr>
          <w:rStyle w:val="HideTWBExt"/>
          <w:b w:val="0"/>
        </w:rPr>
        <w:t>&lt;/RefProcLect&gt;</w:t>
      </w:r>
    </w:p>
    <w:p w:rsidR="00793EA9" w:rsidRPr="00101CCB" w:rsidRDefault="008D2DA5">
      <w:pPr>
        <w:pStyle w:val="CoverDocType24a"/>
      </w:pPr>
      <w:r w:rsidRPr="00101CCB">
        <w:rPr>
          <w:rStyle w:val="HideTWBExt"/>
          <w:b w:val="0"/>
        </w:rPr>
        <w:t>&lt;TitreType&gt;</w:t>
      </w:r>
      <w:r w:rsidRPr="00101CCB">
        <w:t>RAPORTI PROJEKT</w:t>
      </w:r>
      <w:r w:rsidRPr="00101CCB">
        <w:rPr>
          <w:rStyle w:val="HideTWBExt"/>
          <w:b w:val="0"/>
        </w:rPr>
        <w:t>&lt;/TitreType&gt;</w:t>
      </w:r>
    </w:p>
    <w:p w:rsidR="00793EA9" w:rsidRPr="00101CCB" w:rsidRDefault="008D2DA5">
      <w:pPr>
        <w:pStyle w:val="CoverNormal"/>
      </w:pPr>
      <w:r w:rsidRPr="00101CCB">
        <w:rPr>
          <w:rStyle w:val="HideTWBExt"/>
        </w:rPr>
        <w:t>&lt;Titre&gt;</w:t>
      </w:r>
      <w:r w:rsidRPr="00101CCB">
        <w:t>ettepaneku kohta võtta vastu Euroopa Parlamendi ja nõukogu direktiiv, millega muudetakse direktiivi 2014/59/EL ja määrust (EL) nr 806/2014 seoses omavahendite ja kõlblike kohustuste miinimumnõude teatavate aspektidega</w:t>
      </w:r>
      <w:r w:rsidRPr="00101CCB">
        <w:rPr>
          <w:rStyle w:val="HideTWBExt"/>
        </w:rPr>
        <w:t>&lt;/Titre&gt;</w:t>
      </w:r>
    </w:p>
    <w:p w:rsidR="00793EA9" w:rsidRPr="00101CCB" w:rsidRDefault="008D2DA5">
      <w:pPr>
        <w:pStyle w:val="CoverNormal24a"/>
      </w:pPr>
      <w:r w:rsidRPr="00101CCB">
        <w:rPr>
          <w:rStyle w:val="HideTWBExt"/>
        </w:rPr>
        <w:t>&lt;DocRef&gt;</w:t>
      </w:r>
      <w:r w:rsidRPr="00101CCB">
        <w:t>(COM(2023)0229 – C9</w:t>
      </w:r>
      <w:r w:rsidRPr="00101CCB">
        <w:noBreakHyphen/>
        <w:t>0134/2023 – 2023/0113(COD))</w:t>
      </w:r>
      <w:r w:rsidRPr="00101CCB">
        <w:rPr>
          <w:rStyle w:val="HideTWBExt"/>
        </w:rPr>
        <w:t>&lt;/DocRef&gt;</w:t>
      </w:r>
    </w:p>
    <w:p w:rsidR="00793EA9" w:rsidRPr="00101CCB" w:rsidRDefault="008D2DA5">
      <w:pPr>
        <w:pStyle w:val="CoverNormal24a"/>
      </w:pPr>
      <w:r w:rsidRPr="00101CCB">
        <w:rPr>
          <w:rStyle w:val="HideTWBExt"/>
        </w:rPr>
        <w:t>&lt;Commission&gt;</w:t>
      </w:r>
      <w:r w:rsidRPr="00101CCB">
        <w:rPr>
          <w:rStyle w:val="HideTWBInt"/>
          <w:color w:val="auto"/>
        </w:rPr>
        <w:t>{ECON}</w:t>
      </w:r>
      <w:r w:rsidRPr="00101CCB">
        <w:t>Majandus- ja rahanduskomisjon</w:t>
      </w:r>
      <w:r w:rsidRPr="00101CCB">
        <w:rPr>
          <w:rStyle w:val="HideTWBExt"/>
        </w:rPr>
        <w:t>&lt;/Commission&gt;</w:t>
      </w:r>
    </w:p>
    <w:p w:rsidR="00793EA9" w:rsidRPr="00101CCB" w:rsidRDefault="008D2DA5">
      <w:pPr>
        <w:pStyle w:val="CoverNormal24a"/>
      </w:pPr>
      <w:r w:rsidRPr="00101CCB">
        <w:t>Raportöör:</w:t>
      </w:r>
      <w:r>
        <w:t xml:space="preserve"> </w:t>
      </w:r>
      <w:r w:rsidRPr="00101CCB">
        <w:rPr>
          <w:rStyle w:val="HideTWBExt"/>
        </w:rPr>
        <w:t>&lt;Depute&gt;</w:t>
      </w:r>
      <w:r w:rsidRPr="00101CCB">
        <w:t>Jonás Fernández</w:t>
      </w:r>
      <w:r w:rsidRPr="00101CCB">
        <w:rPr>
          <w:rStyle w:val="HideTWBExt"/>
        </w:rPr>
        <w:t>&lt;/Depute&gt;</w:t>
      </w:r>
    </w:p>
    <w:p w:rsidR="001C5B44" w:rsidRPr="00101CCB" w:rsidRDefault="001C5B44" w:rsidP="001C5B44">
      <w:pPr>
        <w:pStyle w:val="CoverNormal"/>
      </w:pPr>
    </w:p>
    <w:p w:rsidR="006F1136" w:rsidRPr="00101CCB" w:rsidRDefault="008D2DA5" w:rsidP="00DA0796">
      <w:r w:rsidRPr="00101CCB">
        <w:br w:type="page"/>
      </w:r>
      <w:r w:rsidR="00170F9B">
        <w:lastRenderedPageBreak/>
        <w:fldChar w:fldCharType="begin"/>
      </w:r>
      <w:r w:rsidR="00170F9B">
        <w:instrText xml:space="preserve"> TITLE  \* MERGEFORMAT </w:instrText>
      </w:r>
      <w:r w:rsidR="00170F9B">
        <w:fldChar w:fldCharType="separate"/>
      </w:r>
      <w:r w:rsidR="00170F9B">
        <w:t>PR_COD_1amCom</w:t>
      </w:r>
      <w:r w:rsidR="00170F9B">
        <w:fldChar w:fldCharType="end"/>
      </w:r>
    </w:p>
    <w:p w:rsidR="006F1136" w:rsidRPr="00101CCB" w:rsidRDefault="006F1136" w:rsidP="00DA0796"/>
    <w:p w:rsidR="006F1136" w:rsidRPr="00101CCB" w:rsidRDefault="006F1136" w:rsidP="00DA079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A783D" w:rsidRPr="00101CCB">
        <w:tc>
          <w:tcPr>
            <w:tcW w:w="5811" w:type="dxa"/>
          </w:tcPr>
          <w:p w:rsidR="006F1136" w:rsidRPr="00101CCB" w:rsidRDefault="008D2DA5" w:rsidP="00DA0796">
            <w:pPr>
              <w:pStyle w:val="Lgendetitre"/>
            </w:pPr>
            <w:r w:rsidRPr="00101CCB">
              <w:t>Kasutatud tähised</w:t>
            </w:r>
          </w:p>
        </w:tc>
      </w:tr>
      <w:tr w:rsidR="000A783D" w:rsidRPr="00101CCB" w:rsidTr="00DA0796">
        <w:trPr>
          <w:cantSplit/>
          <w:trHeight w:val="1807"/>
        </w:trPr>
        <w:tc>
          <w:tcPr>
            <w:tcW w:w="5811" w:type="dxa"/>
            <w:tcBorders>
              <w:bottom w:val="single" w:sz="4" w:space="0" w:color="auto"/>
            </w:tcBorders>
          </w:tcPr>
          <w:p w:rsidR="006F1136" w:rsidRPr="00101CCB" w:rsidRDefault="008D2DA5" w:rsidP="00DA0796">
            <w:pPr>
              <w:pStyle w:val="Lgendesigne"/>
            </w:pPr>
            <w:r w:rsidRPr="00101CCB">
              <w:tab/>
              <w:t>*</w:t>
            </w:r>
            <w:r w:rsidRPr="00101CCB">
              <w:tab/>
              <w:t>nõuandemenetlus</w:t>
            </w:r>
          </w:p>
          <w:p w:rsidR="006F1136" w:rsidRPr="00101CCB" w:rsidRDefault="008D2DA5" w:rsidP="00DA0796">
            <w:pPr>
              <w:pStyle w:val="Lgendesigne"/>
            </w:pPr>
            <w:r w:rsidRPr="00101CCB">
              <w:tab/>
              <w:t>***</w:t>
            </w:r>
            <w:r w:rsidRPr="00101CCB">
              <w:tab/>
              <w:t>nõusolekumenetlus</w:t>
            </w:r>
          </w:p>
          <w:p w:rsidR="006F1136" w:rsidRPr="00101CCB" w:rsidRDefault="008D2DA5" w:rsidP="00DA0796">
            <w:pPr>
              <w:pStyle w:val="Lgendesigne"/>
            </w:pPr>
            <w:r w:rsidRPr="00101CCB">
              <w:tab/>
              <w:t>***I</w:t>
            </w:r>
            <w:r w:rsidRPr="00101CCB">
              <w:tab/>
              <w:t>seadusandlik tavamenetlus (esimene lugemine)</w:t>
            </w:r>
          </w:p>
          <w:p w:rsidR="006F1136" w:rsidRPr="00101CCB" w:rsidRDefault="008D2DA5" w:rsidP="00DA0796">
            <w:pPr>
              <w:pStyle w:val="Lgendesigne"/>
            </w:pPr>
            <w:r w:rsidRPr="00101CCB">
              <w:tab/>
              <w:t>***II</w:t>
            </w:r>
            <w:r w:rsidRPr="00101CCB">
              <w:tab/>
              <w:t>seadusandlik tavamenetlus (teine lugemine)</w:t>
            </w:r>
          </w:p>
          <w:p w:rsidR="006F1136" w:rsidRPr="00101CCB" w:rsidRDefault="008D2DA5" w:rsidP="00DA0796">
            <w:pPr>
              <w:pStyle w:val="Lgendesigne"/>
            </w:pPr>
            <w:r w:rsidRPr="00101CCB">
              <w:tab/>
              <w:t>***III</w:t>
            </w:r>
            <w:r w:rsidRPr="00101CCB">
              <w:tab/>
              <w:t>seadusandlik tavamenetlus (kolmas lugemine)</w:t>
            </w:r>
          </w:p>
          <w:p w:rsidR="006F1136" w:rsidRPr="00101CCB" w:rsidRDefault="006F1136" w:rsidP="00DA0796">
            <w:pPr>
              <w:pStyle w:val="Lgendestandard"/>
            </w:pPr>
          </w:p>
          <w:p w:rsidR="006F1136" w:rsidRPr="00101CCB" w:rsidRDefault="008D2DA5" w:rsidP="00DA0796">
            <w:pPr>
              <w:pStyle w:val="Lgendestandard"/>
            </w:pPr>
            <w:r w:rsidRPr="00101CCB">
              <w:t>(Märgitud menetlus põhineb õigusakti eelnõus esitatud õiguslikul alusel.)</w:t>
            </w:r>
          </w:p>
          <w:p w:rsidR="006F1136" w:rsidRPr="00101CCB" w:rsidRDefault="006F1136" w:rsidP="00DA0796">
            <w:pPr>
              <w:pStyle w:val="Lgendestandard"/>
            </w:pPr>
          </w:p>
        </w:tc>
      </w:tr>
    </w:tbl>
    <w:p w:rsidR="006F1136" w:rsidRPr="00101CCB" w:rsidRDefault="006F1136" w:rsidP="00DA0796"/>
    <w:p w:rsidR="006F1136" w:rsidRPr="00101CCB" w:rsidRDefault="006F1136" w:rsidP="00DA0796"/>
    <w:p w:rsidR="006F1136" w:rsidRPr="00101CCB" w:rsidRDefault="006F1136" w:rsidP="00DA0796"/>
    <w:p w:rsidR="006F1136" w:rsidRPr="00101CCB" w:rsidRDefault="006F1136" w:rsidP="00DA079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A783D" w:rsidRPr="00101CCB">
        <w:tc>
          <w:tcPr>
            <w:tcW w:w="5811" w:type="dxa"/>
          </w:tcPr>
          <w:p w:rsidR="006F1136" w:rsidRPr="00101CCB" w:rsidRDefault="008D2DA5" w:rsidP="00DA0796">
            <w:pPr>
              <w:pStyle w:val="Lgendetitre"/>
            </w:pPr>
            <w:r w:rsidRPr="00101CCB">
              <w:t>Õigusakti eelnõu muudatusettepanekud</w:t>
            </w:r>
          </w:p>
        </w:tc>
      </w:tr>
      <w:tr w:rsidR="000A783D" w:rsidRPr="00101CCB" w:rsidTr="00DA0796">
        <w:trPr>
          <w:trHeight w:val="4496"/>
        </w:trPr>
        <w:tc>
          <w:tcPr>
            <w:tcW w:w="5811" w:type="dxa"/>
          </w:tcPr>
          <w:p w:rsidR="006F1136" w:rsidRPr="00101CCB" w:rsidRDefault="008D2DA5" w:rsidP="00DA0796">
            <w:pPr>
              <w:pStyle w:val="Lgendestandard"/>
              <w:rPr>
                <w:szCs w:val="24"/>
              </w:rPr>
            </w:pPr>
            <w:r w:rsidRPr="00101CCB">
              <w:rPr>
                <w:b/>
              </w:rPr>
              <w:t>Kahes veerus esitatud Euroopa Parlamendi muudatusettepanekud</w:t>
            </w:r>
          </w:p>
          <w:p w:rsidR="006F1136" w:rsidRPr="00101CCB" w:rsidRDefault="006F1136" w:rsidP="00DA0796">
            <w:pPr>
              <w:pStyle w:val="Lgendestandard"/>
              <w:rPr>
                <w:szCs w:val="24"/>
              </w:rPr>
            </w:pPr>
          </w:p>
          <w:p w:rsidR="006F1136" w:rsidRPr="00101CCB" w:rsidRDefault="008D2DA5" w:rsidP="00DA0796">
            <w:pPr>
              <w:pStyle w:val="Lgendestandard"/>
              <w:rPr>
                <w:szCs w:val="24"/>
              </w:rPr>
            </w:pPr>
            <w:r w:rsidRPr="00101CCB">
              <w:t xml:space="preserve">Välja jäetav tekst on märgistatud vasakpoolses veerus </w:t>
            </w:r>
            <w:r w:rsidRPr="00101CCB">
              <w:rPr>
                <w:b/>
                <w:i/>
              </w:rPr>
              <w:t>paksus kaldkirjas.</w:t>
            </w:r>
            <w:r w:rsidRPr="00101CCB">
              <w:t xml:space="preserve"> Teksti asendamine on märgistatud mõlemas veerus </w:t>
            </w:r>
            <w:r w:rsidRPr="00101CCB">
              <w:rPr>
                <w:b/>
                <w:i/>
              </w:rPr>
              <w:t>paksus kaldkirjas.</w:t>
            </w:r>
            <w:r w:rsidRPr="00101CCB">
              <w:t xml:space="preserve"> Uus tekst on märgistatud parempoolses veerus </w:t>
            </w:r>
            <w:r w:rsidRPr="00101CCB">
              <w:rPr>
                <w:b/>
                <w:i/>
              </w:rPr>
              <w:t>paksus kaldkirjas.</w:t>
            </w:r>
          </w:p>
          <w:p w:rsidR="006F1136" w:rsidRPr="00101CCB" w:rsidRDefault="006F1136" w:rsidP="00DA0796">
            <w:pPr>
              <w:pStyle w:val="Lgendestandard"/>
              <w:rPr>
                <w:szCs w:val="24"/>
              </w:rPr>
            </w:pPr>
          </w:p>
          <w:p w:rsidR="006F1136" w:rsidRPr="00101CCB" w:rsidRDefault="008D2DA5" w:rsidP="00DA0796">
            <w:pPr>
              <w:pStyle w:val="Lgendestandard"/>
              <w:rPr>
                <w:szCs w:val="24"/>
              </w:rPr>
            </w:pPr>
            <w:r w:rsidRPr="00101CCB">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rsidR="006F1136" w:rsidRPr="00101CCB" w:rsidRDefault="006F1136" w:rsidP="00DA0796">
            <w:pPr>
              <w:pStyle w:val="Lgendestandard"/>
              <w:rPr>
                <w:szCs w:val="24"/>
              </w:rPr>
            </w:pPr>
          </w:p>
          <w:p w:rsidR="006F1136" w:rsidRPr="00101CCB" w:rsidRDefault="008D2DA5" w:rsidP="00DA0796">
            <w:pPr>
              <w:pStyle w:val="Lgendestandard"/>
              <w:rPr>
                <w:b/>
                <w:szCs w:val="24"/>
              </w:rPr>
            </w:pPr>
            <w:r w:rsidRPr="00101CCB">
              <w:rPr>
                <w:b/>
              </w:rPr>
              <w:t>Konsolideeritud tekstina esitatud Euroopa Parlamendi muudatusettepanekud</w:t>
            </w:r>
          </w:p>
          <w:p w:rsidR="006F1136" w:rsidRPr="00101CCB" w:rsidRDefault="006F1136" w:rsidP="00DA0796">
            <w:pPr>
              <w:pStyle w:val="Lgendestandard"/>
              <w:rPr>
                <w:szCs w:val="24"/>
              </w:rPr>
            </w:pPr>
          </w:p>
          <w:p w:rsidR="006F1136" w:rsidRPr="00101CCB" w:rsidRDefault="008D2DA5" w:rsidP="00DA0796">
            <w:pPr>
              <w:pStyle w:val="Lgendestandard"/>
              <w:rPr>
                <w:szCs w:val="24"/>
              </w:rPr>
            </w:pPr>
            <w:r w:rsidRPr="00101CCB">
              <w:t xml:space="preserve">Uued tekstiosad on märgistatud </w:t>
            </w:r>
            <w:r w:rsidRPr="00101CCB">
              <w:rPr>
                <w:b/>
                <w:i/>
              </w:rPr>
              <w:t>paksus kaldkirjas.</w:t>
            </w:r>
            <w:r w:rsidRPr="00101CCB">
              <w:t xml:space="preserve"> Välja jäetud tekstiosad on tähistatud sümboliga ▌ või läbi kriipsutatud. Teksti asendamise puhul on uus tekst märgistatud</w:t>
            </w:r>
            <w:r w:rsidRPr="00101CCB">
              <w:rPr>
                <w:b/>
                <w:i/>
              </w:rPr>
              <w:t xml:space="preserve"> paksus kaldkirjas</w:t>
            </w:r>
            <w:r w:rsidRPr="00101CCB">
              <w:t xml:space="preserve"> ja asendatav tekst kustutatud või läbi kriipsutatud. </w:t>
            </w:r>
          </w:p>
          <w:p w:rsidR="006F1136" w:rsidRPr="00101CCB" w:rsidRDefault="008D2DA5" w:rsidP="00DA0796">
            <w:pPr>
              <w:pStyle w:val="Lgendestandard"/>
            </w:pPr>
            <w:r w:rsidRPr="00101CCB">
              <w:t>Erandina ei tähistata teenistuste tehtud puhtalt tehnilist laadi muudatusi lõpliku teksti vormistamiseks.</w:t>
            </w:r>
          </w:p>
          <w:p w:rsidR="006F1136" w:rsidRPr="00101CCB" w:rsidRDefault="006F1136" w:rsidP="00DA0796">
            <w:pPr>
              <w:pStyle w:val="Lgendestandard"/>
            </w:pPr>
          </w:p>
        </w:tc>
      </w:tr>
    </w:tbl>
    <w:p w:rsidR="006F1136" w:rsidRPr="00101CCB" w:rsidRDefault="006F1136" w:rsidP="00DA0796"/>
    <w:p w:rsidR="00793EA9" w:rsidRPr="00101CCB" w:rsidRDefault="00793EA9" w:rsidP="00012351">
      <w:pPr>
        <w:widowControl/>
        <w:tabs>
          <w:tab w:val="center" w:pos="4677"/>
        </w:tabs>
      </w:pPr>
    </w:p>
    <w:p w:rsidR="00793EA9" w:rsidRPr="00101CCB" w:rsidRDefault="008D2DA5">
      <w:pPr>
        <w:pStyle w:val="TOCHeading"/>
      </w:pPr>
      <w:r w:rsidRPr="00101CCB">
        <w:br w:type="page"/>
        <w:t>SISUKORD</w:t>
      </w:r>
    </w:p>
    <w:p w:rsidR="00793EA9" w:rsidRPr="00101CCB" w:rsidRDefault="008D2DA5">
      <w:pPr>
        <w:pStyle w:val="TOCPage"/>
      </w:pPr>
      <w:r w:rsidRPr="00101CCB">
        <w:t>lk</w:t>
      </w:r>
    </w:p>
    <w:p w:rsidR="00170F9B" w:rsidRDefault="008D2DA5">
      <w:pPr>
        <w:pStyle w:val="TOC1"/>
        <w:tabs>
          <w:tab w:val="right" w:leader="dot" w:pos="9060"/>
        </w:tabs>
        <w:rPr>
          <w:rFonts w:asciiTheme="minorHAnsi" w:eastAsiaTheme="minorEastAsia" w:hAnsiTheme="minorHAnsi" w:cstheme="minorBidi"/>
          <w:noProof/>
          <w:sz w:val="22"/>
          <w:szCs w:val="22"/>
          <w:lang w:val="en-GB"/>
        </w:rPr>
      </w:pPr>
      <w:r w:rsidRPr="00101CCB">
        <w:rPr>
          <w:b/>
        </w:rPr>
        <w:fldChar w:fldCharType="begin"/>
      </w:r>
      <w:r w:rsidRPr="00101CCB">
        <w:rPr>
          <w:b/>
        </w:rPr>
        <w:instrText xml:space="preserve"> TOC \t "PageHeading</w:instrText>
      </w:r>
      <w:r w:rsidR="00170F9B">
        <w:rPr>
          <w:b/>
        </w:rPr>
        <w:instrText>;</w:instrText>
      </w:r>
      <w:r w:rsidRPr="00101CCB">
        <w:rPr>
          <w:b/>
        </w:rPr>
        <w:instrText xml:space="preserve">1" </w:instrText>
      </w:r>
      <w:r w:rsidRPr="00101CCB">
        <w:rPr>
          <w:b/>
        </w:rPr>
        <w:fldChar w:fldCharType="separate"/>
      </w:r>
      <w:r w:rsidR="00170F9B">
        <w:rPr>
          <w:noProof/>
        </w:rPr>
        <w:t>EUROOPA PARLAMENDI SEADUSANDLIKU RESOLUTSIOONI PROJEKT</w:t>
      </w:r>
      <w:r w:rsidR="00170F9B">
        <w:rPr>
          <w:noProof/>
        </w:rPr>
        <w:tab/>
      </w:r>
      <w:r w:rsidR="00170F9B">
        <w:rPr>
          <w:noProof/>
        </w:rPr>
        <w:fldChar w:fldCharType="begin"/>
      </w:r>
      <w:r w:rsidR="00170F9B">
        <w:rPr>
          <w:noProof/>
        </w:rPr>
        <w:instrText xml:space="preserve"> PAGEREF _Toc146617755 \h </w:instrText>
      </w:r>
      <w:r w:rsidR="00170F9B">
        <w:rPr>
          <w:noProof/>
        </w:rPr>
      </w:r>
      <w:r w:rsidR="00170F9B">
        <w:rPr>
          <w:noProof/>
        </w:rPr>
        <w:fldChar w:fldCharType="separate"/>
      </w:r>
      <w:r w:rsidR="00170F9B">
        <w:rPr>
          <w:noProof/>
        </w:rPr>
        <w:t>5</w:t>
      </w:r>
      <w:r w:rsidR="00170F9B">
        <w:rPr>
          <w:noProof/>
        </w:rPr>
        <w:fldChar w:fldCharType="end"/>
      </w:r>
    </w:p>
    <w:p w:rsidR="002346B0" w:rsidRPr="00101CCB" w:rsidRDefault="008D2DA5" w:rsidP="00C23324">
      <w:r w:rsidRPr="00101CCB">
        <w:rPr>
          <w:b/>
        </w:rPr>
        <w:fldChar w:fldCharType="end"/>
      </w:r>
    </w:p>
    <w:p w:rsidR="00793EA9" w:rsidRPr="00101CCB" w:rsidRDefault="008D2DA5">
      <w:pPr>
        <w:pStyle w:val="PageHeading"/>
      </w:pPr>
      <w:r w:rsidRPr="00101CCB">
        <w:br w:type="page"/>
      </w:r>
      <w:r w:rsidRPr="00101CCB">
        <w:br w:type="page"/>
      </w:r>
      <w:bookmarkStart w:id="0" w:name="_Toc146617755"/>
      <w:r w:rsidRPr="00101CCB">
        <w:t>EUROOPA PARLAMENDI SEADUSANDLIKU RESOLUTSIOONI PROJEKT</w:t>
      </w:r>
      <w:bookmarkEnd w:id="0"/>
    </w:p>
    <w:p w:rsidR="00793EA9" w:rsidRPr="00101CCB" w:rsidRDefault="008D2DA5">
      <w:pPr>
        <w:pStyle w:val="NormalBold"/>
      </w:pPr>
      <w:r w:rsidRPr="00101CCB">
        <w:t>ettepaneku kohta võtta vastu Euroopa Parlamendi ja nõukogu direktiiv, millega muudetakse direktiivi 2014/59/EL ja määrust (EL) nr 806/2014 seoses omavahendite ja kõlblike kohustuste miinimumnõude teatavate aspektidega</w:t>
      </w:r>
    </w:p>
    <w:p w:rsidR="00793EA9" w:rsidRPr="00101CCB" w:rsidRDefault="008D2DA5">
      <w:pPr>
        <w:pStyle w:val="NormalBold12a"/>
      </w:pPr>
      <w:r w:rsidRPr="00101CCB">
        <w:t>(COM(2023)0229 – C9</w:t>
      </w:r>
      <w:r w:rsidRPr="00101CCB">
        <w:noBreakHyphen/>
        <w:t>0134/2023 – 2023/0113(COD))</w:t>
      </w:r>
    </w:p>
    <w:p w:rsidR="00793EA9" w:rsidRPr="00101CCB" w:rsidRDefault="008D2DA5" w:rsidP="00A910C9">
      <w:pPr>
        <w:pStyle w:val="NormalBold"/>
      </w:pPr>
      <w:r w:rsidRPr="00101CCB">
        <w:t>(Seadusandlik tavamenetlus: esimene lugemine)</w:t>
      </w:r>
    </w:p>
    <w:p w:rsidR="00793EA9" w:rsidRPr="00101CCB" w:rsidRDefault="008D2DA5" w:rsidP="00A910C9">
      <w:pPr>
        <w:pStyle w:val="EPComma"/>
      </w:pPr>
      <w:r w:rsidRPr="00101CCB">
        <w:rPr>
          <w:i/>
        </w:rPr>
        <w:t>Euroopa Parlament</w:t>
      </w:r>
      <w:r w:rsidRPr="00170F9B">
        <w:t>,</w:t>
      </w:r>
    </w:p>
    <w:p w:rsidR="00793EA9" w:rsidRPr="00101CCB" w:rsidRDefault="008D2DA5">
      <w:pPr>
        <w:pStyle w:val="NormalHanging12a"/>
      </w:pPr>
      <w:r w:rsidRPr="00101CCB">
        <w:t>–</w:t>
      </w:r>
      <w:r w:rsidRPr="00101CCB">
        <w:tab/>
        <w:t>võttes arvesse komisjoni ettepanekut Euroopa Parlamendile ja nõukogule (COM(2023)0229),</w:t>
      </w:r>
    </w:p>
    <w:p w:rsidR="00793EA9" w:rsidRPr="00101CCB" w:rsidRDefault="008D2DA5">
      <w:pPr>
        <w:pStyle w:val="NormalHanging12a"/>
      </w:pPr>
      <w:r w:rsidRPr="00101CCB">
        <w:t>–</w:t>
      </w:r>
      <w:r w:rsidRPr="00101CCB">
        <w:tab/>
        <w:t>võttes arvesse Euroopa Liidu toimimise lepingu artikli 294 lõiget 2 ja artiklit 114, mille alusel komisjon esitas ettepaneku Euroopa Parlamendile (C9</w:t>
      </w:r>
      <w:r w:rsidRPr="00101CCB">
        <w:noBreakHyphen/>
        <w:t>0134/2023),</w:t>
      </w:r>
    </w:p>
    <w:p w:rsidR="00A26F46" w:rsidRPr="00101CCB" w:rsidRDefault="008D2DA5" w:rsidP="00A26F46">
      <w:pPr>
        <w:pStyle w:val="NormalHanging12a"/>
      </w:pPr>
      <w:r w:rsidRPr="00101CCB">
        <w:t>–</w:t>
      </w:r>
      <w:r w:rsidRPr="00101CCB">
        <w:tab/>
        <w:t>võttes arvesse Euroopa Liidu toimimise lepingu artikli 294 lõiget 3,</w:t>
      </w:r>
    </w:p>
    <w:p w:rsidR="006F1136" w:rsidRPr="00101CCB" w:rsidRDefault="008D2DA5" w:rsidP="00AD7FA6">
      <w:pPr>
        <w:pStyle w:val="NormalHanging12a"/>
      </w:pPr>
      <w:r w:rsidRPr="00101CCB">
        <w:t>–</w:t>
      </w:r>
      <w:r w:rsidRPr="00101CCB">
        <w:tab/>
        <w:t>võttes arvesse Euroopa Keskpanga 5. juuli 2023. aasta arvamust</w:t>
      </w:r>
      <w:r w:rsidRPr="00101CCB">
        <w:rPr>
          <w:rStyle w:val="FootnoteReference"/>
        </w:rPr>
        <w:footnoteReference w:id="1"/>
      </w:r>
      <w:r w:rsidRPr="00101CCB">
        <w:t>,</w:t>
      </w:r>
    </w:p>
    <w:p w:rsidR="00D73518" w:rsidRPr="00101CCB" w:rsidRDefault="008D2DA5" w:rsidP="00AD7FA6">
      <w:pPr>
        <w:pStyle w:val="NormalHanging12a"/>
      </w:pPr>
      <w:r w:rsidRPr="00101CCB">
        <w:t>–</w:t>
      </w:r>
      <w:r w:rsidRPr="00101CCB">
        <w:tab/>
        <w:t>võttes arvesse Euroopa Majandus- ja Sotsiaalkomitee 13. juuli 2023. aasta arvamust</w:t>
      </w:r>
      <w:r w:rsidRPr="00101CCB">
        <w:rPr>
          <w:rStyle w:val="FootnoteReference"/>
          <w:szCs w:val="24"/>
        </w:rPr>
        <w:footnoteReference w:id="2"/>
      </w:r>
      <w:r w:rsidRPr="00101CCB">
        <w:t>,</w:t>
      </w:r>
    </w:p>
    <w:p w:rsidR="00793EA9" w:rsidRPr="00101CCB" w:rsidRDefault="008D2DA5">
      <w:pPr>
        <w:pStyle w:val="NormalHanging12a"/>
      </w:pPr>
      <w:r w:rsidRPr="00101CCB">
        <w:t>–</w:t>
      </w:r>
      <w:r w:rsidRPr="00101CCB">
        <w:tab/>
        <w:t>võttes arvesse kodukorra artiklit 59,</w:t>
      </w:r>
    </w:p>
    <w:p w:rsidR="006A2F5D" w:rsidRPr="00101CCB" w:rsidRDefault="008D2DA5" w:rsidP="006A2F5D">
      <w:pPr>
        <w:pStyle w:val="NormalHanging12a"/>
      </w:pPr>
      <w:r w:rsidRPr="00101CCB">
        <w:t>–</w:t>
      </w:r>
      <w:r w:rsidRPr="00101CCB">
        <w:tab/>
        <w:t>võttes arvesse majandus- ja rahanduskomisjoni raportit (A9</w:t>
      </w:r>
      <w:r w:rsidRPr="00101CCB">
        <w:noBreakHyphen/>
        <w:t>0000/2023),</w:t>
      </w:r>
    </w:p>
    <w:p w:rsidR="009F6C2F" w:rsidRPr="00101CCB" w:rsidRDefault="008D2DA5" w:rsidP="00B17848">
      <w:pPr>
        <w:pStyle w:val="NormalHanging12a"/>
      </w:pPr>
      <w:r w:rsidRPr="00101CCB">
        <w:t>1.</w:t>
      </w:r>
      <w:r w:rsidRPr="00101CCB">
        <w:tab/>
        <w:t>võtab vastu allpool toodud esimese lugemise seisukoha;</w:t>
      </w:r>
    </w:p>
    <w:p w:rsidR="009F6C2F" w:rsidRPr="00101CCB" w:rsidRDefault="008D2DA5" w:rsidP="009F6C2F">
      <w:pPr>
        <w:pStyle w:val="NormalHanging12a"/>
      </w:pPr>
      <w:r w:rsidRPr="00101CCB">
        <w:t>2.</w:t>
      </w:r>
      <w:r w:rsidRPr="00101CCB">
        <w:tab/>
        <w:t>palub komisjonil ettepaneku uuesti Euroopa Parlamendile saata, kui komisjon asendab oma ettepaneku, muudab seda oluliselt või kavatseb seda oluliselt muuta;</w:t>
      </w:r>
    </w:p>
    <w:p w:rsidR="009F6C2F" w:rsidRPr="00101CCB" w:rsidRDefault="008D2DA5" w:rsidP="009F6C2F">
      <w:pPr>
        <w:pStyle w:val="NormalHanging12a"/>
      </w:pPr>
      <w:r w:rsidRPr="00101CCB">
        <w:t>3.</w:t>
      </w:r>
      <w:r w:rsidRPr="00101CCB">
        <w:tab/>
        <w:t>teeb presidendile ülesandeks edastada Euroopa Parlamendi seisukoht nõukogule ja komisjonile ning liikmesriikide parlamentidele.</w:t>
      </w:r>
    </w:p>
    <w:p w:rsidR="00D30DE2" w:rsidRPr="00101CCB" w:rsidRDefault="00D30DE2" w:rsidP="00D30DE2"/>
    <w:p w:rsidR="008C37B3" w:rsidRPr="00101CCB" w:rsidRDefault="008C37B3" w:rsidP="00D30DE2"/>
    <w:p w:rsidR="008C37B3" w:rsidRPr="00101CCB" w:rsidRDefault="008C37B3" w:rsidP="00D30DE2"/>
    <w:p w:rsidR="008C37B3" w:rsidRPr="00101CCB" w:rsidRDefault="008C37B3" w:rsidP="00D30DE2"/>
    <w:p w:rsidR="008C37B3" w:rsidRPr="00101CCB" w:rsidRDefault="008C37B3" w:rsidP="00D30DE2"/>
    <w:p w:rsidR="002669B6" w:rsidRPr="00101CCB" w:rsidRDefault="008D2DA5" w:rsidP="00212B84">
      <w:pPr>
        <w:pStyle w:val="AmNumberTabs"/>
        <w:keepNext/>
      </w:pPr>
      <w:r w:rsidRPr="00101CCB">
        <w:rPr>
          <w:rStyle w:val="HideTWBExt"/>
          <w:b w:val="0"/>
        </w:rPr>
        <w:t>&lt;RepeatBlock-Amend&gt;</w:t>
      </w:r>
      <w:bookmarkStart w:id="1" w:name="restart"/>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w:t>
      </w:r>
      <w:r w:rsidRPr="00101CCB">
        <w:rPr>
          <w:rStyle w:val="HideTWBExt"/>
          <w:b w:val="0"/>
        </w:rPr>
        <w:t>&lt;/NumAm&gt;</w:t>
      </w:r>
    </w:p>
    <w:p w:rsidR="002669B6" w:rsidRPr="00101CCB" w:rsidRDefault="008D2DA5" w:rsidP="00212B84">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1</w:t>
      </w:r>
      <w:r w:rsidRPr="00101CCB">
        <w:rPr>
          <w:rStyle w:val="HideTWBExt"/>
          <w:b w:val="0"/>
        </w:rPr>
        <w:t>&lt;/Article&gt;</w:t>
      </w:r>
      <w:bookmarkEnd w:id="1"/>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(1)</w:t>
            </w:r>
            <w:r w:rsidRPr="00101CCB">
              <w:tab/>
              <w:t>Euroopa Parlamendi ja nõukogu direktiiviga (EL) 2019/879</w:t>
            </w:r>
            <w:r w:rsidRPr="00101CCB">
              <w:rPr>
                <w:vertAlign w:val="superscript"/>
              </w:rPr>
              <w:t xml:space="preserve">16 </w:t>
            </w:r>
            <w:r w:rsidRPr="00101CCB">
              <w:t>ning Euroopa Parlamendi ja nõukogu määrusega (EL) 2019/877</w:t>
            </w:r>
            <w:r w:rsidRPr="00101CCB">
              <w:rPr>
                <w:vertAlign w:val="superscript"/>
              </w:rPr>
              <w:t>17</w:t>
            </w:r>
            <w:r w:rsidRPr="00101CCB">
              <w:t xml:space="preserve"> muudeti omavahendite ja kõlblike kohustuste miinimumnõuet, mis on sätestatud Euroopa Parlamendi ja nõukogu direktiivis 2014/59/EL</w:t>
            </w:r>
            <w:r w:rsidRPr="00101CCB">
              <w:rPr>
                <w:vertAlign w:val="superscript"/>
              </w:rPr>
              <w:t>18</w:t>
            </w:r>
            <w:r w:rsidRPr="00101CCB">
              <w:t xml:space="preserve"> ning Euroopa Parlamendi ja nõukogu määruses (EL) nr 806/2014</w:t>
            </w:r>
            <w:r w:rsidRPr="008D2DA5">
              <w:rPr>
                <w:vertAlign w:val="superscript"/>
              </w:rPr>
              <w:t>1</w:t>
            </w:r>
            <w:r w:rsidRPr="00101CCB">
              <w:rPr>
                <w:vertAlign w:val="superscript"/>
              </w:rPr>
              <w:t>9</w:t>
            </w:r>
            <w:r w:rsidRPr="00101CCB">
              <w:t>, mida kohaldatakse liidus asutatud krediidiasutuste ja investeerimisühingute ning muude direktiivi 2014/59/EL või määruse (EL) nr 806/2014 kohaldamisalasse kuuluvate üksuste suhtes. Nende muudatustega nähti ette, et sisemist omavahendite ja kõlblike kohustuste miinimumnõuet (edaspidi „MREL“), st omavahendite ja kõlblike kohustuste miinimumnõuet, mida kohaldatakse finantsinstitutsioonide ning selliste ettevõtjate suhtes, kes on kriisilahendussubjektide tütarettevõtjad, kuid ei ole ise kriisilahendussubjektid, võivad täita need ettevõtjad, kes kasutavad instrumente, mis on emiteeritud kriisilahendussubjekti jaoks ja mille ta on ostnud kas otse või kaudselt teiste samasse kriisilahendusalusesse gruppi kuuluvate ettevõtjate kaudu.</w:t>
            </w:r>
          </w:p>
        </w:tc>
        <w:tc>
          <w:tcPr>
            <w:tcW w:w="4876" w:type="dxa"/>
            <w:hideMark/>
          </w:tcPr>
          <w:p w:rsidR="00932D06" w:rsidRPr="00101CCB" w:rsidRDefault="008D2DA5">
            <w:pPr>
              <w:pStyle w:val="Normal6"/>
              <w:rPr>
                <w:szCs w:val="24"/>
              </w:rPr>
            </w:pPr>
            <w:r w:rsidRPr="00101CCB">
              <w:t>(1)</w:t>
            </w:r>
            <w:r w:rsidRPr="00101CCB">
              <w:tab/>
              <w:t>Euroopa Parlamendi ja nõukogu direktiiviga (EL) 2019/879</w:t>
            </w:r>
            <w:r w:rsidRPr="00101CCB">
              <w:rPr>
                <w:vertAlign w:val="superscript"/>
              </w:rPr>
              <w:t xml:space="preserve">16 </w:t>
            </w:r>
            <w:r w:rsidRPr="00101CCB">
              <w:t>ning Euroopa Parlamendi ja nõukogu määrusega (EL) 2019/877</w:t>
            </w:r>
            <w:r w:rsidRPr="00101CCB">
              <w:rPr>
                <w:vertAlign w:val="superscript"/>
              </w:rPr>
              <w:t>17</w:t>
            </w:r>
            <w:r w:rsidRPr="00101CCB">
              <w:t xml:space="preserve"> muudeti omavahendite ja kõlblike kohustuste miinimumnõuet, mis on sätestatud Euroopa Parlamendi ja nõukogu direktiivis 2014/59/EL</w:t>
            </w:r>
            <w:r w:rsidRPr="00101CCB">
              <w:rPr>
                <w:vertAlign w:val="superscript"/>
              </w:rPr>
              <w:t>18</w:t>
            </w:r>
            <w:r w:rsidRPr="00101CCB">
              <w:t xml:space="preserve"> ning Euroopa Parlamendi ja nõukogu määruses (EL) nr 806/2014</w:t>
            </w:r>
            <w:r w:rsidRPr="008D2DA5">
              <w:rPr>
                <w:vertAlign w:val="superscript"/>
              </w:rPr>
              <w:t>1</w:t>
            </w:r>
            <w:r w:rsidRPr="00101CCB">
              <w:rPr>
                <w:vertAlign w:val="superscript"/>
              </w:rPr>
              <w:t>9</w:t>
            </w:r>
            <w:r w:rsidRPr="00101CCB">
              <w:t xml:space="preserve">, mida kohaldatakse liidus asutatud krediidiasutuste ja investeerimisühingute ning muude direktiivi 2014/59/EL või määruse (EL) nr 806/2014 kohaldamisalasse kuuluvate üksuste suhtes. Nende muudatustega nähti ette, et sisemist omavahendite ja kõlblike kohustuste miinimumnõuet (edaspidi „MREL“), st omavahendite ja kõlblike kohustuste miinimumnõuet, mida kohaldatakse finantsinstitutsioonide ning selliste ettevõtjate suhtes, kes on kriisilahendussubjektide tütarettevõtjad, kuid ei ole ise kriisilahendussubjektid, võivad täita need </w:t>
            </w:r>
            <w:r w:rsidRPr="00101CCB">
              <w:rPr>
                <w:b/>
                <w:i/>
              </w:rPr>
              <w:t xml:space="preserve">finantsinstitutsioonid ja </w:t>
            </w:r>
            <w:r w:rsidRPr="00101CCB">
              <w:t>ettevõtjad, kes kasutavad instrumente, mis on emiteeritud kriisilahendussubjekti jaoks ja mille ta on ostnud kas otse või kaudselt teiste samasse kriisilahendusalusesse gruppi kuuluvate ettevõtjate kaudu.</w:t>
            </w:r>
          </w:p>
        </w:tc>
      </w:tr>
      <w:tr w:rsidR="000A783D" w:rsidRPr="00101CCB" w:rsidTr="00932D06">
        <w:trPr>
          <w:jc w:val="center"/>
        </w:trPr>
        <w:tc>
          <w:tcPr>
            <w:tcW w:w="4876" w:type="dxa"/>
            <w:hideMark/>
          </w:tcPr>
          <w:p w:rsidR="00932D06" w:rsidRPr="00101CCB" w:rsidRDefault="008D2DA5">
            <w:pPr>
              <w:pStyle w:val="Normal6"/>
            </w:pPr>
            <w:r w:rsidRPr="00101CCB">
              <w:t>__________________</w:t>
            </w:r>
          </w:p>
        </w:tc>
        <w:tc>
          <w:tcPr>
            <w:tcW w:w="4876" w:type="dxa"/>
            <w:hideMark/>
          </w:tcPr>
          <w:p w:rsidR="00932D06" w:rsidRPr="00101CCB" w:rsidRDefault="008D2DA5">
            <w:pPr>
              <w:pStyle w:val="Normal6"/>
              <w:rPr>
                <w:szCs w:val="24"/>
              </w:rPr>
            </w:pPr>
            <w:r w:rsidRPr="00101CCB">
              <w:t>__________________</w:t>
            </w:r>
          </w:p>
        </w:tc>
      </w:tr>
      <w:tr w:rsidR="000A783D" w:rsidRPr="00101CCB" w:rsidTr="00932D06">
        <w:trPr>
          <w:jc w:val="center"/>
        </w:trPr>
        <w:tc>
          <w:tcPr>
            <w:tcW w:w="4876" w:type="dxa"/>
            <w:hideMark/>
          </w:tcPr>
          <w:p w:rsidR="00932D06" w:rsidRPr="00101CCB" w:rsidRDefault="008D2DA5">
            <w:pPr>
              <w:pStyle w:val="Normal6"/>
            </w:pPr>
            <w:r w:rsidRPr="00101CCB">
              <w:rPr>
                <w:vertAlign w:val="superscript"/>
              </w:rPr>
              <w:t>16</w:t>
            </w:r>
            <w:r w:rsidRPr="00101CCB">
              <w:t xml:space="preserve"> Euroopa Parlamendi ja nõukogu 20. mai 2019. aasta direktiiv (EL) 2019/879, millega muudetakse direktiivi 2014/59/EL seoses krediidiasutuste ja investeerimisühingute kahjumikatmis- ja rekapitaliseerimisvõimega ning direktiivi 98/26/EÜ (ELT L 150, 7.6.2019, lk 296).</w:t>
            </w:r>
          </w:p>
        </w:tc>
        <w:tc>
          <w:tcPr>
            <w:tcW w:w="4876" w:type="dxa"/>
            <w:hideMark/>
          </w:tcPr>
          <w:p w:rsidR="00932D06" w:rsidRPr="00101CCB" w:rsidRDefault="008D2DA5">
            <w:pPr>
              <w:pStyle w:val="Normal6"/>
              <w:rPr>
                <w:szCs w:val="24"/>
              </w:rPr>
            </w:pPr>
            <w:r w:rsidRPr="00101CCB">
              <w:rPr>
                <w:vertAlign w:val="superscript"/>
              </w:rPr>
              <w:t>16</w:t>
            </w:r>
            <w:r w:rsidRPr="00101CCB">
              <w:t xml:space="preserve"> Euroopa Parlamendi ja nõukogu 20. mai 2019. aasta direktiiv (EL) 2019/879, millega muudetakse direktiivi 2014/59/EL seoses krediidiasutuste ja investeerimisühingute kahjumikatmis- ja rekapitaliseerimisvõimega ning direktiivi 98/26/EÜ (ELT L 150, 7.6.2019, lk 296).</w:t>
            </w:r>
          </w:p>
        </w:tc>
      </w:tr>
      <w:tr w:rsidR="000A783D" w:rsidRPr="00101CCB" w:rsidTr="00932D06">
        <w:trPr>
          <w:jc w:val="center"/>
        </w:trPr>
        <w:tc>
          <w:tcPr>
            <w:tcW w:w="4876" w:type="dxa"/>
            <w:hideMark/>
          </w:tcPr>
          <w:p w:rsidR="00932D06" w:rsidRPr="00101CCB" w:rsidRDefault="008D2DA5">
            <w:pPr>
              <w:pStyle w:val="Normal6"/>
            </w:pPr>
            <w:r w:rsidRPr="00101CCB">
              <w:rPr>
                <w:vertAlign w:val="superscript"/>
              </w:rPr>
              <w:t>17</w:t>
            </w:r>
            <w:r w:rsidRPr="00101CCB">
              <w:t xml:space="preserve"> Euroopa Parlamendi ja nõukogu 20. mai 2019. aasta määrus (EL) 2019/877, millega muudetakse määrust (EL) nr 806/2014 seoses krediidiasutuste ja investeerimisühingute kahjumikatmis- ja rekapitaliseerimisvõimega (ELT L 150, 7.6.2019, lk 226).</w:t>
            </w:r>
          </w:p>
        </w:tc>
        <w:tc>
          <w:tcPr>
            <w:tcW w:w="4876" w:type="dxa"/>
            <w:hideMark/>
          </w:tcPr>
          <w:p w:rsidR="00932D06" w:rsidRPr="00101CCB" w:rsidRDefault="008D2DA5">
            <w:pPr>
              <w:pStyle w:val="Normal6"/>
              <w:rPr>
                <w:szCs w:val="24"/>
              </w:rPr>
            </w:pPr>
            <w:r w:rsidRPr="00101CCB">
              <w:rPr>
                <w:vertAlign w:val="superscript"/>
              </w:rPr>
              <w:t>17</w:t>
            </w:r>
            <w:r w:rsidRPr="00101CCB">
              <w:t xml:space="preserve"> Euroopa Parlamendi ja nõukogu 20. mai 2019. aasta määrus (EL) 2019/877, millega muudetakse määrust (EL) nr 806/2014 seoses krediidiasutuste ja investeerimisühingute kahjumikatmis- ja rekapitaliseerimisvõimega (ELT L 150, 7.6.2019, lk 226).</w:t>
            </w:r>
          </w:p>
        </w:tc>
      </w:tr>
      <w:tr w:rsidR="000A783D" w:rsidRPr="00101CCB" w:rsidTr="00932D06">
        <w:trPr>
          <w:jc w:val="center"/>
        </w:trPr>
        <w:tc>
          <w:tcPr>
            <w:tcW w:w="4876" w:type="dxa"/>
            <w:hideMark/>
          </w:tcPr>
          <w:p w:rsidR="00932D06" w:rsidRPr="00101CCB" w:rsidRDefault="008D2DA5">
            <w:pPr>
              <w:pStyle w:val="Normal6"/>
            </w:pPr>
            <w:r w:rsidRPr="00101CCB">
              <w:rPr>
                <w:vertAlign w:val="superscript"/>
              </w:rPr>
              <w:t>18</w:t>
            </w:r>
            <w:r w:rsidRPr="00101CCB">
              <w:t xml:space="preserve"> Euroopa Parlamendi ja nõukogu 15. mai 2014. aasta direktiiv 2014/59/EL, millega luuakse krediidiasutuste ja investeerimisühingute finantsseisundi taastamise ja kriisilahenduse õigusraamistik ning muudetakse nõukogu direktiivi 82/891/EMÜ ning Euroopa Parlamendi ja nõukogu direktiive 2001/24/EÜ, 2002/47/EÜ, 2004/25/EÜ, 2005/56/EÜ, 2007/36/EÜ, 2011/35/EL, 2012/30/EL ja 2013/36/EL ning määruseid (EL) nr 1093/2010 ja (EL) nr 648/2012 (ELT L 173, 12.6.2014, lk 190).</w:t>
            </w:r>
          </w:p>
        </w:tc>
        <w:tc>
          <w:tcPr>
            <w:tcW w:w="4876" w:type="dxa"/>
            <w:hideMark/>
          </w:tcPr>
          <w:p w:rsidR="00932D06" w:rsidRPr="00101CCB" w:rsidRDefault="008D2DA5">
            <w:pPr>
              <w:pStyle w:val="Normal6"/>
              <w:rPr>
                <w:szCs w:val="24"/>
              </w:rPr>
            </w:pPr>
            <w:r w:rsidRPr="00101CCB">
              <w:rPr>
                <w:vertAlign w:val="superscript"/>
              </w:rPr>
              <w:t>18</w:t>
            </w:r>
            <w:r w:rsidRPr="00101CCB">
              <w:t xml:space="preserve"> Euroopa Parlamendi ja nõukogu 15. mai 2014. aasta direktiiv 2014/59/EL, millega luuakse krediidiasutuste ja investeerimisühingute finantsseisundi taastamise ja kriisilahenduse õigusraamistik ning muudetakse nõukogu direktiivi 82/891/EMÜ ning Euroopa Parlamendi ja nõukogu direktiive 2001/24/EÜ, 2002/47/EÜ, 2004/25/EÜ, 2005/56/EÜ, 2007/36/EÜ, 2011/35/EL, 2012/30/EL ja 2013/36/EL ning määruseid (EL) nr 1093/2010 ja (EL) nr 648/2012 (ELT L 173, 12.6.2014, lk 190).</w:t>
            </w:r>
          </w:p>
        </w:tc>
      </w:tr>
      <w:tr w:rsidR="000A783D" w:rsidRPr="00101CCB" w:rsidTr="00932D06">
        <w:trPr>
          <w:jc w:val="center"/>
        </w:trPr>
        <w:tc>
          <w:tcPr>
            <w:tcW w:w="4876" w:type="dxa"/>
            <w:hideMark/>
          </w:tcPr>
          <w:p w:rsidR="00932D06" w:rsidRPr="00101CCB" w:rsidRDefault="008D2DA5">
            <w:pPr>
              <w:pStyle w:val="Normal6"/>
            </w:pPr>
            <w:r w:rsidRPr="00101CCB">
              <w:rPr>
                <w:vertAlign w:val="superscript"/>
              </w:rPr>
              <w:t>19</w:t>
            </w:r>
            <w:r w:rsidRPr="00101CCB">
              <w:t xml:space="preserve"> Euroopa Parlamendi ja nõukogu 15. juuli 2014. aasta määrus (EL) nr 806/2014, millega kehtestatakse ühtsed eeskirjad ja ühtne menetlus krediidiasutuste ja teatavate investeerimisühingute kriisilahenduseks ühtse kriisilahenduskorra ja ühtse kriisilahendusfondi raames ning millega muudetakse määrust (EL) nr 1093/2010 (ELT L 225, 30.7.2014, lk 1).</w:t>
            </w:r>
          </w:p>
        </w:tc>
        <w:tc>
          <w:tcPr>
            <w:tcW w:w="4876" w:type="dxa"/>
            <w:hideMark/>
          </w:tcPr>
          <w:p w:rsidR="00932D06" w:rsidRPr="00101CCB" w:rsidRDefault="008D2DA5">
            <w:pPr>
              <w:pStyle w:val="Normal6"/>
              <w:rPr>
                <w:szCs w:val="24"/>
              </w:rPr>
            </w:pPr>
            <w:r w:rsidRPr="00101CCB">
              <w:rPr>
                <w:vertAlign w:val="superscript"/>
              </w:rPr>
              <w:t>19</w:t>
            </w:r>
            <w:r w:rsidRPr="00101CCB">
              <w:t xml:space="preserve"> Euroopa Parlamendi ja nõukogu 15. juuli 2014. aasta määrus (EL) nr 806/2014, millega kehtestatakse ühtsed eeskirjad ja ühtne menetlus krediidiasutuste ja teatavate investeerimisühingute kriisilahenduseks ühtse kriisilahenduskorra ja ühtse kriisilahendusfondi raames ning millega muudetakse määrust (EL) nr 1093/2010 (ELT L 225, 30.7.2014, lk 1).</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2</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3</w:t>
      </w:r>
      <w:r w:rsidRPr="00101CC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(3)</w:t>
            </w:r>
            <w:r w:rsidRPr="00101CCB">
              <w:tab/>
              <w:t xml:space="preserve">Komisjon leidis läbivaatamise käigus, et oleks asjakohane ja sisemise MRELi eeskirjade eesmärkidega proportsionaalne lubada kriisilahendusasutustel kehtestada sisemine MREL konsolideeritud alusel ettevõtjate valiku jaoks, mis on laiem direktiivis 2014/59/EL ja määruses (EL) nr 806/2014 sätestatust, kui selline laiem valik hõlmab finantsinstitutsioone ja ettevõtjaid, kes ise ei ole kriisilahendussubjektid, kuid kes on kriisilahendussubjektide tütarettevõtjad ja kontrollivad ise </w:t>
            </w:r>
            <w:r w:rsidRPr="00101CCB">
              <w:rPr>
                <w:b/>
                <w:i/>
              </w:rPr>
              <w:t>tütarettevõtjaid, kelle suhtes kohaldatakse MRELi</w:t>
            </w:r>
            <w:r w:rsidRPr="00101CCB">
              <w:t xml:space="preserve"> (edaspidi „vaheüksused“). Nii oleks see eelkõige nende pangagruppide puhul, mida juhib valdusettevõtja. Sellistel juhtudel tsentraliseerivad vaheüksused loomulikul moel grupisiseseid riskipositsioone ja suunavad kriisilahendussubjekti poolt eelnevalt paigutatud sisemise MRELi täitmiseks kõlblikke vahendeid. Selle struktuuri tõttu </w:t>
            </w:r>
            <w:r w:rsidRPr="00101CCB">
              <w:rPr>
                <w:b/>
                <w:i/>
              </w:rPr>
              <w:t>mõjutaksid</w:t>
            </w:r>
            <w:r w:rsidRPr="00101CCB">
              <w:t xml:space="preserve"> mahaarvamise eeskirjad selliseid vaheüksusi ebaproportsionaalselt. Komisjon jõudis ka järeldusele, et MRELi raamistik </w:t>
            </w:r>
            <w:r w:rsidRPr="00101CCB">
              <w:rPr>
                <w:b/>
                <w:i/>
              </w:rPr>
              <w:t>oleks proportsionaalsem</w:t>
            </w:r>
            <w:r w:rsidRPr="00101CCB">
              <w:t xml:space="preserve">, kui </w:t>
            </w:r>
            <w:r w:rsidRPr="00101CCB">
              <w:rPr>
                <w:b/>
                <w:i/>
              </w:rPr>
              <w:t>jätta likvideerimissubjekti emissioonid välja nende</w:t>
            </w:r>
            <w:r w:rsidRPr="00101CCB">
              <w:t xml:space="preserve"> riskipositsioonide </w:t>
            </w:r>
            <w:r w:rsidRPr="00101CCB">
              <w:rPr>
                <w:b/>
                <w:i/>
              </w:rPr>
              <w:t>hulgast</w:t>
            </w:r>
            <w:r w:rsidRPr="00101CCB">
              <w:t>, mille vaheüksus peab maha arvama</w:t>
            </w:r>
            <w:r w:rsidRPr="00101CCB">
              <w:rPr>
                <w:b/>
                <w:i/>
              </w:rPr>
              <w:t xml:space="preserve"> vastavalt sisemise MRELi täitmiseks kõlblike vahendite kaudse märkimise mahaarvamise mehhanismile</w:t>
            </w:r>
            <w:r w:rsidRPr="00101CCB">
              <w:t xml:space="preserve">. </w:t>
            </w:r>
            <w:r w:rsidRPr="00101CCB">
              <w:rPr>
                <w:b/>
                <w:i/>
              </w:rPr>
              <w:t>Kriisilahendussubjekt</w:t>
            </w:r>
            <w:r w:rsidRPr="00101CCB">
              <w:t xml:space="preserve"> ei </w:t>
            </w:r>
            <w:r w:rsidRPr="00101CCB">
              <w:rPr>
                <w:b/>
                <w:i/>
              </w:rPr>
              <w:t>pea maksejõuetuse korral likvideerimissubjekti toetama</w:t>
            </w:r>
            <w:r w:rsidRPr="00101CCB">
              <w:t>, mis kõrvaldab seega vajaduse kaitsta</w:t>
            </w:r>
            <w:r w:rsidRPr="00101CCB">
              <w:rPr>
                <w:b/>
                <w:i/>
              </w:rPr>
              <w:t xml:space="preserve"> mis tahes</w:t>
            </w:r>
            <w:r w:rsidRPr="00101CCB">
              <w:t xml:space="preserve"> kahjumi ja kapitali ülekandmise mehhanisme kriisilahendusalustes gruppides, mis oli määrusega (EL) 2022/2036 kehtestatud mahaarvamiseeskirjade eesmärk. Seevastu kriisilahendusaluse grupi ülejäänud ettevõtjaid peab kriisilahendussubjekt kriisi või maksejõuetuse korral toetama. Seetõttu peaksid vajalikud MRELi vahendid olema olemas kriisilahendusaluse grupi kõigil tasanditel ning nende kättesaadavus kahjumi katmiseks ja rekapitaliseerimiseks tuleks tagada mahaarvamismehhanismi kaudu. Seega jõudis komisjon läbivaatamise käigus järeldusele, et vaheüksused peaksid jätkuvalt maha arvama kogu oma osaluse sisemise MRELi täitmiseks kõlblikes vahendites, mille on emiteerinud teised samasse kriisilahendusalusesse gruppi kuuluvad ettevõtjad, kes ei ole likvideerimissubjektid.</w:t>
            </w:r>
          </w:p>
        </w:tc>
        <w:tc>
          <w:tcPr>
            <w:tcW w:w="4876" w:type="dxa"/>
            <w:hideMark/>
          </w:tcPr>
          <w:p w:rsidR="00932D06" w:rsidRPr="00101CCB" w:rsidRDefault="008D2DA5" w:rsidP="006A17A3">
            <w:pPr>
              <w:pStyle w:val="Normal6"/>
              <w:rPr>
                <w:szCs w:val="24"/>
              </w:rPr>
            </w:pPr>
            <w:r w:rsidRPr="00101CCB">
              <w:t>(3)</w:t>
            </w:r>
            <w:r w:rsidRPr="00101CCB">
              <w:tab/>
              <w:t xml:space="preserve">Komisjon leidis läbivaatamise käigus, et oleks asjakohane ja sisemise MRELi eeskirjade eesmärkidega proportsionaalne lubada kriisilahendusasutustel kehtestada sisemine MREL konsolideeritud alusel ettevõtjate valiku jaoks, mis on laiem direktiivis 2014/59/EL ja määruses (EL) nr 806/2014 sätestatust, kui selline laiem valik hõlmab finantsinstitutsioone ja ettevõtjaid, kes ise ei ole kriisilahendussubjektid, kuid kes on kriisilahendussubjektide tütarettevõtjad ja kontrollivad ise </w:t>
            </w:r>
            <w:r w:rsidRPr="00101CCB">
              <w:rPr>
                <w:b/>
                <w:i/>
              </w:rPr>
              <w:t>samasse kriisilahendusalusesse gruppi kuuluvaid muid tütarettevõtjaid</w:t>
            </w:r>
            <w:r w:rsidRPr="00101CCB">
              <w:t xml:space="preserve"> (edaspidi „vaheüksused“). Nii oleks see eelkõige nende pangagruppide puhul, mida juhib valdusettevõtja. Sellistel juhtudel tsentraliseerivad vaheüksused loomulikul moel grupisiseseid riskipositsioone ja suunavad kriisilahendussubjekti poolt eelnevalt paigutatud sisemise MRELi täitmiseks kõlblikke vahendeid. Selle struktuuri tõttu </w:t>
            </w:r>
            <w:r w:rsidRPr="00101CCB">
              <w:rPr>
                <w:b/>
                <w:i/>
              </w:rPr>
              <w:t>võiksid</w:t>
            </w:r>
            <w:r w:rsidRPr="00101CCB">
              <w:t xml:space="preserve"> mahaarvamise eeskirjad selliseid vaheüksusi ebaproportsionaalselt</w:t>
            </w:r>
            <w:r w:rsidRPr="00101CCB">
              <w:rPr>
                <w:b/>
                <w:i/>
              </w:rPr>
              <w:t xml:space="preserve"> mõjutada</w:t>
            </w:r>
            <w:r w:rsidRPr="00101CCB">
              <w:t xml:space="preserve">. Komisjon jõudis ka järeldusele, et MRELi raamistik </w:t>
            </w:r>
            <w:r w:rsidRPr="00101CCB">
              <w:rPr>
                <w:b/>
                <w:i/>
              </w:rPr>
              <w:t>muutuks proportsionaalsemaks</w:t>
            </w:r>
            <w:r w:rsidRPr="00101CCB">
              <w:t xml:space="preserve">, kui </w:t>
            </w:r>
            <w:r w:rsidRPr="00101CCB">
              <w:rPr>
                <w:b/>
                <w:i/>
              </w:rPr>
              <w:t>kohandada reegleid</w:t>
            </w:r>
            <w:r w:rsidRPr="00101CCB">
              <w:t xml:space="preserve"> riskipositsioonide </w:t>
            </w:r>
            <w:r w:rsidRPr="00101CCB">
              <w:rPr>
                <w:b/>
                <w:i/>
              </w:rPr>
              <w:t>kohta</w:t>
            </w:r>
            <w:r w:rsidRPr="00101CCB">
              <w:t>, mille vaheüksus peab maha arvama</w:t>
            </w:r>
            <w:r w:rsidRPr="00101CCB">
              <w:rPr>
                <w:b/>
                <w:i/>
              </w:rPr>
              <w:t>, juhul kui emiteeriv üksus on likvideerimissubjekt, kelle suhtes ei kohaldata MRELi käsitlevat otsust</w:t>
            </w:r>
            <w:r w:rsidRPr="00101CCB">
              <w:t>.</w:t>
            </w:r>
            <w:r w:rsidRPr="00101CCB">
              <w:rPr>
                <w:b/>
                <w:i/>
              </w:rPr>
              <w:t xml:space="preserve"> Sellistel juhtudel</w:t>
            </w:r>
            <w:r w:rsidRPr="00101CCB">
              <w:t xml:space="preserve"> ei </w:t>
            </w:r>
            <w:r w:rsidRPr="00101CCB">
              <w:rPr>
                <w:b/>
                <w:i/>
              </w:rPr>
              <w:t>eeldata, et allahindamise ja konverteerimise õigust on vaja selliste likvideerimissubjektide suhtes kasutada</w:t>
            </w:r>
            <w:r w:rsidRPr="00101CCB">
              <w:t>, mis kõrvaldab seega vajaduse kaitsta kahjumi ja kapitali ülekandmise mehhanisme kriisilahendusalustes gruppides, mis oli määrusega (EL) 2022/2036 kehtestatud mahaarvamiseeskirjade eesmärk. Seevastu kriisilahendusaluse grupi ülejäänud ettevõtjaid peab kriisilahendussubjekt kriisi või maksejõuetuse korral toetama. Seetõttu peaksid vajalikud MRELi vahendid olema olemas kriisilahendusaluse grupi kõigil tasanditel ning nende kättesaadavus kahjumi katmiseks ja rekapitaliseerimiseks tuleks tagada mahaarvamismehhanismi kaudu. Seega jõudis komisjon läbivaatamise käigus järeldusele, et vaheüksused peaksid jätkuvalt maha arvama kogu oma osaluse sisemise MRELi täitmiseks kõlblikes vahendites, mille on emiteerinud teised samasse kriisilahendusalusesse gruppi kuuluvad ettevõtjad, kes ei ole likvideerimissubjektid.</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3</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5</w:t>
      </w:r>
      <w:r w:rsidRPr="00101CC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(5)</w:t>
            </w:r>
            <w:r w:rsidRPr="00101CCB">
              <w:tab/>
              <w:t xml:space="preserve">Tagamaks, et võimalus täita MRELi konsolideeritud alusel on kättesaadav ainult komisjoni läbivaatamise käigus kindlaks tehtud asjaomastel juhtudel ning see ei vii sisemise MRELi täitmiseks kõlblike vahendite nappuseni kogu kriisilahendusaluses grupis, peaks õigus kehtestada vaheüksustele sisemine MREL konsolideeritud alusel olema kriisilahendusasutuse kaalutlusõigus ja see peaks sõltuma teatavatest tingimustest. Vaheüksus peaks olema sellise kriisilahendussubjekti ainus otsene tütarettevõtja, mis on finantsinstitutsioon või ettevõtja, kes on liidus emaettevõtjana tegutsev finantsvaldusettevõtja või liidus emaettevõtjana tegutsev segafinantsvaldusettevõtja, ning mis on asutatud samas liikmesriigis ja kuulub samasse kriisilahendusalusesse gruppi. Teise võimalusena peaks asjaomane vaheüksus täitma täiendavate omavahendite nõuet või kombineeritud puhvri nõuet oma konsolideeritud finantsseisundi alusel. Mõlemal juhul ei tohiks aga konsolideeritud alusel sisemise MRELi järgimisel olla kriisilahendusasutuse hinnangul </w:t>
            </w:r>
            <w:r w:rsidRPr="00101CCB">
              <w:rPr>
                <w:b/>
                <w:i/>
              </w:rPr>
              <w:t xml:space="preserve">olulist </w:t>
            </w:r>
            <w:r w:rsidRPr="00101CCB">
              <w:t>negatiivset mõju asjaomase kriisilahendusaluse grupi kriisilahenduskõlblikkusele ega asjaomase vaheüksuse või tema kriisilahendusaluse grupi muude ettevõtjate asjaomaste kapitaliinstrumentide ja kõlblike kohustuste allahindamise või konverteerimise õiguse kohaldamisele kriisilahendusasutuse poolt.</w:t>
            </w:r>
          </w:p>
        </w:tc>
        <w:tc>
          <w:tcPr>
            <w:tcW w:w="4876" w:type="dxa"/>
            <w:hideMark/>
          </w:tcPr>
          <w:p w:rsidR="00932D06" w:rsidRPr="00101CCB" w:rsidRDefault="008D2DA5" w:rsidP="001C63AC">
            <w:pPr>
              <w:pStyle w:val="Normal6"/>
              <w:rPr>
                <w:szCs w:val="24"/>
              </w:rPr>
            </w:pPr>
            <w:r w:rsidRPr="00101CCB">
              <w:tab/>
              <w:t xml:space="preserve">Tagamaks, et võimalus täita MRELi konsolideeritud alusel on kättesaadav ainult komisjoni läbivaatamise käigus kindlaks tehtud asjaomastel juhtudel ning see ei vii sisemise MRELi täitmiseks kõlblike vahendite nappuseni kogu kriisilahendusaluses grupis, peaks õigus kehtestada vaheüksustele sisemine MREL konsolideeritud alusel olema kriisilahendusasutuse kaalutlusõigus ja see peaks sõltuma teatavatest tingimustest. Vaheüksus peaks olema sellise kriisilahendussubjekti ainus otsene tütarettevõtja, mis on finantsinstitutsioon või ettevõtja, kes on liidus emaettevõtjana tegutsev finantsvaldusettevõtja või liidus emaettevõtjana tegutsev segafinantsvaldusettevõtja, ning mis on asutatud samas liikmesriigis ja kuulub samasse kriisilahendusalusesse gruppi. Teise võimalusena peaks asjaomane vaheüksus täitma täiendavate omavahendite nõuet või kombineeritud puhvri nõuet oma konsolideeritud finantsseisundi alusel. Mõlemal juhul ei tohiks aga konsolideeritud alusel sisemise MRELi järgimisel olla kriisilahendusasutuse hinnangul negatiivset mõju asjaomase kriisilahendusaluse grupi kriisilahenduskõlblikkusele ega asjaomase vaheüksuse või tema kriisilahendusaluse grupi muude ettevõtjate asjaomaste kapitaliinstrumentide ja kõlblike kohustuste allahindamise või konverteerimise õiguse kohaldamisele kriisilahendusasutuse poolt. </w:t>
            </w:r>
            <w:r w:rsidRPr="00101CCB">
              <w:rPr>
                <w:b/>
                <w:i/>
              </w:rPr>
              <w:t>Üks olukord, kus sisemise MRELi kehtestamine konsolideeritud alusel kahjustaks kriisilahendusaluse grupi kriisilahenduskõlblikkust, on selline, kus kõnealuse MRELi summa ei taga vastavust individuaalsetele omavahendite nõuetele, mida kohaldatakse pärast allahindamise ja konverteerimise õiguse kasutamist.</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4</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6</w:t>
      </w:r>
      <w:r w:rsidRPr="00101CC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(6)</w:t>
            </w:r>
            <w:r w:rsidRPr="00101CCB">
              <w:tab/>
              <w:t xml:space="preserve">Vastavalt direktiivi 2014/59/EL artikli 45f lõikele 2 ja määruse (EL) nr 806/2014 artikli 12g lõikele 2 võivad vaheüksused täita konsolideeritud sisemist MRELi omavahendite ja kõlblike kohustustega. Selleks et täielikult kasutada võimalust täita MRELi konsolideeritud alusel, on vaja tagada, et vaheüksuste kõlblikud kohustused arvutatakse sarnaselt omavahenditele. Kõlblikkuskriteeriumid kõlblike kohustuste puhul, mida võib kasutada sisemise MRELi täitmiseks konsolideeritud alusel, tuleks seetõttu viia kooskõlla määruses (EL) nr 575/2013 sätestatud konsolideeritud omavahendite arvutamise eeskirjadega. Selleks et tagada kooskõla välise MRELi kehtivate eeskirjadega, peaks see vastavusse viimine kajastama ka direktiivi 2014/59/EL artikli 45b lõikes 3 ja määruse (EL) nr 806/2014 artikli 12d lõikes 3 sätestatud selliste kõlblike kohustuste arvutamise kehtivaid eeskirju, mida kriisilahendussubjektid võivad kasutada oma konsolideeritud MRELi täitmiseks. Eelkõige on vaja tagada, et kõlblikke kohustusi, mille on emiteerinud sellise ettevõtja tütarettevõtjad, kelle suhtes kohaldatakse konsolideeritud sisemist MRELi ning mida omavad </w:t>
            </w:r>
            <w:r w:rsidRPr="00101CCB">
              <w:rPr>
                <w:b/>
                <w:i/>
              </w:rPr>
              <w:t>teised</w:t>
            </w:r>
            <w:r w:rsidRPr="00101CCB">
              <w:t xml:space="preserve"> sama kriisilahendusaluse grupi </w:t>
            </w:r>
            <w:r w:rsidRPr="00101CCB">
              <w:rPr>
                <w:b/>
                <w:i/>
              </w:rPr>
              <w:t>ettevõtjad, sealhulgas kriisilahendussubjekt</w:t>
            </w:r>
            <w:r w:rsidRPr="00101CCB">
              <w:t>, või olemasolevad aktsionärid, kes ei kuulu samasse kriisilahendusalusesse gruppi, võetakse arvesse selle ettevõtja omavahendites ja kõlblikes kohustustes, kelle suhtes kohaldatakse konsolideeritud sisemist MRELi.</w:t>
            </w:r>
          </w:p>
        </w:tc>
        <w:tc>
          <w:tcPr>
            <w:tcW w:w="4876" w:type="dxa"/>
            <w:hideMark/>
          </w:tcPr>
          <w:p w:rsidR="00932D06" w:rsidRPr="00101CCB" w:rsidRDefault="008D2DA5">
            <w:pPr>
              <w:pStyle w:val="Normal6"/>
              <w:rPr>
                <w:szCs w:val="24"/>
              </w:rPr>
            </w:pPr>
            <w:r w:rsidRPr="00101CCB">
              <w:t>(6)</w:t>
            </w:r>
            <w:r w:rsidRPr="00101CCB">
              <w:tab/>
              <w:t xml:space="preserve">Vastavalt direktiivi 2014/59/EL artikli 45f lõikele 2 ja määruse (EL) nr 806/2014 artikli 12g lõikele 2 võivad vaheüksused täita konsolideeritud sisemist MRELi omavahendite ja kõlblike kohustustega. Selleks et täielikult kasutada võimalust täita MRELi konsolideeritud alusel, on vaja tagada, et vaheüksuste kõlblikud kohustused arvutatakse sarnaselt omavahenditele. Kõlblikkuskriteeriumid kõlblike kohustuste puhul, mida võib kasutada sisemise MRELi täitmiseks konsolideeritud alusel, tuleks seetõttu viia kooskõlla määruses (EL) nr 575/2013 sätestatud konsolideeritud omavahendite arvutamise eeskirjadega. Selleks et tagada kooskõla välise MRELi kehtivate eeskirjadega, peaks see vastavusse viimine kajastama ka direktiivi 2014/59/EL artikli 45b lõikes 3 ja määruse (EL) nr 806/2014 artikli 12d lõikes 3 sätestatud selliste kõlblike kohustuste arvutamise kehtivaid eeskirju, mida kriisilahendussubjektid võivad kasutada oma konsolideeritud MRELi täitmiseks. Eelkõige on vaja tagada, et kõlblikke kohustusi, mille on emiteerinud sellise ettevõtja tütarettevõtjad, kelle suhtes kohaldatakse konsolideeritud sisemist MRELi ning mida omavad </w:t>
            </w:r>
            <w:r w:rsidRPr="00101CCB">
              <w:rPr>
                <w:b/>
                <w:i/>
              </w:rPr>
              <w:t>kriisilahendussubjekt kas otseselt või teiste</w:t>
            </w:r>
            <w:r w:rsidRPr="00101CCB">
              <w:t xml:space="preserve"> sama kriisilahendusaluse grupi </w:t>
            </w:r>
            <w:r w:rsidRPr="00101CCB">
              <w:rPr>
                <w:b/>
                <w:i/>
              </w:rPr>
              <w:t>ettevõtjate hulka mittekuuluvate ettevõtjate kaudu</w:t>
            </w:r>
            <w:r w:rsidRPr="00101CCB">
              <w:t>, või olemasolevad aktsionärid, kes ei kuulu samasse kriisilahendusalusesse gruppi, võetakse arvesse selle ettevõtja omavahendites ja kõlblikes kohustustes, kelle suhtes kohaldatakse konsolideeritud sisemist MRELi.</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5</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7</w:t>
      </w:r>
      <w:r w:rsidRPr="00101CC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(7)</w:t>
            </w:r>
            <w:r w:rsidRPr="00101CCB">
              <w:tab/>
            </w:r>
            <w:r w:rsidRPr="00101CCB">
              <w:rPr>
                <w:b/>
                <w:i/>
              </w:rPr>
              <w:t>Likvideerimissubjektide puhul piirdub</w:t>
            </w:r>
            <w:r w:rsidRPr="00101CCB">
              <w:t xml:space="preserve"> MREL </w:t>
            </w:r>
            <w:r w:rsidRPr="00101CCB">
              <w:rPr>
                <w:b/>
                <w:i/>
              </w:rPr>
              <w:t>tavaliselt summaga</w:t>
            </w:r>
            <w:r w:rsidRPr="00101CCB">
              <w:t>, mis on vajalik kahjumi katmiseks, mis vastab omavahendite nõuetele. Sellistel juhtudel ei kaasne MRELiga likvideerimissubjektile mingeid kriisilahendusraamistikuga otseselt seotud lisanõudeid. See tähendab, et likvideerimissubjekt saab MRELi täielikult täita, täites omavahendite nõudeid, ning et kriisilahendusasutuse eriotsus MRELi kindlaksmääramise kohta ei paranda sisuliselt likvideerimissubjektide kriisilahenduskõlblikkust. Selline otsus toob kriisilahendusasutustele ja likvideerimissubjektidele kaasa palju menetluslikke kohustusi, ilma et see parandaks kriisilahenduskõlblikkust. Seetõttu ei tohiks kriisilahendusasutused kehtestada MRELi likvideerimissubjektidele.</w:t>
            </w:r>
          </w:p>
        </w:tc>
        <w:tc>
          <w:tcPr>
            <w:tcW w:w="4876" w:type="dxa"/>
            <w:hideMark/>
          </w:tcPr>
          <w:p w:rsidR="00932D06" w:rsidRPr="00101CCB" w:rsidRDefault="008D2DA5" w:rsidP="006A17A3">
            <w:pPr>
              <w:pStyle w:val="Normal6"/>
              <w:rPr>
                <w:szCs w:val="24"/>
              </w:rPr>
            </w:pPr>
            <w:r w:rsidRPr="00101CCB">
              <w:t>(7)</w:t>
            </w:r>
            <w:r w:rsidRPr="00101CCB">
              <w:tab/>
            </w:r>
            <w:r w:rsidRPr="00101CCB">
              <w:rPr>
                <w:b/>
                <w:i/>
              </w:rPr>
              <w:t>Kehtiva MRELi raamistiku kohaselt on likvideerimisele määratud ettevõtjate</w:t>
            </w:r>
            <w:r w:rsidRPr="00101CCB">
              <w:t xml:space="preserve"> MREL </w:t>
            </w:r>
            <w:r w:rsidRPr="00101CCB">
              <w:rPr>
                <w:b/>
                <w:i/>
              </w:rPr>
              <w:t>enamikul juhtudel summa</w:t>
            </w:r>
            <w:r w:rsidRPr="00101CCB">
              <w:t>, mis on vajalik kahjumi katmiseks, mis vastab omavahendite nõuetele. Sellistel juhtudel ei kaasne MRELiga likvideerimissubjektile mingeid kriisilahendusraamistikuga otseselt seotud lisanõudeid. See tähendab, et likvideerimissubjekt saab MRELi täielikult täita, täites omavahendite nõudeid, ning et kriisilahendusasutuse eriotsus MRELi kindlaksmääramise kohta ei paranda sisuliselt likvideerimissubjektide kriisilahenduskõlblikkust. Selline otsus toob kriisilahendusasutustele ja likvideerimissubjektidele kaasa palju menetluslikke kohustusi, ilma et see parandaks kriisilahenduskõlblikkust. Seetõttu ei tohiks kriisilahendusasutused kehtestada MRELi likvideerimissubjektidele.</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6</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8</w:t>
      </w:r>
      <w:r w:rsidRPr="00101CC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(8)</w:t>
            </w:r>
            <w:r w:rsidRPr="00101CCB">
              <w:tab/>
            </w:r>
            <w:r w:rsidRPr="00101CCB">
              <w:rPr>
                <w:b/>
                <w:i/>
              </w:rPr>
              <w:t>Kui kriisilahendusasutus leiab</w:t>
            </w:r>
            <w:r w:rsidRPr="00101CCB">
              <w:t xml:space="preserve">, et </w:t>
            </w:r>
            <w:r w:rsidRPr="00101CCB">
              <w:rPr>
                <w:b/>
                <w:i/>
              </w:rPr>
              <w:t>kriisilahendusalusesse gruppi kuuluv</w:t>
            </w:r>
            <w:r w:rsidRPr="00101CCB">
              <w:t xml:space="preserve"> ettevõtja kvalifitseerub likvideerimissubjektiks, ei </w:t>
            </w:r>
            <w:r w:rsidRPr="00101CCB">
              <w:rPr>
                <w:b/>
                <w:i/>
              </w:rPr>
              <w:t>tohiks</w:t>
            </w:r>
            <w:r w:rsidRPr="00101CCB">
              <w:t xml:space="preserve"> vaheüksustelt nõuda, et nad arvaksid oma </w:t>
            </w:r>
            <w:r w:rsidRPr="00101CCB">
              <w:rPr>
                <w:b/>
                <w:i/>
              </w:rPr>
              <w:t>sisemise</w:t>
            </w:r>
            <w:r w:rsidRPr="00101CCB">
              <w:t xml:space="preserve"> MRELi täitmise võimest maha oma osalused omavahendites</w:t>
            </w:r>
            <w:r w:rsidRPr="00101CCB">
              <w:rPr>
                <w:b/>
                <w:i/>
              </w:rPr>
              <w:t xml:space="preserve"> või muudes kohustustes</w:t>
            </w:r>
            <w:r w:rsidRPr="00101CCB">
              <w:t xml:space="preserve">, </w:t>
            </w:r>
            <w:r w:rsidRPr="00101CCB">
              <w:rPr>
                <w:b/>
                <w:i/>
              </w:rPr>
              <w:t xml:space="preserve">mis vastaksid sisemise MRELi täitmise tingimustele ja </w:t>
            </w:r>
            <w:r w:rsidRPr="00101CCB">
              <w:t>mille on emiteerinud likvideerimissubjektid</w:t>
            </w:r>
            <w:r w:rsidRPr="00101CCB">
              <w:rPr>
                <w:b/>
                <w:i/>
              </w:rPr>
              <w:t>. Sellisel juhul</w:t>
            </w:r>
            <w:r w:rsidRPr="00101CCB">
              <w:t xml:space="preserve"> ei </w:t>
            </w:r>
            <w:r w:rsidRPr="00101CCB">
              <w:rPr>
                <w:b/>
                <w:i/>
              </w:rPr>
              <w:t>pea likvideerimissubjekt enam täitma</w:t>
            </w:r>
            <w:r w:rsidRPr="00101CCB">
              <w:t xml:space="preserve"> MRELi </w:t>
            </w:r>
            <w:r w:rsidRPr="00101CCB">
              <w:rPr>
                <w:b/>
                <w:i/>
              </w:rPr>
              <w:t>ning seetõttu</w:t>
            </w:r>
            <w:r w:rsidRPr="00101CCB">
              <w:t xml:space="preserve"> ei </w:t>
            </w:r>
            <w:r w:rsidRPr="00101CCB">
              <w:rPr>
                <w:b/>
                <w:i/>
              </w:rPr>
              <w:t>ole kriisilahendussubjektist</w:t>
            </w:r>
            <w:r w:rsidRPr="00101CCB">
              <w:t xml:space="preserve">, </w:t>
            </w:r>
            <w:r w:rsidRPr="00101CCB">
              <w:rPr>
                <w:b/>
                <w:i/>
              </w:rPr>
              <w:t>vaheüksusest ja likvideerimissubjektist koosneva ahela kaudu kaudselt märgitud</w:t>
            </w:r>
            <w:r w:rsidRPr="00101CCB">
              <w:t xml:space="preserve"> sisemise MRELi </w:t>
            </w:r>
            <w:r w:rsidRPr="00101CCB">
              <w:rPr>
                <w:b/>
                <w:i/>
              </w:rPr>
              <w:t>täitmiseks kõlblikke vahendeid.</w:t>
            </w:r>
            <w:r w:rsidRPr="00101CCB">
              <w:t xml:space="preserve"> Maksejõuetuse korral ei ole kriisilahendusstrateegias ette nähtud, et kriisilahendussubjekt peaks</w:t>
            </w:r>
            <w:r w:rsidRPr="00101CCB">
              <w:rPr>
                <w:b/>
                <w:i/>
              </w:rPr>
              <w:t xml:space="preserve"> toetama</w:t>
            </w:r>
            <w:r w:rsidRPr="00101CCB">
              <w:t xml:space="preserve"> likvideerimissubjekti. See tähendab, et kahjumi ülekandmist likvideerimissubjektilt kriisilahendussubjektile vaheüksuse kaudu ei eeldata, samuti ei eeldata kapitali suunamist vastupidises suunas. See mahaarvamisele kuuluvate osaluste ulatuse kohandamine sisemise MRELi täitmiseks kõlblike vahendite kaudsel märkimisel ei mõjutaks seega raamistiku usaldatavusnõuete usaldusväärsust.</w:t>
            </w:r>
          </w:p>
        </w:tc>
        <w:tc>
          <w:tcPr>
            <w:tcW w:w="4876" w:type="dxa"/>
            <w:hideMark/>
          </w:tcPr>
          <w:p w:rsidR="00932D06" w:rsidRPr="00101CCB" w:rsidRDefault="008D2DA5">
            <w:pPr>
              <w:pStyle w:val="Normal6"/>
              <w:rPr>
                <w:szCs w:val="24"/>
              </w:rPr>
            </w:pPr>
            <w:r w:rsidRPr="00101CCB">
              <w:t>(8)</w:t>
            </w:r>
            <w:r w:rsidRPr="00101CCB">
              <w:tab/>
            </w:r>
            <w:r w:rsidRPr="00101CCB">
              <w:rPr>
                <w:b/>
                <w:i/>
              </w:rPr>
              <w:t>Kriisilahendusasutustel on kriisilahenduse kavade koostamisel ja kriisilahendusaluste gruppide kriisilahenduskõlblikkuse hindamisel võimalik asuda seisukohale</w:t>
            </w:r>
            <w:r w:rsidRPr="00101CCB">
              <w:t xml:space="preserve">, et </w:t>
            </w:r>
            <w:r w:rsidRPr="00101CCB">
              <w:rPr>
                <w:b/>
                <w:i/>
              </w:rPr>
              <w:t>grupi</w:t>
            </w:r>
            <w:r w:rsidRPr="00101CCB">
              <w:t xml:space="preserve"> ettevõtja kvalifitseerub likvideerimissubjektiks, </w:t>
            </w:r>
            <w:r w:rsidRPr="00101CCB">
              <w:rPr>
                <w:b/>
                <w:i/>
              </w:rPr>
              <w:t xml:space="preserve">kuna selle ettevõtja suhtes </w:t>
            </w:r>
            <w:r w:rsidRPr="00101CCB">
              <w:t xml:space="preserve">ei </w:t>
            </w:r>
            <w:r w:rsidRPr="00101CCB">
              <w:rPr>
                <w:b/>
                <w:i/>
              </w:rPr>
              <w:t>ole ette nähtud allahindamise ja konverteerimise õiguse kasutamist. Sellisel juhul ei pruugi grupi ettevõtjal olla vaja hoida omavahendeid ja kõlblikke kohustusi, mis ületavad omavahendite nõudeid. Sellisel juhul tuleks</w:t>
            </w:r>
            <w:r w:rsidRPr="00101CCB">
              <w:t xml:space="preserve"> vaheüksustelt nõuda, et nad arvaksid oma </w:t>
            </w:r>
            <w:r w:rsidRPr="00101CCB">
              <w:rPr>
                <w:b/>
                <w:i/>
              </w:rPr>
              <w:t>sisemisest</w:t>
            </w:r>
            <w:r w:rsidRPr="00101CCB">
              <w:t xml:space="preserve"> MRELi täitmise võimest maha oma osalused omavahendites, mille on emiteerinud likvideerimissubjektid</w:t>
            </w:r>
            <w:r w:rsidRPr="00101CCB">
              <w:rPr>
                <w:b/>
                <w:i/>
              </w:rPr>
              <w:t>, kelle suhtes</w:t>
            </w:r>
            <w:r w:rsidRPr="00101CCB">
              <w:t xml:space="preserve"> ei </w:t>
            </w:r>
            <w:r w:rsidRPr="00101CCB">
              <w:rPr>
                <w:b/>
                <w:i/>
              </w:rPr>
              <w:t>kohaldata</w:t>
            </w:r>
            <w:r w:rsidRPr="00101CCB">
              <w:t xml:space="preserve"> MRELi </w:t>
            </w:r>
            <w:r w:rsidRPr="00101CCB">
              <w:rPr>
                <w:b/>
                <w:i/>
              </w:rPr>
              <w:t>otsust. Neilt</w:t>
            </w:r>
            <w:r w:rsidRPr="00101CCB">
              <w:t xml:space="preserve"> ei </w:t>
            </w:r>
            <w:r w:rsidRPr="00101CCB">
              <w:rPr>
                <w:b/>
                <w:i/>
              </w:rPr>
              <w:t>tohiks siiski nõuda</w:t>
            </w:r>
            <w:r w:rsidRPr="00101CCB">
              <w:t xml:space="preserve">, </w:t>
            </w:r>
            <w:r w:rsidRPr="00101CCB">
              <w:rPr>
                <w:b/>
                <w:i/>
              </w:rPr>
              <w:t>et nad arvaksid maha kohustused, mis vastaksid</w:t>
            </w:r>
            <w:r w:rsidRPr="00101CCB">
              <w:t xml:space="preserve"> sisemise MRELi </w:t>
            </w:r>
            <w:r w:rsidRPr="00101CCB">
              <w:rPr>
                <w:b/>
                <w:i/>
              </w:rPr>
              <w:t>täitmise tingimustele</w:t>
            </w:r>
            <w:r w:rsidRPr="00101CCB">
              <w:t xml:space="preserve"> Maksejõuetuse korral ei ole kriisilahendusstrateegias ette nähtud, et kriisilahendussubjekt peaks likvideerimissubjekti</w:t>
            </w:r>
            <w:r w:rsidRPr="00101CCB">
              <w:rPr>
                <w:b/>
                <w:i/>
              </w:rPr>
              <w:t xml:space="preserve"> rekapitaliseerima</w:t>
            </w:r>
            <w:r w:rsidRPr="00101CCB">
              <w:t>. See tähendab, et kahjumi ülekandmist likvideerimissubjektilt kriisilahendussubjektile vaheüksuse kaudu</w:t>
            </w:r>
            <w:r w:rsidRPr="00101CCB">
              <w:rPr>
                <w:b/>
                <w:i/>
              </w:rPr>
              <w:t xml:space="preserve"> suuremas summas kui kehtivad omavahendite nõuded</w:t>
            </w:r>
            <w:r w:rsidRPr="00101CCB">
              <w:t xml:space="preserve"> ei eeldata, samuti ei eeldata kapitali suunamist vastupidises suunas. See mahaarvamisele kuuluvate osaluste ulatuse kohandamine sisemise MRELi täitmiseks kõlblike vahendite kaudsel märkimisel ei mõjutaks seega raamistiku usaldatavusnõuete usaldusväärsust.</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7</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9</w:t>
      </w:r>
      <w:r w:rsidRPr="00101CC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(9)</w:t>
            </w:r>
            <w:r w:rsidRPr="00101CCB">
              <w:tab/>
              <w:t xml:space="preserve">Määruse (EL) nr 575/2013 artikli 77 lõikes 2 ja artiklis 78a sätestatud kõlblike kohustuste instrumentide vähendamiseks loa andmise korra (mida kohaldatakse ka finantsinstitutsioonide ning ettevõtjate suhtes, kelle suhtes kohaldatakse MRELi, ning MRELi täitmiseks emiteeritud kohustuste suhtes) peamine eesmärk on võimaldada kriisilahendusasutustel jälgida meetmeid, mille tulemusena vähendatakse kõlblike kohustuste mahtu, ning keelata mis tahes meetmed, mis tooksid kaasa vähendamise üle taseme, mida kriisilahendusasutused peavad sobivaks. Kui kriisilahendusasutus ei ole vastu võtnud otsust, millega määratakse kindlaks MREL seoses finantsinstitutsiooni või ettevõtjaga, ei ole see eesmärk asjakohane. </w:t>
            </w:r>
            <w:r w:rsidRPr="00101CCB">
              <w:rPr>
                <w:b/>
                <w:i/>
              </w:rPr>
              <w:t>Lisaks ei ole finantsinstitutsioonidel või ettevõtjatel, kelle suhtes ei kohaldata MRELi kindlaksmääramise otsust, bilansis kõlblikke kohustusi.</w:t>
            </w:r>
            <w:r w:rsidRPr="00101CCB">
              <w:t xml:space="preserve"> Finantsinstitutsioonidelt või ettevõtjatelt, kelle suhtes ei ole vastu võetud MRELi kindlaksmääramise otsust, ei tohiks seetõttu nõuda kriisilahendusasutuselt eelneva loa taotlemist selliste kohustuste tagasikutsumiseks, lunastamiseks, tagasimaksmiseks või tagasiostmiseks, mis vastaksid MRELi täitmise kõlblikkuse nõuetele.</w:t>
            </w:r>
          </w:p>
        </w:tc>
        <w:tc>
          <w:tcPr>
            <w:tcW w:w="4876" w:type="dxa"/>
            <w:hideMark/>
          </w:tcPr>
          <w:p w:rsidR="00932D06" w:rsidRPr="00101CCB" w:rsidRDefault="008D2DA5">
            <w:pPr>
              <w:pStyle w:val="Normal6"/>
              <w:rPr>
                <w:szCs w:val="24"/>
              </w:rPr>
            </w:pPr>
            <w:r w:rsidRPr="00101CCB">
              <w:t>(9)</w:t>
            </w:r>
            <w:r w:rsidRPr="00101CCB">
              <w:tab/>
              <w:t>Määruse (EL) nr 575/2013 artikli 77 lõikes 2 ja artiklis 78a sätestatud kõlblike kohustuste instrumentide vähendamiseks loa andmise korra (mida kohaldatakse ka finantsinstitutsioonide ning ettevõtjate suhtes, kelle suhtes kohaldatakse MRELi, ning MRELi täitmiseks emiteeritud kohustuste suhtes) peamine eesmärk on võimaldada kriisilahendusasutustel jälgida meetmeid, mille tulemusena vähendatakse kõlblike kohustuste mahtu, ning keelata mis tahes meetmed, mis tooksid kaasa vähendamise üle taseme, mida kriisilahendusasutused peavad sobivaks. Kui kriisilahendusasutus ei ole vastu võtnud otsust, millega määratakse kindlaks MREL seoses finantsinstitutsiooni või ettevõtjaga, ei ole see eesmärk asjakohane. Finantsinstitutsioonidelt või ettevõtjatelt, kelle suhtes ei ole vastu võetud MRELi kindlaksmääramise otsust, ei tohiks seetõttu nõuda kriisilahendusasutuselt eelneva loa taotlemist selliste kohustuste tagasikutsumiseks, lunastamiseks, tagasimaksmiseks või tagasiostmiseks, mis vastaksid MRELi täitmise kõlblikkuse nõuetele.</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8</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10</w:t>
      </w:r>
      <w:r w:rsidRPr="00101CC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(10)</w:t>
            </w:r>
            <w:r w:rsidRPr="00101CCB">
              <w:tab/>
              <w:t xml:space="preserve">On likvideerimissubjekte, kelle MREL </w:t>
            </w:r>
            <w:r w:rsidRPr="00101CCB">
              <w:rPr>
                <w:b/>
                <w:i/>
              </w:rPr>
              <w:t>ületab omavahendite nõuete</w:t>
            </w:r>
            <w:r w:rsidRPr="00101CCB">
              <w:t xml:space="preserve"> summat</w:t>
            </w:r>
            <w:r w:rsidRPr="00101CCB">
              <w:rPr>
                <w:b/>
                <w:i/>
              </w:rPr>
              <w:t>, millisel</w:t>
            </w:r>
            <w:r w:rsidRPr="00101CCB">
              <w:t xml:space="preserve"> juhul </w:t>
            </w:r>
            <w:r w:rsidRPr="00101CCB">
              <w:rPr>
                <w:b/>
                <w:i/>
              </w:rPr>
              <w:t>peaks kriisilahendusasutustel olema võimalik MREL kindlaks määrata</w:t>
            </w:r>
            <w:r w:rsidRPr="00101CCB">
              <w:t>.</w:t>
            </w:r>
            <w:r w:rsidRPr="00101CCB">
              <w:rPr>
                <w:b/>
                <w:i/>
              </w:rPr>
              <w:t xml:space="preserve"> See MREL tuleks kindlaks</w:t>
            </w:r>
            <w:bookmarkStart w:id="2" w:name="_GoBack"/>
            <w:bookmarkEnd w:id="2"/>
            <w:r w:rsidRPr="00101CCB">
              <w:rPr>
                <w:b/>
                <w:i/>
              </w:rPr>
              <w:t xml:space="preserve"> määrata tasemel</w:t>
            </w:r>
            <w:r w:rsidRPr="00101CCB">
              <w:t xml:space="preserve">, mis </w:t>
            </w:r>
            <w:r w:rsidRPr="00101CCB">
              <w:rPr>
                <w:b/>
                <w:i/>
              </w:rPr>
              <w:t>ületab</w:t>
            </w:r>
            <w:r w:rsidRPr="00101CCB">
              <w:t xml:space="preserve"> kahjumi </w:t>
            </w:r>
            <w:r w:rsidRPr="00101CCB">
              <w:rPr>
                <w:b/>
                <w:i/>
              </w:rPr>
              <w:t>katmise summat</w:t>
            </w:r>
            <w:r w:rsidRPr="00101CCB">
              <w:t xml:space="preserve">, </w:t>
            </w:r>
            <w:r w:rsidRPr="00101CCB">
              <w:rPr>
                <w:b/>
                <w:i/>
              </w:rPr>
              <w:t>kui kriisilahendusasutused leiavad</w:t>
            </w:r>
            <w:r w:rsidRPr="00101CCB">
              <w:t xml:space="preserve">, </w:t>
            </w:r>
            <w:r w:rsidRPr="00101CCB">
              <w:rPr>
                <w:b/>
                <w:i/>
              </w:rPr>
              <w:t>et selline summa</w:t>
            </w:r>
            <w:r w:rsidRPr="00101CCB">
              <w:t xml:space="preserve"> on vajalik </w:t>
            </w:r>
            <w:r w:rsidRPr="00101CCB">
              <w:rPr>
                <w:b/>
                <w:i/>
              </w:rPr>
              <w:t>finantsstabiilsuse kaitsmiseks või finantssüsteemile ülekandumise riski</w:t>
            </w:r>
            <w:r w:rsidRPr="00101CCB">
              <w:t xml:space="preserve"> maandamiseks. </w:t>
            </w:r>
            <w:r w:rsidRPr="00101CCB">
              <w:rPr>
                <w:b/>
                <w:i/>
              </w:rPr>
              <w:t>Sellistes olukordades</w:t>
            </w:r>
            <w:r w:rsidRPr="00101CCB">
              <w:t xml:space="preserve"> peaks</w:t>
            </w:r>
            <w:r w:rsidRPr="00101CCB">
              <w:rPr>
                <w:b/>
                <w:i/>
              </w:rPr>
              <w:t xml:space="preserve"> likvideerimissubjekt</w:t>
            </w:r>
            <w:r w:rsidRPr="00101CCB">
              <w:t xml:space="preserve"> täitma MRELi ning teda ei tohiks vabastada määruse (EL) nr 575/2013 artikli 77 lõikes 2 ja artiklis 78a sätestatud eelneva loa taotlemise korra järgimisest. Mis tahes vaheüksustelt, mis kuuluvad asjaomase likvideerimissubjektiga samasse kriisilahendusalusesse gruppi, tuleks jätkuvalt nõuda, et nad arvaksid oma sisemise MRELi täitmise võimest maha oma osaluse kõnealuse likvideerimissubjekti emiteeritud sisemise MRELi täitmiseks kõlblikes vahendites. Kuna likvideerimismenetlus toimub juriidilise isiku tasandil, peaksid likvideerimissubjektid, kelle suhtes kohaldatakse veel MRELi, täitma nõuet ainult individuaalsel alusel. Lisaks ei ole teatavad asjaomase kohustuse omandiõigusega seotud kõlblikkusnõuded asjakohased, sest </w:t>
            </w:r>
            <w:r w:rsidRPr="00101CCB">
              <w:rPr>
                <w:b/>
                <w:i/>
              </w:rPr>
              <w:t>puudub vajadus tagada kahjumi ja kapitali ülekandmine likvideerimissubjektilt kriisilahendussubjektile,</w:t>
            </w:r>
            <w:r w:rsidRPr="00101CCB">
              <w:t xml:space="preserve"> ning seetõttu ei tuleks neid kohaldada.</w:t>
            </w:r>
          </w:p>
        </w:tc>
        <w:tc>
          <w:tcPr>
            <w:tcW w:w="4876" w:type="dxa"/>
            <w:hideMark/>
          </w:tcPr>
          <w:p w:rsidR="00932D06" w:rsidRPr="00101CCB" w:rsidRDefault="008D2DA5" w:rsidP="000A7B09">
            <w:pPr>
              <w:pStyle w:val="Normal6"/>
              <w:rPr>
                <w:szCs w:val="24"/>
              </w:rPr>
            </w:pPr>
            <w:r w:rsidRPr="00101CCB">
              <w:t>(10)</w:t>
            </w:r>
            <w:r w:rsidRPr="00101CCB">
              <w:tab/>
              <w:t xml:space="preserve">On likvideerimissubjekte, kelle MREL </w:t>
            </w:r>
            <w:r w:rsidRPr="00101CCB">
              <w:rPr>
                <w:b/>
                <w:i/>
              </w:rPr>
              <w:t>peaks ületama kahjumi katmise</w:t>
            </w:r>
            <w:r w:rsidRPr="00101CCB">
              <w:t xml:space="preserve"> summat</w:t>
            </w:r>
            <w:r w:rsidRPr="00101CCB">
              <w:rPr>
                <w:b/>
                <w:i/>
              </w:rPr>
              <w:t>. Sellisel</w:t>
            </w:r>
            <w:r w:rsidRPr="00101CCB">
              <w:t xml:space="preserve"> juhul </w:t>
            </w:r>
            <w:r w:rsidRPr="00101CCB">
              <w:rPr>
                <w:b/>
                <w:i/>
              </w:rPr>
              <w:t>leiavad kriisilahendusasutused, et selline suurem summa on vajalik finantsstabiilsuse kaitsmiseks või finantssüsteemile ülekandumise riski maandamiseks</w:t>
            </w:r>
            <w:r w:rsidRPr="00101CCB">
              <w:t xml:space="preserve">. </w:t>
            </w:r>
            <w:r w:rsidRPr="00101CCB">
              <w:rPr>
                <w:b/>
                <w:i/>
              </w:rPr>
              <w:t>Sellistes olukordades peaksid kriisilahendusasutused määrama likvideerimissubjektile MRELi</w:t>
            </w:r>
            <w:r w:rsidRPr="00101CCB">
              <w:t xml:space="preserve">, mis </w:t>
            </w:r>
            <w:r w:rsidRPr="00101CCB">
              <w:rPr>
                <w:b/>
                <w:i/>
              </w:rPr>
              <w:t>koosneb</w:t>
            </w:r>
            <w:r w:rsidRPr="00101CCB">
              <w:t xml:space="preserve"> kahjumi </w:t>
            </w:r>
            <w:r w:rsidRPr="00101CCB">
              <w:rPr>
                <w:b/>
                <w:i/>
              </w:rPr>
              <w:t>katmiseks piisavast summast</w:t>
            </w:r>
            <w:r w:rsidRPr="00101CCB">
              <w:t xml:space="preserve">, </w:t>
            </w:r>
            <w:r w:rsidRPr="00101CCB">
              <w:rPr>
                <w:b/>
                <w:i/>
              </w:rPr>
              <w:t>millele lisandub summa</w:t>
            </w:r>
            <w:r w:rsidRPr="00101CCB">
              <w:t xml:space="preserve">, </w:t>
            </w:r>
            <w:r w:rsidRPr="00101CCB">
              <w:rPr>
                <w:b/>
                <w:i/>
              </w:rPr>
              <w:t>mis</w:t>
            </w:r>
            <w:r w:rsidRPr="00101CCB">
              <w:t xml:space="preserve"> on vajalik </w:t>
            </w:r>
            <w:r w:rsidRPr="00101CCB">
              <w:rPr>
                <w:b/>
                <w:i/>
              </w:rPr>
              <w:t>kriisilahendusasutuste tuvastatud võimalike riskide nõuetekohaseks</w:t>
            </w:r>
            <w:r w:rsidRPr="00101CCB">
              <w:t xml:space="preserve"> maandamiseks. </w:t>
            </w:r>
            <w:r w:rsidRPr="00101CCB">
              <w:rPr>
                <w:b/>
                <w:i/>
              </w:rPr>
              <w:t>Likvideerimissubjekt</w:t>
            </w:r>
            <w:r w:rsidRPr="00101CCB">
              <w:t xml:space="preserve"> peaks täitma MRELi ning teda ei tohiks vabastada määruse (EL) nr 575/2013 artikli 77 lõikes 2 ja artiklis 78a sätestatud eelneva loa taotlemise korra järgimisest. Mis tahes vaheüksustelt, mis kuuluvad asjaomase likvideerimissubjektiga samasse kriisilahendusalusesse gruppi, tuleks jätkuvalt nõuda, et nad arvaksid oma sisemise MRELi täitmise võimest maha oma osaluse kõnealuse likvideerimissubjekti emiteeritud sisemise MRELi täitmiseks kõlblikes vahendites. Kuna likvideerimismenetlus toimub juriidilise isiku tasandil, peaksid likvideerimissubjektid, kelle suhtes kohaldatakse veel MRELi, täitma nõuet ainult individuaalsel alusel. Lisaks ei ole teatavad asjaomase kohustuse omandiõigusega seotud kõlblikkusnõuded asjakohased, sest </w:t>
            </w:r>
            <w:r w:rsidRPr="00101CCB">
              <w:rPr>
                <w:b/>
                <w:i/>
              </w:rPr>
              <w:t>allahindamise ja konverteerimise õiguse kasutamiseta puuduks vajadus säilitada kriisilahendussubjekti kontroll tütarettevõtja üle</w:t>
            </w:r>
            <w:r w:rsidRPr="00101CCB">
              <w:t xml:space="preserve"> ning seetõttu ei tuleks neid kohaldada.</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9</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Põhjendus 14</w:t>
      </w:r>
      <w:r w:rsidRPr="00101CC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(14)</w:t>
            </w:r>
            <w:r w:rsidRPr="00101CCB">
              <w:tab/>
              <w:t xml:space="preserve">Kuna käesoleva direktiivi eesmärke, nimelt kohandada likvideerimissubjektide MRELi raamistiku kohast kohtlemist ja </w:t>
            </w:r>
            <w:r w:rsidRPr="00101CCB">
              <w:rPr>
                <w:b/>
                <w:i/>
              </w:rPr>
              <w:t>võimalusi täita sisemist MRELi</w:t>
            </w:r>
            <w:r w:rsidRPr="00101CCB">
              <w:t xml:space="preserve"> konsolideeritud alusel, ei suuda liikmesriigid piisavalt saavutada, küll aga saab neid paremini saavutada liidu tasandil juba kehtestatud eeskirjade muutmisega, võib liit võtta meetmeid kooskõlas Euroopa Liidu lepingu artiklis 5 sätestatud subsidiaarsuse põhimõttega. Kõnealuses artiklis sätestatud proportsionaalsuse põhimõtte kohaselt ei lähe käesolev direktiiv nimetatud eesmärkide saavutamiseks vajalikust kaugemale,</w:t>
            </w:r>
          </w:p>
        </w:tc>
        <w:tc>
          <w:tcPr>
            <w:tcW w:w="4876" w:type="dxa"/>
            <w:hideMark/>
          </w:tcPr>
          <w:p w:rsidR="00932D06" w:rsidRPr="00101CCB" w:rsidRDefault="008D2DA5">
            <w:pPr>
              <w:pStyle w:val="Normal6"/>
              <w:rPr>
                <w:szCs w:val="24"/>
              </w:rPr>
            </w:pPr>
            <w:r w:rsidRPr="00101CCB">
              <w:t>(14)</w:t>
            </w:r>
            <w:r w:rsidRPr="00101CCB">
              <w:tab/>
              <w:t xml:space="preserve">Kuna käesoleva direktiivi eesmärke, nimelt kohandada likvideerimissubjektide MRELi raamistiku kohast kohtlemist ja </w:t>
            </w:r>
            <w:r w:rsidRPr="00101CCB">
              <w:rPr>
                <w:b/>
                <w:i/>
              </w:rPr>
              <w:t>kriisilahendusasutuste võimalust määrata sisemine MREL kindlaks</w:t>
            </w:r>
            <w:r w:rsidRPr="00101CCB">
              <w:t xml:space="preserve"> konsolideeritud alusel, ei suuda liikmesriigid piisavalt saavutada, küll aga saab neid paremini saavutada liidu tasandil juba kehtestatud eeskirjade muutmisega, võib liit võtta meetmeid kooskõlas Euroopa Liidu lepingu artiklis 5 sätestatud subsidiaarsuse põhimõttega. Kõnealuses artiklis sätestatud proportsionaalsuse põhimõtte kohaselt ei lähe käesolev direktiiv nimetatud eesmärkide saavutamiseks vajalikust kaugemale,</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10</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1 – lõik 1 – punkt 1</w:t>
      </w:r>
      <w:r w:rsidRPr="00101CCB">
        <w:rPr>
          <w:rStyle w:val="HideTWBExt"/>
          <w:b w:val="0"/>
        </w:rPr>
        <w:t>&lt;/Article&gt;</w:t>
      </w:r>
    </w:p>
    <w:p w:rsidR="00932D06" w:rsidRPr="00101CCB" w:rsidRDefault="008D2DA5" w:rsidP="00932D06">
      <w:pPr>
        <w:keepNext/>
      </w:pPr>
      <w:r w:rsidRPr="00101CCB">
        <w:rPr>
          <w:rStyle w:val="HideTWBExt"/>
        </w:rPr>
        <w:t>&lt;DocAmend2&gt;</w:t>
      </w:r>
      <w:r w:rsidRPr="00101CCB">
        <w:t>Direktiiv 2014/59/EL</w:t>
      </w:r>
      <w:r w:rsidRPr="00101CCB">
        <w:rPr>
          <w:rStyle w:val="HideTWBExt"/>
        </w:rPr>
        <w:t>&lt;/DocAmend2&gt;</w:t>
      </w:r>
    </w:p>
    <w:p w:rsidR="00932D06" w:rsidRPr="00101CCB" w:rsidRDefault="008D2DA5" w:rsidP="00932D06">
      <w:r w:rsidRPr="00101CCB">
        <w:rPr>
          <w:rStyle w:val="HideTWBExt"/>
        </w:rPr>
        <w:t>&lt;Article2&gt;</w:t>
      </w:r>
      <w:r w:rsidRPr="00101CCB">
        <w:t>Artikkel 2 – lõik 1 – punkt 83aa</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„83aa)</w:t>
            </w:r>
            <w:r w:rsidRPr="00101CCB">
              <w:tab/>
              <w:t xml:space="preserve">likvideerimissubjekt“ – liidus asutatud juriidiline isik, kelle suhtes grupi kriisilahenduse kavas või konsolideerimisgruppi mittekuuluvate ettevõtjate puhul kriisilahenduse kavas on ette nähtud, et ettevõtja likvideeritakse </w:t>
            </w:r>
            <w:r w:rsidRPr="00101CCB">
              <w:rPr>
                <w:b/>
                <w:i/>
              </w:rPr>
              <w:t>korrakohaselt kooskõlas kohaldatava siseriikliku õigusega</w:t>
            </w:r>
            <w:r w:rsidRPr="00101CCB">
              <w:t>;“.</w:t>
            </w:r>
          </w:p>
        </w:tc>
        <w:tc>
          <w:tcPr>
            <w:tcW w:w="4876" w:type="dxa"/>
            <w:hideMark/>
          </w:tcPr>
          <w:p w:rsidR="00932D06" w:rsidRPr="00101CCB" w:rsidRDefault="008D2DA5" w:rsidP="000A7B09">
            <w:pPr>
              <w:pStyle w:val="Normal6"/>
              <w:rPr>
                <w:szCs w:val="24"/>
              </w:rPr>
            </w:pPr>
            <w:r w:rsidRPr="00101CCB">
              <w:t>„83aa)</w:t>
            </w:r>
            <w:r w:rsidRPr="00101CCB">
              <w:tab/>
              <w:t xml:space="preserve">likvideerimissubjekt“ – liidus asutatud juriidiline isik, kelle suhtes grupi kriisilahenduse kavas või konsolideerimisgruppi mittekuuluvate ettevõtjate puhul kriisilahenduse kavas on ette nähtud, et ettevõtja likvideeritakse </w:t>
            </w:r>
            <w:r w:rsidRPr="00101CCB">
              <w:rPr>
                <w:b/>
                <w:i/>
              </w:rPr>
              <w:t>tavalises maksejõuetusmenetluses või ei nähta ette allahindamise ja konverteerimise õiguse kasutamist selle ettevõtja suhtes</w:t>
            </w:r>
            <w:r w:rsidRPr="00101CCB">
              <w:t>;“.</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11</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1 – lõik 1 – punkt 2 – alapunkt b</w:t>
      </w:r>
      <w:r w:rsidRPr="00101CCB">
        <w:rPr>
          <w:rStyle w:val="HideTWBExt"/>
          <w:b w:val="0"/>
        </w:rPr>
        <w:t>&lt;/Article&gt;</w:t>
      </w:r>
    </w:p>
    <w:p w:rsidR="00932D06" w:rsidRPr="00101CCB" w:rsidRDefault="008D2DA5" w:rsidP="00932D06">
      <w:pPr>
        <w:keepNext/>
      </w:pPr>
      <w:r w:rsidRPr="00101CCB">
        <w:rPr>
          <w:rStyle w:val="HideTWBExt"/>
        </w:rPr>
        <w:t>&lt;DocAmend2&gt;</w:t>
      </w:r>
      <w:r w:rsidRPr="00101CCB">
        <w:t>Direktiiv 2014/59/EL</w:t>
      </w:r>
      <w:r w:rsidRPr="00101CCB">
        <w:rPr>
          <w:rStyle w:val="HideTWBExt"/>
        </w:rPr>
        <w:t>&lt;/DocAmend2&gt;</w:t>
      </w:r>
    </w:p>
    <w:p w:rsidR="00932D06" w:rsidRPr="00101CCB" w:rsidRDefault="008D2DA5" w:rsidP="00932D06">
      <w:r w:rsidRPr="00101CCB">
        <w:rPr>
          <w:rStyle w:val="HideTWBExt"/>
        </w:rPr>
        <w:t>&lt;Article2&gt;</w:t>
      </w:r>
      <w:r w:rsidRPr="00101CCB">
        <w:t>Artikkel 45c – lõige 2a – lõik 2</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 xml:space="preserve">Erandina esimesest lõigust </w:t>
            </w:r>
            <w:r w:rsidRPr="00101CCB">
              <w:rPr>
                <w:b/>
                <w:i/>
              </w:rPr>
              <w:t>ja kui seda</w:t>
            </w:r>
            <w:r w:rsidRPr="00101CCB">
              <w:t xml:space="preserve"> on </w:t>
            </w:r>
            <w:r w:rsidRPr="00101CCB">
              <w:rPr>
                <w:b/>
                <w:i/>
              </w:rPr>
              <w:t>vaja finantsstabiilsuse kaitsmiseks või finantssüsteemis võimaliku ülekandumise riski piiramiseks, võivad kriisilahendusasutused erandkorras</w:t>
            </w:r>
            <w:r w:rsidRPr="00101CCB">
              <w:t xml:space="preserve"> määrata likvideerimissubjektide jaoks artikli 45 lõikes 1 osutatud </w:t>
            </w:r>
            <w:r w:rsidRPr="00101CCB">
              <w:rPr>
                <w:b/>
                <w:i/>
              </w:rPr>
              <w:t>individuaalse nõude</w:t>
            </w:r>
            <w:r w:rsidRPr="00101CCB">
              <w:t xml:space="preserve"> kindlaks summas, mis on piisav kahjumi katmiseks vastavalt käesoleva artikli lõike 2 punktile a</w:t>
            </w:r>
            <w:r w:rsidRPr="00101CCB">
              <w:rPr>
                <w:b/>
                <w:i/>
              </w:rPr>
              <w:t>, ja mida on suurendatud summani, mis on vajalik kõnealuste eesmärkide saavutamiseks</w:t>
            </w:r>
            <w:r w:rsidRPr="00101CCB">
              <w:t>. Sellistel juhtudel täidavad likvideerimissubjektid artikli 45 lõikes 1 osutatud nõude, kasutades üht või mitut järgmistest:</w:t>
            </w:r>
          </w:p>
        </w:tc>
        <w:tc>
          <w:tcPr>
            <w:tcW w:w="4876" w:type="dxa"/>
            <w:hideMark/>
          </w:tcPr>
          <w:p w:rsidR="00932D06" w:rsidRPr="00101CCB" w:rsidRDefault="008D2DA5">
            <w:pPr>
              <w:pStyle w:val="Normal6"/>
              <w:rPr>
                <w:szCs w:val="24"/>
              </w:rPr>
            </w:pPr>
            <w:r w:rsidRPr="00101CCB">
              <w:t xml:space="preserve">Erandina esimesest lõigust </w:t>
            </w:r>
            <w:r w:rsidRPr="00101CCB">
              <w:rPr>
                <w:b/>
                <w:i/>
              </w:rPr>
              <w:t>hindab kriisilahendusasutus, kas</w:t>
            </w:r>
            <w:r w:rsidRPr="00101CCB">
              <w:t xml:space="preserve"> on </w:t>
            </w:r>
            <w:r w:rsidRPr="00101CCB">
              <w:rPr>
                <w:b/>
                <w:i/>
              </w:rPr>
              <w:t>põhjendatud</w:t>
            </w:r>
            <w:r w:rsidRPr="00101CCB">
              <w:t xml:space="preserve"> määrata likvideerimissubjektide jaoks artikli 45 lõikes 1 osutatud </w:t>
            </w:r>
            <w:r w:rsidRPr="00101CCB">
              <w:rPr>
                <w:b/>
                <w:i/>
              </w:rPr>
              <w:t>individuaalne nõue</w:t>
            </w:r>
            <w:r w:rsidRPr="00101CCB">
              <w:t xml:space="preserve"> kindlaks summas</w:t>
            </w:r>
            <w:r w:rsidRPr="00101CCB">
              <w:rPr>
                <w:b/>
                <w:i/>
              </w:rPr>
              <w:t>, mis ületab summat</w:t>
            </w:r>
            <w:r w:rsidRPr="00101CCB">
              <w:t>, mis on piisav kahjumi katmiseks vastavalt käesoleva artikli lõike 2 punktile a</w:t>
            </w:r>
            <w:r w:rsidRPr="00101CCB">
              <w:rPr>
                <w:b/>
                <w:i/>
              </w:rPr>
              <w:t>. Kriisilahendusasutuse tehtava hindamise käigus analüüsitakse asjaomase likvideerimissubjekti maksejõuetuse võimalikke tagajärgi ning võetakse eelkõige arvesse selle võimalikku mõju finantsstabiilsusele ja finantssüsteemile ülekandumise riski</w:t>
            </w:r>
            <w:r w:rsidRPr="00101CCB">
              <w:t>. Sellistel juhtudel täidavad likvideerimissubjektid artikli 45 lõikes 1 osutatud nõude, kasutades üht või mitut järgmistest:</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12</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1 – lõik 1 – punkt 2 – alapunkt b</w:t>
      </w:r>
      <w:r w:rsidRPr="00101CCB">
        <w:rPr>
          <w:rStyle w:val="HideTWBExt"/>
          <w:b w:val="0"/>
        </w:rPr>
        <w:t>&lt;/Article&gt;</w:t>
      </w:r>
    </w:p>
    <w:p w:rsidR="00932D06" w:rsidRPr="00101CCB" w:rsidRDefault="008D2DA5" w:rsidP="00932D06">
      <w:pPr>
        <w:keepNext/>
      </w:pPr>
      <w:r w:rsidRPr="00101CCB">
        <w:rPr>
          <w:rStyle w:val="HideTWBExt"/>
        </w:rPr>
        <w:t>&lt;DocAmend2&gt;</w:t>
      </w:r>
      <w:r w:rsidRPr="00101CCB">
        <w:t>Direktiiv 2014/59/EL</w:t>
      </w:r>
      <w:r w:rsidRPr="00101CCB">
        <w:rPr>
          <w:rStyle w:val="HideTWBExt"/>
        </w:rPr>
        <w:t>&lt;/DocAmend2&gt;</w:t>
      </w:r>
    </w:p>
    <w:p w:rsidR="00932D06" w:rsidRPr="00101CCB" w:rsidRDefault="008D2DA5" w:rsidP="00932D06">
      <w:r w:rsidRPr="00101CCB">
        <w:rPr>
          <w:rStyle w:val="HideTWBExt"/>
        </w:rPr>
        <w:t>&lt;Article2&gt;</w:t>
      </w:r>
      <w:r w:rsidRPr="00101CCB">
        <w:t>Artikkel 45c – lõige 2a – lõik 4</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 xml:space="preserve">Määruse (EL) nr 575/2013 artikli 72e lõike 5 kohaselt ei arvata maha osalusi </w:t>
            </w:r>
            <w:r w:rsidRPr="00101CCB">
              <w:rPr>
                <w:b/>
                <w:i/>
              </w:rPr>
              <w:t>omavahenditesse kuuluvates instrumentides või kohustustes</w:t>
            </w:r>
            <w:r w:rsidRPr="00101CCB">
              <w:t>, mille on emiteerinud tütarettevõtjad, kes on likvideerimissubjektid, kelle suhtes kriisilahendusasutus ei ole kindlaks määranud artikli 45 lõikes 1 osutatud nõuet.</w:t>
            </w:r>
          </w:p>
        </w:tc>
        <w:tc>
          <w:tcPr>
            <w:tcW w:w="4876" w:type="dxa"/>
            <w:hideMark/>
          </w:tcPr>
          <w:p w:rsidR="00932D06" w:rsidRPr="00101CCB" w:rsidRDefault="008D2DA5">
            <w:pPr>
              <w:pStyle w:val="Normal6"/>
              <w:rPr>
                <w:szCs w:val="24"/>
              </w:rPr>
            </w:pPr>
            <w:r w:rsidRPr="00101CCB">
              <w:t xml:space="preserve">Määruse (EL) nr 575/2013 artikli 72e lõike 5 kohaselt ei arvata maha osalusi </w:t>
            </w:r>
            <w:r w:rsidRPr="00101CCB">
              <w:rPr>
                <w:b/>
                <w:i/>
              </w:rPr>
              <w:t>kohustustes, mis ei kvalifitseeru omavahenditesse kuuluvateks instrumentideks</w:t>
            </w:r>
            <w:r w:rsidRPr="00101CCB">
              <w:t>, mille on emiteerinud tütarettevõtjad, kes on likvideerimissubjektid, kelle suhtes kriisilahendusasutus ei ole kindlaks määranud artikli 45 lõikes 1 osutatud nõuet.</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13</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1 – lõik 1 – punkt 3 – alapunkt a</w:t>
      </w:r>
      <w:r w:rsidRPr="00101CCB">
        <w:rPr>
          <w:rStyle w:val="HideTWBExt"/>
          <w:b w:val="0"/>
        </w:rPr>
        <w:t>&lt;/Article&gt;</w:t>
      </w:r>
    </w:p>
    <w:p w:rsidR="00932D06" w:rsidRPr="00101CCB" w:rsidRDefault="008D2DA5" w:rsidP="00932D06">
      <w:pPr>
        <w:keepNext/>
      </w:pPr>
      <w:r w:rsidRPr="00101CCB">
        <w:rPr>
          <w:rStyle w:val="HideTWBExt"/>
        </w:rPr>
        <w:t>&lt;DocAmend2&gt;</w:t>
      </w:r>
      <w:r w:rsidRPr="00101CCB">
        <w:t>Direktiiv 2014/59/EL</w:t>
      </w:r>
      <w:r w:rsidRPr="00101CCB">
        <w:rPr>
          <w:rStyle w:val="HideTWBExt"/>
        </w:rPr>
        <w:t>&lt;/DocAmend2&gt;</w:t>
      </w:r>
    </w:p>
    <w:p w:rsidR="00932D06" w:rsidRPr="00101CCB" w:rsidRDefault="008D2DA5" w:rsidP="00932D06">
      <w:r w:rsidRPr="00101CCB">
        <w:rPr>
          <w:rStyle w:val="HideTWBExt"/>
        </w:rPr>
        <w:t>&lt;Article2&gt;</w:t>
      </w:r>
      <w:r w:rsidRPr="00101CCB">
        <w:t>Artikkel 45f – lõige 1 – lõik 3a – alapunkt a – alapunkt ii</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ii)</w:t>
            </w:r>
            <w:r w:rsidRPr="00101CCB">
              <w:tab/>
              <w:t xml:space="preserve">tütarettevõtja suhtes kohaldatakse direktiivi 2013/36/EL artiklis 104a osutatud nõuet </w:t>
            </w:r>
            <w:r w:rsidRPr="00101CCB">
              <w:rPr>
                <w:b/>
                <w:i/>
              </w:rPr>
              <w:t>või kombineeritud puhvri nõuet</w:t>
            </w:r>
            <w:r w:rsidRPr="00101CCB">
              <w:t xml:space="preserve"> konsolideeritud alusel;</w:t>
            </w:r>
          </w:p>
        </w:tc>
        <w:tc>
          <w:tcPr>
            <w:tcW w:w="4876" w:type="dxa"/>
            <w:hideMark/>
          </w:tcPr>
          <w:p w:rsidR="00932D06" w:rsidRPr="00101CCB" w:rsidRDefault="008D2DA5">
            <w:pPr>
              <w:pStyle w:val="Normal6"/>
              <w:rPr>
                <w:szCs w:val="24"/>
              </w:rPr>
            </w:pPr>
            <w:r w:rsidRPr="00101CCB">
              <w:t>ii)</w:t>
            </w:r>
            <w:r w:rsidRPr="00101CCB">
              <w:tab/>
              <w:t xml:space="preserve">tütarettevõtja suhtes kohaldatakse direktiivi 2013/36/EL artiklis 104a osutatud nõuet </w:t>
            </w:r>
            <w:r w:rsidRPr="00101CCB">
              <w:rPr>
                <w:b/>
                <w:i/>
              </w:rPr>
              <w:t>ainult</w:t>
            </w:r>
            <w:r w:rsidRPr="00101CCB">
              <w:t xml:space="preserve"> konsolideeritud alusel;</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14</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1 – lõik 1 – punkt 3 – alapunkt a</w:t>
      </w:r>
      <w:r w:rsidRPr="00101CCB">
        <w:rPr>
          <w:rStyle w:val="HideTWBExt"/>
          <w:b w:val="0"/>
        </w:rPr>
        <w:t>&lt;/Article&gt;</w:t>
      </w:r>
    </w:p>
    <w:p w:rsidR="00932D06" w:rsidRPr="00101CCB" w:rsidRDefault="008D2DA5" w:rsidP="00932D06">
      <w:pPr>
        <w:keepNext/>
      </w:pPr>
      <w:r w:rsidRPr="00101CCB">
        <w:rPr>
          <w:rStyle w:val="HideTWBExt"/>
        </w:rPr>
        <w:t>&lt;DocAmend2&gt;</w:t>
      </w:r>
      <w:r w:rsidRPr="00101CCB">
        <w:t>Direktiiv 2014/59/EL</w:t>
      </w:r>
      <w:r w:rsidRPr="00101CCB">
        <w:rPr>
          <w:rStyle w:val="HideTWBExt"/>
        </w:rPr>
        <w:t>&lt;/DocAmend2&gt;</w:t>
      </w:r>
    </w:p>
    <w:p w:rsidR="00932D06" w:rsidRPr="00101CCB" w:rsidRDefault="008D2DA5" w:rsidP="00932D06">
      <w:r w:rsidRPr="00101CCB">
        <w:rPr>
          <w:rStyle w:val="HideTWBExt"/>
        </w:rPr>
        <w:t>&lt;Article2&gt;</w:t>
      </w:r>
      <w:r w:rsidRPr="00101CCB">
        <w:t>Artikkel 45f – lõige 1 – lõik 3a – punkt b</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70F9B">
              <w:t>(</w:t>
            </w:r>
            <w:r w:rsidRPr="00101CCB">
              <w:t>b)</w:t>
            </w:r>
            <w:r w:rsidRPr="00101CCB">
              <w:tab/>
              <w:t>artiklis 45c sätestatud nõude konsolideeritud alusel täitmisel ei ole</w:t>
            </w:r>
            <w:r w:rsidRPr="00101CCB">
              <w:rPr>
                <w:b/>
                <w:i/>
              </w:rPr>
              <w:t xml:space="preserve"> olulist</w:t>
            </w:r>
            <w:r w:rsidRPr="00101CCB">
              <w:t xml:space="preserve"> negatiivset mõju kriisilahendusaluse grupi kriisilahenduskõlblikkusele ega asjaomase tütarettevõtja või muude kriisilahendusaluse grupi ettevõtjate asjaomaste kapitaliinstrumentide ja kõlblike kohustuste artikli 59 kohasele allahindamisele või konverteerimisele.“;</w:t>
            </w:r>
          </w:p>
        </w:tc>
        <w:tc>
          <w:tcPr>
            <w:tcW w:w="4876" w:type="dxa"/>
            <w:hideMark/>
          </w:tcPr>
          <w:p w:rsidR="00932D06" w:rsidRPr="00101CCB" w:rsidRDefault="00170F9B">
            <w:pPr>
              <w:pStyle w:val="Normal6"/>
              <w:rPr>
                <w:szCs w:val="24"/>
              </w:rPr>
            </w:pPr>
            <w:r>
              <w:t>(</w:t>
            </w:r>
            <w:r w:rsidR="008D2DA5" w:rsidRPr="00101CCB">
              <w:t>b)</w:t>
            </w:r>
            <w:r w:rsidR="008D2DA5" w:rsidRPr="00101CCB">
              <w:tab/>
              <w:t>artiklis 45c sätestatud nõude konsolideeritud alusel täitmisel ei ole negatiivset mõju kriisilahendusaluse grupi kriisilahenduskõlblikkusele ega asjaomase tütarettevõtja või muude kriisilahendusaluse grupi ettevõtjate asjaomaste kapitaliinstrumentide ja kõlblike kohustuste artikli 59 kohasele allahindamisele või konverteerimisele.“;</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15</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2 – lõik 1 – punkt 2 – punkt b</w:t>
      </w:r>
      <w:r w:rsidRPr="00101CCB">
        <w:rPr>
          <w:rStyle w:val="HideTWBExt"/>
          <w:b w:val="0"/>
        </w:rPr>
        <w:t>&lt;/Article&gt;</w:t>
      </w:r>
    </w:p>
    <w:p w:rsidR="00932D06" w:rsidRPr="00101CCB" w:rsidRDefault="008D2DA5" w:rsidP="00932D06">
      <w:pPr>
        <w:keepNext/>
      </w:pPr>
      <w:r w:rsidRPr="00101CCB">
        <w:rPr>
          <w:rStyle w:val="HideTWBExt"/>
        </w:rPr>
        <w:t>&lt;DocAmend2&gt;</w:t>
      </w:r>
      <w:r w:rsidRPr="00101CCB">
        <w:t>Määrus (EL) nr 806/2014</w:t>
      </w:r>
      <w:r w:rsidRPr="00101CCB">
        <w:rPr>
          <w:rStyle w:val="HideTWBExt"/>
        </w:rPr>
        <w:t>&lt;/DocAmend2&gt;</w:t>
      </w:r>
    </w:p>
    <w:p w:rsidR="00932D06" w:rsidRPr="00101CCB" w:rsidRDefault="008D2DA5" w:rsidP="00932D06">
      <w:r w:rsidRPr="00101CCB">
        <w:rPr>
          <w:rStyle w:val="HideTWBExt"/>
        </w:rPr>
        <w:t>&lt;Article2&gt;</w:t>
      </w:r>
      <w:r w:rsidRPr="00101CCB">
        <w:t>Artikkel 12d – lõige 2a – lõik 2</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 xml:space="preserve">Erandina esimesest lõigust </w:t>
            </w:r>
            <w:r w:rsidRPr="00101CCB">
              <w:rPr>
                <w:b/>
                <w:i/>
              </w:rPr>
              <w:t>ja kui seda</w:t>
            </w:r>
            <w:r w:rsidRPr="00101CCB">
              <w:t xml:space="preserve"> on </w:t>
            </w:r>
            <w:r w:rsidRPr="00101CCB">
              <w:rPr>
                <w:b/>
                <w:i/>
              </w:rPr>
              <w:t>vaja finantsstabiilsuse kaitsmiseks või finantssüsteemis võimaliku ülekandumise riski piiramiseks, võib kriisilahendusnõukogu erandkorras</w:t>
            </w:r>
            <w:r w:rsidRPr="00101CCB">
              <w:t xml:space="preserve"> määrata likvideerimissubjektide jaoks artikli 12a lõikes 1 osutatud </w:t>
            </w:r>
            <w:r w:rsidRPr="00101CCB">
              <w:rPr>
                <w:b/>
                <w:i/>
              </w:rPr>
              <w:t>individuaalse nõude</w:t>
            </w:r>
            <w:r w:rsidRPr="00101CCB">
              <w:t xml:space="preserve"> kindlaks summas, mis on piisav kahjumi katmiseks vastavalt käesoleva artikli lõike 2 punktile a</w:t>
            </w:r>
            <w:r w:rsidRPr="00101CCB">
              <w:rPr>
                <w:b/>
                <w:i/>
              </w:rPr>
              <w:t>, ja mida on suurendatud summani, mis on vajalik kõnealuste eesmärkide saavutamiseks</w:t>
            </w:r>
            <w:r w:rsidRPr="00101CCB">
              <w:t>. Sellistel juhtudel täidavad likvideerimissubjektid artikli 12a lõikes 1 osutatud nõude, kasutades üht või mitut järgmistest:</w:t>
            </w:r>
          </w:p>
        </w:tc>
        <w:tc>
          <w:tcPr>
            <w:tcW w:w="4876" w:type="dxa"/>
            <w:hideMark/>
          </w:tcPr>
          <w:p w:rsidR="00932D06" w:rsidRPr="00101CCB" w:rsidRDefault="008D2DA5">
            <w:pPr>
              <w:pStyle w:val="Normal6"/>
              <w:rPr>
                <w:szCs w:val="24"/>
              </w:rPr>
            </w:pPr>
            <w:r w:rsidRPr="00101CCB">
              <w:t xml:space="preserve">Erandina esimesest lõigust </w:t>
            </w:r>
            <w:r w:rsidRPr="00101CCB">
              <w:rPr>
                <w:b/>
                <w:i/>
              </w:rPr>
              <w:t>hindab kriisilahendusnõukogu, kas</w:t>
            </w:r>
            <w:r w:rsidRPr="00101CCB">
              <w:t xml:space="preserve"> on </w:t>
            </w:r>
            <w:r w:rsidRPr="00101CCB">
              <w:rPr>
                <w:b/>
                <w:i/>
              </w:rPr>
              <w:t>põhjendatud</w:t>
            </w:r>
            <w:r w:rsidRPr="00101CCB">
              <w:t xml:space="preserve"> määrata likvideerimissubjektide jaoks artikli 12a lõikes 1 osutatud </w:t>
            </w:r>
            <w:r w:rsidRPr="00101CCB">
              <w:rPr>
                <w:b/>
                <w:i/>
              </w:rPr>
              <w:t>individuaalne nõue</w:t>
            </w:r>
            <w:r w:rsidRPr="00101CCB">
              <w:t xml:space="preserve"> kindlaks summas</w:t>
            </w:r>
            <w:r w:rsidRPr="00101CCB">
              <w:rPr>
                <w:b/>
                <w:i/>
              </w:rPr>
              <w:t>, mis ületab summat</w:t>
            </w:r>
            <w:r w:rsidRPr="00101CCB">
              <w:t>, mis on piisav kahjumi katmiseks vastavalt käesoleva artikli lõike 2 punktile a</w:t>
            </w:r>
            <w:r w:rsidRPr="00101CCB">
              <w:rPr>
                <w:b/>
                <w:i/>
              </w:rPr>
              <w:t>. Kriisilahendusnõukogu tehtava hindamise käigus analüüsitakse asjaomase likvideerimissubjekti maksejõuetuse võimalikke tagajärgi ning võetakse eelkõige arvesse selle võimalikku mõju finantsstabiilsusele ja finantssüsteemile ülekandumise riski</w:t>
            </w:r>
            <w:r w:rsidRPr="00101CCB">
              <w:t>. Sellistel juhtudel täidavad likvideerimissubjektid artikli 12a lõikes 1 osutatud nõude, kasutades üht või mitut järgmistest:</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16</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2 – lõik 1 – punkt 2 – punkt b</w:t>
      </w:r>
      <w:r w:rsidRPr="00101CCB">
        <w:rPr>
          <w:rStyle w:val="HideTWBExt"/>
          <w:b w:val="0"/>
        </w:rPr>
        <w:t>&lt;/Article&gt;</w:t>
      </w:r>
    </w:p>
    <w:p w:rsidR="00932D06" w:rsidRPr="00101CCB" w:rsidRDefault="008D2DA5" w:rsidP="00932D06">
      <w:pPr>
        <w:keepNext/>
      </w:pPr>
      <w:r w:rsidRPr="00101CCB">
        <w:rPr>
          <w:rStyle w:val="HideTWBExt"/>
        </w:rPr>
        <w:t>&lt;DocAmend2&gt;</w:t>
      </w:r>
      <w:r w:rsidRPr="00101CCB">
        <w:t>Määrus (EL) nr 806/2014</w:t>
      </w:r>
      <w:r w:rsidRPr="00101CCB">
        <w:rPr>
          <w:rStyle w:val="HideTWBExt"/>
        </w:rPr>
        <w:t>&lt;/DocAmend2&gt;</w:t>
      </w:r>
    </w:p>
    <w:p w:rsidR="00932D06" w:rsidRPr="00101CCB" w:rsidRDefault="008D2DA5" w:rsidP="00932D06">
      <w:r w:rsidRPr="00101CCB">
        <w:rPr>
          <w:rStyle w:val="HideTWBExt"/>
        </w:rPr>
        <w:t>&lt;Article2&gt;</w:t>
      </w:r>
      <w:r w:rsidRPr="00101CCB">
        <w:t>Artikkel 12d – lõige 2a – lõik 4</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 xml:space="preserve">Määruse (EL) nr 575/2013 artikli 72e lõike 5 kohaselt ei arvata maha osalusi </w:t>
            </w:r>
            <w:r w:rsidRPr="00101CCB">
              <w:rPr>
                <w:b/>
                <w:i/>
              </w:rPr>
              <w:t>omavahenditesse kuuluvates instrumentides või kohustustes</w:t>
            </w:r>
            <w:r w:rsidRPr="00101CCB">
              <w:t>, mille on emiteerinud tütarettevõtjad, kes on likvideerimissubjektid, kelle suhtes kriisilahendusasutus ei ole kindlaks määranud artikli 12a lõikes 1 osutatud nõuet.</w:t>
            </w:r>
          </w:p>
        </w:tc>
        <w:tc>
          <w:tcPr>
            <w:tcW w:w="4876" w:type="dxa"/>
            <w:hideMark/>
          </w:tcPr>
          <w:p w:rsidR="00932D06" w:rsidRPr="00101CCB" w:rsidRDefault="008D2DA5">
            <w:pPr>
              <w:pStyle w:val="Normal6"/>
              <w:rPr>
                <w:szCs w:val="24"/>
              </w:rPr>
            </w:pPr>
            <w:r w:rsidRPr="00101CCB">
              <w:t xml:space="preserve">Määruse (EL) nr 575/2013 artikli 72e lõike 5 kohaselt ei arvata maha osalusi </w:t>
            </w:r>
            <w:r w:rsidRPr="00101CCB">
              <w:rPr>
                <w:b/>
                <w:i/>
              </w:rPr>
              <w:t>kohustustes, mis ei kvalifitseeru omavahenditesse kuuluvateks instrumentideks</w:t>
            </w:r>
            <w:r w:rsidRPr="00101CCB">
              <w:t>, mille on emiteerinud tütarettevõtjad, kes on likvideerimissubjektid, kelle suhtes kriisilahendusasutus ei ole kindlaks määranud artikli 12a lõikes 1 osutatud nõuet.</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17</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2 – lõik 1 – punkt 3 – alapunkt a</w:t>
      </w:r>
      <w:r w:rsidRPr="00101CCB">
        <w:rPr>
          <w:rStyle w:val="HideTWBExt"/>
          <w:b w:val="0"/>
        </w:rPr>
        <w:t>&lt;/Article&gt;</w:t>
      </w:r>
    </w:p>
    <w:p w:rsidR="00932D06" w:rsidRPr="00101CCB" w:rsidRDefault="008D2DA5" w:rsidP="00932D06">
      <w:pPr>
        <w:keepNext/>
      </w:pPr>
      <w:r w:rsidRPr="00101CCB">
        <w:rPr>
          <w:rStyle w:val="HideTWBExt"/>
        </w:rPr>
        <w:t>&lt;DocAmend2&gt;</w:t>
      </w:r>
      <w:r w:rsidRPr="00101CCB">
        <w:t>Määrus (EL) nr 806/2014</w:t>
      </w:r>
      <w:r w:rsidRPr="00101CCB">
        <w:rPr>
          <w:rStyle w:val="HideTWBExt"/>
        </w:rPr>
        <w:t>&lt;/DocAmend2&gt;</w:t>
      </w:r>
    </w:p>
    <w:p w:rsidR="00932D06" w:rsidRPr="00101CCB" w:rsidRDefault="008D2DA5" w:rsidP="00932D06">
      <w:r w:rsidRPr="00101CCB">
        <w:rPr>
          <w:rStyle w:val="HideTWBExt"/>
        </w:rPr>
        <w:t>&lt;Article2&gt;</w:t>
      </w:r>
      <w:r w:rsidRPr="00101CCB">
        <w:t>Artikkel 12g – lõige 1 – lõik 3a – punkt a – alapunkt ii</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ii)</w:t>
            </w:r>
            <w:r w:rsidRPr="00101CCB">
              <w:tab/>
              <w:t xml:space="preserve">tütarettevõtja suhtes kohaldatakse direktiivi 2013/36/EL artiklis 104a osutatud nõuet </w:t>
            </w:r>
            <w:r w:rsidRPr="00101CCB">
              <w:rPr>
                <w:b/>
                <w:i/>
              </w:rPr>
              <w:t>või kombineeritud puhvri nõuet</w:t>
            </w:r>
            <w:r w:rsidRPr="00101CCB">
              <w:t xml:space="preserve"> konsolideeritud alusel;</w:t>
            </w:r>
          </w:p>
        </w:tc>
        <w:tc>
          <w:tcPr>
            <w:tcW w:w="4876" w:type="dxa"/>
            <w:hideMark/>
          </w:tcPr>
          <w:p w:rsidR="00932D06" w:rsidRPr="00101CCB" w:rsidRDefault="008D2DA5">
            <w:pPr>
              <w:pStyle w:val="Normal6"/>
              <w:rPr>
                <w:szCs w:val="24"/>
              </w:rPr>
            </w:pPr>
            <w:r w:rsidRPr="00101CCB">
              <w:t>ii)</w:t>
            </w:r>
            <w:r w:rsidRPr="00101CCB">
              <w:tab/>
              <w:t xml:space="preserve">tütarettevõtja suhtes kohaldatakse direktiivi 2013/36/EL artiklis 104a osutatud nõuet </w:t>
            </w:r>
            <w:r w:rsidRPr="00101CCB">
              <w:rPr>
                <w:b/>
                <w:i/>
              </w:rPr>
              <w:t>ainult</w:t>
            </w:r>
            <w:r w:rsidRPr="00101CCB">
              <w:t xml:space="preserve"> konsolideeritud alusel;</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18</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2 – lõik 1 – punkt 3 – alapunkt a</w:t>
      </w:r>
      <w:r w:rsidRPr="00101CCB">
        <w:rPr>
          <w:rStyle w:val="HideTWBExt"/>
          <w:b w:val="0"/>
        </w:rPr>
        <w:t>&lt;/Article&gt;</w:t>
      </w:r>
    </w:p>
    <w:p w:rsidR="00932D06" w:rsidRPr="00101CCB" w:rsidRDefault="008D2DA5" w:rsidP="00932D06">
      <w:pPr>
        <w:keepNext/>
      </w:pPr>
      <w:r w:rsidRPr="00101CCB">
        <w:rPr>
          <w:rStyle w:val="HideTWBExt"/>
        </w:rPr>
        <w:t>&lt;DocAmend2&gt;</w:t>
      </w:r>
      <w:r w:rsidRPr="00101CCB">
        <w:t>Määrus (EL) nr 806/2014</w:t>
      </w:r>
      <w:r w:rsidRPr="00101CCB">
        <w:rPr>
          <w:rStyle w:val="HideTWBExt"/>
        </w:rPr>
        <w:t>&lt;/DocAmend2&gt;</w:t>
      </w:r>
    </w:p>
    <w:p w:rsidR="00932D06" w:rsidRPr="00101CCB" w:rsidRDefault="008D2DA5" w:rsidP="00932D06">
      <w:r w:rsidRPr="00101CCB">
        <w:rPr>
          <w:rStyle w:val="HideTWBExt"/>
        </w:rPr>
        <w:t>&lt;Article2&gt;</w:t>
      </w:r>
      <w:r w:rsidRPr="00101CCB">
        <w:t>Artikkel 12g – lõige 1 – lõik 3a – punkt b</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70F9B">
              <w:t>(</w:t>
            </w:r>
            <w:r w:rsidRPr="00101CCB">
              <w:t>b)</w:t>
            </w:r>
            <w:r w:rsidRPr="00101CCB">
              <w:tab/>
              <w:t>artiklis 12d sätestatud nõude konsolideeritud alusel täitmisel ei ole</w:t>
            </w:r>
            <w:r w:rsidRPr="00101CCB">
              <w:rPr>
                <w:b/>
                <w:i/>
              </w:rPr>
              <w:t xml:space="preserve"> olulist</w:t>
            </w:r>
            <w:r w:rsidRPr="00101CCB">
              <w:t xml:space="preserve"> negatiivset mõju kriisilahendusaluse grupi kriisilahenduskõlblikkusele ega asjaomase finantsinstitutsiooni või tütarettevõtja või muude kriisilahendusaluse grupi ettevõtjate asjaomaste kapitaliinstrumentide ja kõlblike kohustuste artikli 21 kohasele allahindamisele või konverteerimisele.“;</w:t>
            </w:r>
          </w:p>
        </w:tc>
        <w:tc>
          <w:tcPr>
            <w:tcW w:w="4876" w:type="dxa"/>
            <w:hideMark/>
          </w:tcPr>
          <w:p w:rsidR="00932D06" w:rsidRPr="00101CCB" w:rsidRDefault="00170F9B">
            <w:pPr>
              <w:pStyle w:val="Normal6"/>
              <w:rPr>
                <w:szCs w:val="24"/>
              </w:rPr>
            </w:pPr>
            <w:r>
              <w:t>(</w:t>
            </w:r>
            <w:r w:rsidR="008D2DA5" w:rsidRPr="00101CCB">
              <w:t>b)</w:t>
            </w:r>
            <w:r w:rsidR="008D2DA5" w:rsidRPr="00101CCB">
              <w:tab/>
              <w:t>artiklis 12d sätestatud nõude konsolideeritud alusel täitmisel ei ole negatiivset mõju kriisilahendusaluse grupi kriisilahenduskõlblikkusele ega asjaomase finantsinstitutsiooni või tütarettevõtja või muude kriisilahendusaluse grupi ettevõtjate asjaomaste kapitaliinstrumentide ja kõlblike kohustuste artikli 21 kohasele allahindamisele või konverteerimisele.“;</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932D06" w:rsidRPr="00101CCB" w:rsidRDefault="008D2DA5" w:rsidP="00932D06">
      <w:pPr>
        <w:rPr>
          <w:szCs w:val="24"/>
        </w:rPr>
      </w:pPr>
      <w:r w:rsidRPr="00101CCB">
        <w:rPr>
          <w:rStyle w:val="HideTWBExt"/>
        </w:rPr>
        <w:t>&lt;/Amend&gt;</w:t>
      </w:r>
    </w:p>
    <w:p w:rsidR="00932D06" w:rsidRPr="00101CCB" w:rsidRDefault="008D2DA5" w:rsidP="00932D06">
      <w:pPr>
        <w:pStyle w:val="AMNumberTabs0"/>
        <w:keepNext/>
      </w:pPr>
      <w:r w:rsidRPr="00101CCB">
        <w:rPr>
          <w:rStyle w:val="HideTWBExt"/>
          <w:b w:val="0"/>
        </w:rPr>
        <w:t>&lt;Amend&gt;</w:t>
      </w:r>
      <w:r w:rsidRPr="00101CCB">
        <w:t>Muudatusettepanek</w:t>
      </w:r>
      <w:r w:rsidRPr="00101CCB">
        <w:tab/>
      </w:r>
      <w:r w:rsidRPr="00101CCB">
        <w:tab/>
      </w:r>
      <w:r w:rsidRPr="00101CCB">
        <w:rPr>
          <w:rStyle w:val="HideTWBExt"/>
          <w:b w:val="0"/>
        </w:rPr>
        <w:t>&lt;NumAm&gt;</w:t>
      </w:r>
      <w:r w:rsidRPr="00101CCB">
        <w:t>19</w:t>
      </w:r>
      <w:r w:rsidRPr="00101CCB">
        <w:rPr>
          <w:rStyle w:val="HideTWBExt"/>
          <w:b w:val="0"/>
        </w:rPr>
        <w:t>&lt;/NumAm&gt;</w:t>
      </w:r>
    </w:p>
    <w:p w:rsidR="00932D06" w:rsidRPr="00101CCB" w:rsidRDefault="008D2DA5" w:rsidP="00932D06">
      <w:pPr>
        <w:pStyle w:val="NormalBold12b"/>
        <w:keepNext/>
      </w:pPr>
      <w:r w:rsidRPr="00101CCB">
        <w:rPr>
          <w:rStyle w:val="HideTWBExt"/>
          <w:b w:val="0"/>
        </w:rPr>
        <w:t>&lt;DocAmend&gt;</w:t>
      </w:r>
      <w:r w:rsidRPr="00101CCB">
        <w:t>Ettepanek võtta vastu direktiiv</w:t>
      </w:r>
      <w:r w:rsidRPr="00101CCB">
        <w:rPr>
          <w:rStyle w:val="HideTWBExt"/>
          <w:b w:val="0"/>
        </w:rPr>
        <w:t>&lt;/DocAmend&gt;</w:t>
      </w:r>
    </w:p>
    <w:p w:rsidR="00932D06" w:rsidRPr="00101CCB" w:rsidRDefault="008D2DA5" w:rsidP="00932D06">
      <w:pPr>
        <w:pStyle w:val="NormalBold"/>
      </w:pPr>
      <w:r w:rsidRPr="00101CCB">
        <w:rPr>
          <w:rStyle w:val="HideTWBExt"/>
          <w:b w:val="0"/>
        </w:rPr>
        <w:t>&lt;Article&gt;</w:t>
      </w:r>
      <w:r w:rsidRPr="00101CCB">
        <w:t>Artikkel 2 – lõik 1 – punkt 3 – alapunkt b</w:t>
      </w:r>
      <w:r w:rsidRPr="00101CCB">
        <w:rPr>
          <w:rStyle w:val="HideTWBExt"/>
          <w:b w:val="0"/>
        </w:rPr>
        <w:t>&lt;/Article&gt;</w:t>
      </w:r>
    </w:p>
    <w:p w:rsidR="00932D06" w:rsidRPr="00101CCB" w:rsidRDefault="008D2DA5" w:rsidP="00932D06">
      <w:pPr>
        <w:keepNext/>
      </w:pPr>
      <w:r w:rsidRPr="00101CCB">
        <w:rPr>
          <w:rStyle w:val="HideTWBExt"/>
        </w:rPr>
        <w:t>&lt;DocAmend2&gt;</w:t>
      </w:r>
      <w:r w:rsidRPr="00101CCB">
        <w:t>Määrus (EL) nr 806/2014</w:t>
      </w:r>
      <w:r w:rsidRPr="00101CCB">
        <w:rPr>
          <w:rStyle w:val="HideTWBExt"/>
        </w:rPr>
        <w:t>&lt;/DocAmend2&gt;</w:t>
      </w:r>
    </w:p>
    <w:p w:rsidR="00932D06" w:rsidRPr="00101CCB" w:rsidRDefault="008D2DA5" w:rsidP="00932D06">
      <w:r w:rsidRPr="00101CCB">
        <w:rPr>
          <w:rStyle w:val="HideTWBExt"/>
        </w:rPr>
        <w:t>&lt;Article2&gt;</w:t>
      </w:r>
      <w:r w:rsidRPr="00101CCB">
        <w:t>Artikkel 12g – lõige 2a – lõik 2 – sissejuhatav osa</w:t>
      </w:r>
      <w:r w:rsidRPr="00101CC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A783D" w:rsidRPr="00101CCB" w:rsidTr="00932D06">
        <w:trPr>
          <w:jc w:val="center"/>
        </w:trPr>
        <w:tc>
          <w:tcPr>
            <w:tcW w:w="9752" w:type="dxa"/>
            <w:gridSpan w:val="2"/>
          </w:tcPr>
          <w:p w:rsidR="00932D06" w:rsidRPr="00101CCB" w:rsidRDefault="00932D06">
            <w:pPr>
              <w:keepNext/>
            </w:pPr>
          </w:p>
        </w:tc>
      </w:tr>
      <w:tr w:rsidR="000A783D" w:rsidRPr="00101CCB" w:rsidTr="00932D06">
        <w:trPr>
          <w:jc w:val="center"/>
        </w:trPr>
        <w:tc>
          <w:tcPr>
            <w:tcW w:w="4876" w:type="dxa"/>
            <w:hideMark/>
          </w:tcPr>
          <w:p w:rsidR="00932D06" w:rsidRPr="00101CCB" w:rsidRDefault="008D2DA5">
            <w:pPr>
              <w:pStyle w:val="ColumnHeading"/>
              <w:keepNext/>
            </w:pPr>
            <w:r w:rsidRPr="00101CCB">
              <w:t>Komisjoni ettepanek</w:t>
            </w:r>
          </w:p>
        </w:tc>
        <w:tc>
          <w:tcPr>
            <w:tcW w:w="4876" w:type="dxa"/>
            <w:hideMark/>
          </w:tcPr>
          <w:p w:rsidR="00932D06" w:rsidRPr="00101CCB" w:rsidRDefault="008D2DA5">
            <w:pPr>
              <w:pStyle w:val="ColumnHeading"/>
              <w:keepNext/>
            </w:pPr>
            <w:r w:rsidRPr="00101CCB">
              <w:t>Muudatusettepanek</w:t>
            </w:r>
          </w:p>
        </w:tc>
      </w:tr>
      <w:tr w:rsidR="000A783D" w:rsidRPr="00101CCB" w:rsidTr="00932D06">
        <w:trPr>
          <w:jc w:val="center"/>
        </w:trPr>
        <w:tc>
          <w:tcPr>
            <w:tcW w:w="4876" w:type="dxa"/>
            <w:hideMark/>
          </w:tcPr>
          <w:p w:rsidR="00932D06" w:rsidRPr="00101CCB" w:rsidRDefault="008D2DA5">
            <w:pPr>
              <w:pStyle w:val="Normal6"/>
            </w:pPr>
            <w:r w:rsidRPr="00101CCB">
              <w:t xml:space="preserve">Esimese lõigu punktides a ja b osutatud kohustused ei tohi ületada summat, mis määratakse kindlaks, lahutades konsolideerimisalasse kuuluva tütarettevõtja suhtes kohaldatava artikli </w:t>
            </w:r>
            <w:r w:rsidRPr="00101CCB">
              <w:rPr>
                <w:b/>
                <w:i/>
              </w:rPr>
              <w:t>45</w:t>
            </w:r>
            <w:r w:rsidRPr="00101CCB">
              <w:t xml:space="preserve"> lõikes 1 osutatud nõude summast kõigi järgmiste elementide summa:</w:t>
            </w:r>
          </w:p>
        </w:tc>
        <w:tc>
          <w:tcPr>
            <w:tcW w:w="4876" w:type="dxa"/>
            <w:hideMark/>
          </w:tcPr>
          <w:p w:rsidR="00932D06" w:rsidRPr="00101CCB" w:rsidRDefault="008D2DA5">
            <w:pPr>
              <w:pStyle w:val="Normal6"/>
              <w:rPr>
                <w:szCs w:val="24"/>
              </w:rPr>
            </w:pPr>
            <w:r w:rsidRPr="00101CCB">
              <w:t xml:space="preserve">Esimese lõigu punktides a ja b osutatud kohustused ei tohi ületada summat, mis määratakse kindlaks, lahutades konsolideerimisalasse kuuluva tütarettevõtja suhtes kohaldatava artikli </w:t>
            </w:r>
            <w:r w:rsidRPr="00101CCB">
              <w:rPr>
                <w:b/>
                <w:i/>
              </w:rPr>
              <w:t>12</w:t>
            </w:r>
            <w:r w:rsidRPr="00101CCB">
              <w:t xml:space="preserve"> lõikes 1 osutatud nõude summast kõigi järgmiste elementide summa:</w:t>
            </w:r>
          </w:p>
        </w:tc>
      </w:tr>
    </w:tbl>
    <w:p w:rsidR="00932D06" w:rsidRPr="00101CCB" w:rsidRDefault="008D2DA5" w:rsidP="00932D06">
      <w:pPr>
        <w:pStyle w:val="Olang"/>
        <w:rPr>
          <w:sz w:val="24"/>
          <w:szCs w:val="24"/>
        </w:rPr>
      </w:pPr>
      <w:r w:rsidRPr="00101CCB">
        <w:rPr>
          <w:sz w:val="24"/>
          <w:szCs w:val="24"/>
        </w:rPr>
        <w:t xml:space="preserve">Or. </w:t>
      </w:r>
      <w:r w:rsidRPr="00101CCB">
        <w:rPr>
          <w:rStyle w:val="HideTWBExt"/>
        </w:rPr>
        <w:t>&lt;Original&gt;</w:t>
      </w:r>
      <w:r w:rsidRPr="00101CCB">
        <w:rPr>
          <w:rStyle w:val="HideTWBInt"/>
          <w:sz w:val="24"/>
          <w:szCs w:val="24"/>
        </w:rPr>
        <w:t>{EN}</w:t>
      </w:r>
      <w:r w:rsidRPr="00101CCB">
        <w:rPr>
          <w:sz w:val="24"/>
          <w:szCs w:val="24"/>
        </w:rPr>
        <w:t>en</w:t>
      </w:r>
      <w:r w:rsidRPr="00101CCB">
        <w:rPr>
          <w:rStyle w:val="HideTWBExt"/>
        </w:rPr>
        <w:t>&lt;/Original&gt;</w:t>
      </w:r>
    </w:p>
    <w:p w:rsidR="00467F7B" w:rsidRPr="00101CCB" w:rsidRDefault="008D2DA5" w:rsidP="00467F7B">
      <w:r w:rsidRPr="00101CCB">
        <w:rPr>
          <w:rStyle w:val="HideTWBExt"/>
        </w:rPr>
        <w:t>&lt;/Amend&gt;</w:t>
      </w:r>
    </w:p>
    <w:p w:rsidR="002669B6" w:rsidRPr="00101CCB" w:rsidRDefault="008D2DA5" w:rsidP="002669B6">
      <w:r w:rsidRPr="00101CCB">
        <w:rPr>
          <w:rStyle w:val="HideTWBExt"/>
        </w:rPr>
        <w:t>&lt;/RepeatBlock-Amend&gt;</w:t>
      </w:r>
    </w:p>
    <w:p w:rsidR="002669B6" w:rsidRPr="00101CCB" w:rsidRDefault="002669B6" w:rsidP="002669B6"/>
    <w:sectPr w:rsidR="002669B6" w:rsidRPr="00101CCB" w:rsidSect="00101CC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BC1" w:rsidRPr="00101CCB" w:rsidRDefault="008D2DA5">
      <w:r w:rsidRPr="00101CCB">
        <w:separator/>
      </w:r>
    </w:p>
  </w:endnote>
  <w:endnote w:type="continuationSeparator" w:id="0">
    <w:p w:rsidR="00B74BC1" w:rsidRPr="00101CCB" w:rsidRDefault="008D2DA5">
      <w:r w:rsidRPr="00101C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CCB" w:rsidRPr="00101CCB" w:rsidRDefault="00101CCB" w:rsidP="00101CCB">
    <w:pPr>
      <w:pStyle w:val="EPFooter"/>
    </w:pPr>
    <w:r w:rsidRPr="00101CCB">
      <w:t>PE</w:t>
    </w:r>
    <w:r w:rsidRPr="00101CCB">
      <w:rPr>
        <w:rStyle w:val="HideTWBExt"/>
      </w:rPr>
      <w:t>&lt;NoPE&gt;</w:t>
    </w:r>
    <w:r w:rsidRPr="00101CCB">
      <w:t>752.913</w:t>
    </w:r>
    <w:r w:rsidRPr="00101CCB">
      <w:rPr>
        <w:rStyle w:val="HideTWBExt"/>
      </w:rPr>
      <w:t>&lt;/NoPE&gt;&lt;Version&gt;</w:t>
    </w:r>
    <w:r w:rsidRPr="00101CCB">
      <w:t>v01-00</w:t>
    </w:r>
    <w:r w:rsidRPr="00101CCB">
      <w:rPr>
        <w:rStyle w:val="HideTWBExt"/>
      </w:rPr>
      <w:t>&lt;/Version&gt;</w:t>
    </w:r>
    <w:r w:rsidRPr="00101CCB">
      <w:tab/>
    </w:r>
    <w:r w:rsidRPr="00101CCB">
      <w:fldChar w:fldCharType="begin"/>
    </w:r>
    <w:r w:rsidRPr="00101CCB">
      <w:instrText xml:space="preserve"> PAGE  \* MERGEFORMAT </w:instrText>
    </w:r>
    <w:r w:rsidRPr="00101CCB">
      <w:fldChar w:fldCharType="separate"/>
    </w:r>
    <w:r w:rsidR="00170F9B">
      <w:rPr>
        <w:noProof/>
      </w:rPr>
      <w:t>14</w:t>
    </w:r>
    <w:r w:rsidRPr="00101CCB">
      <w:fldChar w:fldCharType="end"/>
    </w:r>
    <w:r w:rsidRPr="00101CCB">
      <w:t>/</w:t>
    </w:r>
    <w:r w:rsidR="00170F9B">
      <w:fldChar w:fldCharType="begin"/>
    </w:r>
    <w:r w:rsidR="00170F9B">
      <w:instrText xml:space="preserve"> NUMPAGES  \* MERGEFORMAT </w:instrText>
    </w:r>
    <w:r w:rsidR="00170F9B">
      <w:fldChar w:fldCharType="separate"/>
    </w:r>
    <w:r w:rsidR="00170F9B">
      <w:rPr>
        <w:noProof/>
      </w:rPr>
      <w:t>19</w:t>
    </w:r>
    <w:r w:rsidR="00170F9B">
      <w:rPr>
        <w:noProof/>
      </w:rPr>
      <w:fldChar w:fldCharType="end"/>
    </w:r>
    <w:r w:rsidRPr="00101CCB">
      <w:tab/>
    </w:r>
    <w:r w:rsidRPr="00101CCB">
      <w:rPr>
        <w:rStyle w:val="HideTWBExt"/>
      </w:rPr>
      <w:t>&lt;PathFdR&gt;</w:t>
    </w:r>
    <w:r w:rsidRPr="00101CCB">
      <w:t>PR\1285454ET.docx</w:t>
    </w:r>
    <w:r w:rsidRPr="00101CCB">
      <w:rPr>
        <w:rStyle w:val="HideTWBExt"/>
      </w:rPr>
      <w:t>&lt;/PathFdR&gt;</w:t>
    </w:r>
  </w:p>
  <w:p w:rsidR="0048211B" w:rsidRPr="00101CCB" w:rsidRDefault="00101CCB" w:rsidP="00101CCB">
    <w:pPr>
      <w:pStyle w:val="EPFooter2"/>
    </w:pPr>
    <w:r w:rsidRPr="00101CC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CCB" w:rsidRPr="00101CCB" w:rsidRDefault="00101CCB" w:rsidP="00101CCB">
    <w:pPr>
      <w:pStyle w:val="EPFooter"/>
    </w:pPr>
    <w:r w:rsidRPr="00101CCB">
      <w:rPr>
        <w:rStyle w:val="HideTWBExt"/>
      </w:rPr>
      <w:t>&lt;PathFdR&gt;</w:t>
    </w:r>
    <w:r w:rsidRPr="00101CCB">
      <w:t>PR\1285454ET.docx</w:t>
    </w:r>
    <w:r w:rsidRPr="00101CCB">
      <w:rPr>
        <w:rStyle w:val="HideTWBExt"/>
      </w:rPr>
      <w:t>&lt;/PathFdR&gt;</w:t>
    </w:r>
    <w:r w:rsidRPr="00101CCB">
      <w:tab/>
    </w:r>
    <w:r w:rsidRPr="00101CCB">
      <w:fldChar w:fldCharType="begin"/>
    </w:r>
    <w:r w:rsidRPr="00101CCB">
      <w:instrText xml:space="preserve"> PAGE  \* MERGEFORMAT </w:instrText>
    </w:r>
    <w:r w:rsidRPr="00101CCB">
      <w:fldChar w:fldCharType="separate"/>
    </w:r>
    <w:r w:rsidR="00170F9B">
      <w:rPr>
        <w:noProof/>
      </w:rPr>
      <w:t>13</w:t>
    </w:r>
    <w:r w:rsidRPr="00101CCB">
      <w:fldChar w:fldCharType="end"/>
    </w:r>
    <w:r w:rsidRPr="00101CCB">
      <w:t>/</w:t>
    </w:r>
    <w:r w:rsidR="00170F9B">
      <w:fldChar w:fldCharType="begin"/>
    </w:r>
    <w:r w:rsidR="00170F9B">
      <w:instrText xml:space="preserve"> NUMPAGES  \* MERGEFORMAT </w:instrText>
    </w:r>
    <w:r w:rsidR="00170F9B">
      <w:fldChar w:fldCharType="separate"/>
    </w:r>
    <w:r w:rsidR="00170F9B">
      <w:rPr>
        <w:noProof/>
      </w:rPr>
      <w:t>19</w:t>
    </w:r>
    <w:r w:rsidR="00170F9B">
      <w:rPr>
        <w:noProof/>
      </w:rPr>
      <w:fldChar w:fldCharType="end"/>
    </w:r>
    <w:r w:rsidRPr="00101CCB">
      <w:tab/>
      <w:t>PE</w:t>
    </w:r>
    <w:r w:rsidRPr="00101CCB">
      <w:rPr>
        <w:rStyle w:val="HideTWBExt"/>
      </w:rPr>
      <w:t>&lt;NoPE&gt;</w:t>
    </w:r>
    <w:r w:rsidRPr="00101CCB">
      <w:t>752.913</w:t>
    </w:r>
    <w:r w:rsidRPr="00101CCB">
      <w:rPr>
        <w:rStyle w:val="HideTWBExt"/>
      </w:rPr>
      <w:t>&lt;/NoPE&gt;&lt;Version&gt;</w:t>
    </w:r>
    <w:r w:rsidRPr="00101CCB">
      <w:t>v01-00</w:t>
    </w:r>
    <w:r w:rsidRPr="00101CCB">
      <w:rPr>
        <w:rStyle w:val="HideTWBExt"/>
      </w:rPr>
      <w:t>&lt;/Version&gt;</w:t>
    </w:r>
  </w:p>
  <w:p w:rsidR="0048211B" w:rsidRPr="00101CCB" w:rsidRDefault="00101CCB" w:rsidP="00101CCB">
    <w:pPr>
      <w:pStyle w:val="EPFooter2"/>
    </w:pPr>
    <w:r w:rsidRPr="00101CCB">
      <w:tab/>
    </w:r>
    <w:r w:rsidRPr="00101CCB">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CCB" w:rsidRPr="00101CCB" w:rsidRDefault="00101CCB" w:rsidP="00101CCB">
    <w:pPr>
      <w:pStyle w:val="EPFooter"/>
    </w:pPr>
    <w:r w:rsidRPr="00101CCB">
      <w:rPr>
        <w:rStyle w:val="HideTWBExt"/>
      </w:rPr>
      <w:t>&lt;PathFdR&gt;</w:t>
    </w:r>
    <w:r w:rsidRPr="00101CCB">
      <w:t>PR\1285454ET.docx</w:t>
    </w:r>
    <w:r w:rsidRPr="00101CCB">
      <w:rPr>
        <w:rStyle w:val="HideTWBExt"/>
      </w:rPr>
      <w:t>&lt;/PathFdR&gt;</w:t>
    </w:r>
    <w:r w:rsidRPr="00101CCB">
      <w:tab/>
    </w:r>
    <w:r w:rsidRPr="00101CCB">
      <w:tab/>
      <w:t>PE</w:t>
    </w:r>
    <w:r w:rsidRPr="00101CCB">
      <w:rPr>
        <w:rStyle w:val="HideTWBExt"/>
      </w:rPr>
      <w:t>&lt;NoPE&gt;</w:t>
    </w:r>
    <w:r w:rsidRPr="00101CCB">
      <w:t>752.913</w:t>
    </w:r>
    <w:r w:rsidRPr="00101CCB">
      <w:rPr>
        <w:rStyle w:val="HideTWBExt"/>
      </w:rPr>
      <w:t>&lt;/NoPE&gt;&lt;Version&gt;</w:t>
    </w:r>
    <w:r w:rsidRPr="00101CCB">
      <w:t>v01-00</w:t>
    </w:r>
    <w:r w:rsidRPr="00101CCB">
      <w:rPr>
        <w:rStyle w:val="HideTWBExt"/>
      </w:rPr>
      <w:t>&lt;/Version&gt;</w:t>
    </w:r>
  </w:p>
  <w:p w:rsidR="0048211B" w:rsidRPr="00101CCB" w:rsidRDefault="00101CCB" w:rsidP="00101CCB">
    <w:pPr>
      <w:pStyle w:val="EPFooter2"/>
    </w:pPr>
    <w:r w:rsidRPr="00101CCB">
      <w:t>ET</w:t>
    </w:r>
    <w:r w:rsidRPr="00101CCB">
      <w:tab/>
    </w:r>
    <w:r w:rsidRPr="00101CCB">
      <w:rPr>
        <w:b w:val="0"/>
        <w:i/>
        <w:color w:val="C0C0C0"/>
        <w:sz w:val="22"/>
      </w:rPr>
      <w:t>Ühinenud mitmekesisuses</w:t>
    </w:r>
    <w:r w:rsidRPr="00101CCB">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1B" w:rsidRPr="00101CCB" w:rsidRDefault="008D2DA5">
      <w:r w:rsidRPr="00101CCB">
        <w:separator/>
      </w:r>
    </w:p>
  </w:footnote>
  <w:footnote w:type="continuationSeparator" w:id="0">
    <w:p w:rsidR="0048211B" w:rsidRPr="00101CCB" w:rsidRDefault="008D2DA5">
      <w:r w:rsidRPr="00101CCB">
        <w:continuationSeparator/>
      </w:r>
    </w:p>
  </w:footnote>
  <w:footnote w:id="1">
    <w:p w:rsidR="0048211B" w:rsidRPr="00101CCB" w:rsidRDefault="008D2DA5">
      <w:pPr>
        <w:pStyle w:val="FootnoteText"/>
        <w:rPr>
          <w:sz w:val="24"/>
          <w:szCs w:val="24"/>
        </w:rPr>
      </w:pPr>
      <w:r w:rsidRPr="00101CCB">
        <w:rPr>
          <w:rStyle w:val="FootnoteReference"/>
          <w:sz w:val="24"/>
          <w:szCs w:val="24"/>
        </w:rPr>
        <w:footnoteRef/>
      </w:r>
      <w:r w:rsidRPr="00101CCB">
        <w:rPr>
          <w:sz w:val="24"/>
        </w:rPr>
        <w:t xml:space="preserve"> </w:t>
      </w:r>
      <w:r w:rsidRPr="00101CCB">
        <w:rPr>
          <w:sz w:val="24"/>
        </w:rPr>
        <w:tab/>
        <w:t>ELT C 307, 31.8.2023, lk 19.</w:t>
      </w:r>
    </w:p>
  </w:footnote>
  <w:footnote w:id="2">
    <w:p w:rsidR="0048211B" w:rsidRPr="00101CCB" w:rsidRDefault="008D2DA5">
      <w:pPr>
        <w:pStyle w:val="FootnoteText"/>
      </w:pPr>
      <w:r w:rsidRPr="00101CCB">
        <w:rPr>
          <w:rStyle w:val="FootnoteReference"/>
          <w:sz w:val="24"/>
          <w:szCs w:val="24"/>
        </w:rPr>
        <w:footnoteRef/>
      </w:r>
      <w:r w:rsidRPr="00101CCB">
        <w:t xml:space="preserve"> </w:t>
      </w:r>
      <w:r w:rsidRPr="00101CCB">
        <w:tab/>
      </w:r>
      <w:r w:rsidRPr="00170F9B">
        <w:rPr>
          <w:i/>
          <w:sz w:val="24"/>
        </w:rPr>
        <w:t>Euroopa Liidu Teatajas</w:t>
      </w:r>
      <w:r w:rsidRPr="00101CCB">
        <w:rPr>
          <w:sz w:val="24"/>
        </w:rPr>
        <w:t xml:space="preserve"> seni avaldamata.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DA5" w:rsidRDefault="008D2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DA5" w:rsidRDefault="008D2D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DA5" w:rsidRDefault="008D2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8872 HideTWBExt;}{\*\cs18 \additive \v\f1\fs20\cf15 _x000d__x000a_\spriority0 \styrsid16658872 HideTWBInt;}{\s19\ql \li0\ri0\sa120\nowidctlpar\wrapdefault\aspalpha\aspnum\faauto\adjustright\rin0\lin0\itap0 \rtlch\fcs1 \af0\afs20\alang1025 \ltrch\fcs0 \fs24\lang2057\langfe2057\cgrid\langnp2057\langfenp2057 _x000d__x000a_\sbasedon0 \snext19 \spriority0 \styrsid16658872 Normal6a;}{\s20\ql \li0\ri0\nowidctlpar\wrapdefault\aspalpha\aspnum\faauto\adjustright\rin0\lin0\itap0 \rtlch\fcs1 \af0\afs20\alang1025 \ltrch\fcs0 \b\fs24\lang2057\langfe2057\cgrid\langnp2057\langfenp2057 _x000d__x000a_\sbasedon0 \snext20 \spriority0 \styrsid16658872 NormalBold;}{\s21\ql \li0\ri0\sa240\nowidctlpar\wrapdefault\aspalpha\aspnum\faauto\adjustright\rin0\lin0\itap0 \rtlch\fcs1 \af0\afs20\alang1025 \ltrch\fcs0 _x000d__x000a_\i\fs24\lang2057\langfe2057\cgrid\langnp2057\langfenp2057 \sbasedon0 \snext21 \spriority0 \styrsid16658872 AmJustText;}{\s22\qc \li0\ri0\sb240\sa240\nowidctlpar\wrapdefault\aspalpha\aspnum\faauto\adjustright\rin0\lin0\itap0 \rtlch\fcs1 _x000d__x000a_\af0\afs20\alang1025 \ltrch\fcs0 \i\fs24\lang2057\langfe2057\cgrid\langnp2057\langfenp2057 \sbasedon0 \snext22 \spriority0 \styrsid16658872 AmCrossRef;}{_x000d__x000a_\s23\qc \li0\ri0\sb240\sa240\keepn\nowidctlpar\wrapdefault\aspalpha\aspnum\faauto\adjustright\rin0\lin0\itap0 \rtlch\fcs1 \af0\afs20\alang1025 \ltrch\fcs0 \i\fs24\lang2057\langfe2057\cgrid\langnp2057\langfenp2057 _x000d__x000a_\sbasedon0 \snext21 \spriority0 \styrsid16658872 AmJustTitle;}{\s24\qr \li0\ri0\sb240\sa240\nowidctlpar\wrapdefault\aspalpha\aspnum\faauto\adjustright\rin0\lin0\itap0 \rtlch\fcs1 \af0\afs20\alang1025 \ltrch\fcs0 _x000d__x000a_\fs24\lang2057\langfe2057\cgrid\langnp2057\langfenp2057 \sbasedon0 \snext24 \spriority0 \styrsid16658872 AmOrLang;}{\s25\qc \li0\ri0\sa240\nowidctlpar\wrapdefault\aspalpha\aspnum\faauto\adjustright\rin0\lin0\itap0 \rtlch\fcs1 \af0\afs20\alang1025 _x000d__x000a_\ltrch\fcs0 \i\fs24\lang2057\langfe2057\cgrid\langnp2057\langfenp2057 \sbasedon0 \snext25 \spriority0 \styrsid16658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658872 AmNumberTabs;}{\s27\ql \li0\ri0\sb240\nowidctlpar\wrapdefault\aspalpha\aspnum\faauto\adjustright\rin0\lin0\itap0 \rtlch\fcs1 _x000d__x000a_\af0\afs20\alang1025 \ltrch\fcs0 \b\fs24\lang2057\langfe2057\cgrid\langnp2057\langfenp2057 \sbasedon0 \snext27 \spriority0 \styrsid16658872 NormalBold12b;}}{\*\rsidtbl \rsid24658\rsid223860\rsid735077\rsid1718133\rsid2892074\rsid3565327\rsid4666813_x000d__x000a_\rsid6641733\rsid7602181\rsid7823322\rsid9636012\rsid10377208\rsid11215221\rsid11549030\rsid12154954\rsid14382809\rsid14424199\rsid15204470\rsid15285974\rsid15950462\rsid16324206\rsid16658872\rsid16662270}{\mmathPr\mmathFont34\mbrkBin0\mbrkBinSub0_x000d__x000a_\msmallFrac0\mdispDef1\mlMargin0\mrMargin0\mdefJc1\mwrapIndent1440\mintLim0\mnaryLim1}{\info{\author TURLUI Emil-Gabriel}{\operator TURLUI Emil-Gabriel}{\creatim\yr2023\mo9\dy8\hr15\min57}{\revtim\yr2023\mo9\dy8\hr15\min57}{\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887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7602181 \chftnsep _x000d__x000a_\par }}{\*\ftnsepc \ltrpar \pard\plain \ltrpar\ql \li0\ri0\widctlpar\wrapdefault\aspalpha\aspnum\faauto\adjustright\rin0\lin0\itap0 \rtlch\fcs1 \af0\afs20\alang1025 \ltrch\fcs0 \fs24\lang2057\langfe2057\cgrid\langnp2057\langfenp2057 {\rtlch\fcs1 \af0 _x000d__x000a_\ltrch\fcs0 \insrsid7602181 \chftnsepc _x000d__x000a_\par }}{\*\aftnsep \ltrpar \pard\plain \ltrpar\ql \li0\ri0\widctlpar\wrapdefault\aspalpha\aspnum\faauto\adjustright\rin0\lin0\itap0 \rtlch\fcs1 \af0\afs20\alang1025 \ltrch\fcs0 \fs24\lang2057\langfe2057\cgrid\langnp2057\langfenp2057 {\rtlch\fcs1 \af0 _x000d__x000a_\ltrch\fcs0 \insrsid7602181 \chftnsep _x000d__x000a_\par }}{\*\aftnsepc \ltrpar \pard\plain \ltrpar\ql \li0\ri0\widctlpar\wrapdefault\aspalpha\aspnum\faauto\adjustright\rin0\lin0\itap0 \rtlch\fcs1 \af0\afs20\alang1025 \ltrch\fcs0 \fs24\lang2057\langfe2057\cgrid\langnp2057\langfenp2057 {\rtlch\fcs1 \af0 _x000d__x000a_\ltrch\fcs0 \insrsid7602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58872 \rtlch\fcs1 _x000d__x000a_\af0\afs20\alang1025 \ltrch\fcs0 \b\fs24\lang2057\langfe2057\cgrid\langnp2057\langfenp2057 {\rtlch\fcs1 \af0 \ltrch\fcs0 \cs17\b0\v\fs20\cf9\lang1024\langfe1024\loch\af1\hich\af1\dbch\af31501\noproof\insrsid16658872\charrsid6768093 {\*\bkmkstart restart}_x000d__x000a_\hich\af1\dbch\af31501\loch\f1 &lt;Amend&gt;}{\rtlch\fcs1 \af0 \ltrch\fcs0 \insrsid16658872\charrsid6768093 Amendment\tab \tab }{\rtlch\fcs1 \af0 \ltrch\fcs0 _x000d__x000a_\cs17\b0\v\fs20\cf9\lang1024\langfe1024\loch\af1\hich\af1\dbch\af31501\noproof\insrsid16658872\charrsid6768093 \hich\af1\dbch\af31501\loch\f1 &lt;NumAm&gt;}{\rtlch\fcs1 \af0 \ltrch\fcs0 \insrsid16658872\charrsid6768093 #}{\rtlch\fcs1 \af1 \ltrch\fcs0 _x000d__x000a_\cs18\v\f1\fs20\cf15\insrsid16658872\charrsid6768093 ENMIENDA@NRAM@}{\rtlch\fcs1 \af0 \ltrch\fcs0 \insrsid16658872\charrsid6768093 #}{\rtlch\fcs1 \af0 \ltrch\fcs0 _x000d__x000a_\cs17\b0\v\fs20\cf9\lang1024\langfe1024\loch\af1\hich\af1\dbch\af31501\noproof\insrsid16658872\charrsid6768093 \hich\af1\dbch\af31501\loch\f1 &lt;/NumAm&gt;}{\rtlch\fcs1 \af0 \ltrch\fcs0 \insrsid16658872\charrsid6768093 _x000d__x000a_\par }\pard\plain \ltrpar\s27\ql \li0\ri0\sb240\keepn\nowidctlpar\wrapdefault\aspalpha\aspnum\faauto\adjustright\rin0\lin0\itap0\pararsid16658872 \rtlch\fcs1 \af0\afs20\alang1025 \ltrch\fcs0 \b\fs24\lang2057\langfe2057\cgrid\langnp2057\langfenp2057 {_x000d__x000a_\rtlch\fcs1 \af0 \ltrch\fcs0 \cs17\b0\v\fs20\cf9\lang1024\langfe1024\loch\af1\hich\af1\dbch\af31501\noproof\insrsid16658872\charrsid6768093 \hich\af1\dbch\af31501\loch\f1 &lt;DocAmend&gt;}{\rtlch\fcs1 \af0 \ltrch\fcs0 \insrsid16658872\charrsid6768093 _x000d__x000a_Proposal for a #}{\rtlch\fcs1 \af1 \ltrch\fcs0 \cs18\v\f1\fs20\cf15\insrsid16658872\charrsid6768093 MNU[DOC1][DOC2][DOC3]@DOCMSG@DOCMNU}{\rtlch\fcs1 \af0 \ltrch\fcs0 \insrsid16658872\charrsid6768093 ##}{\rtlch\fcs1 \af1 \ltrch\fcs0 _x000d__x000a_\cs18\v\f1\fs20\cf15\insrsid16658872\charrsid6768093 MNU[AMACTYES][NOTAPP]@CHOICE@AMACTMNU}{\rtlch\fcs1 \af0 \ltrch\fcs0 \insrsid16658872\charrsid6768093 #}{\rtlch\fcs1 \af0 \ltrch\fcs0 _x000d__x000a_\cs17\b0\v\fs20\cf9\lang1024\langfe1024\loch\af1\hich\af1\dbch\af31501\noproof\insrsid16658872\charrsid6768093 \hich\af1\dbch\af31501\loch\f1 &lt;/DocAmend&gt;}{\rtlch\fcs1 \af0 \ltrch\fcs0 \insrsid16658872\charrsid6768093 _x000d__x000a_\par }\pard\plain \ltrpar\s20\ql \li0\ri0\keepn\nowidctlpar\wrapdefault\aspalpha\aspnum\faauto\adjustright\rin0\lin0\itap0\pararsid16658872 \rtlch\fcs1 \af0\afs20\alang1025 \ltrch\fcs0 \b\fs24\lang2057\langfe2057\cgrid\langnp2057\langfenp2057 {\rtlch\fcs1 _x000d__x000a_\af0 \ltrch\fcs0 \cs17\b0\v\fs20\cf9\lang1024\langfe1024\loch\af1\hich\af1\dbch\af31501\noproof\insrsid16658872\charrsid6768093 \hich\af1\dbch\af31501\loch\f1 &lt;Article&gt;}{\rtlch\fcs1 \af0 \ltrch\fcs0 \insrsid16658872\charrsid6768093 #}{\rtlch\fcs1 \af1 _x000d__x000a_\ltrch\fcs0 \cs18\v\f1\fs20\cf15\insrsid16658872\charrsid6768093 MNU[AMACTPARTYES][AMACTPARTNO]@CHOICE@AMACTMNU}{\rtlch\fcs1 \af0 \ltrch\fcs0 \insrsid16658872\charrsid6768093 #}{\rtlch\fcs1 \af0 \ltrch\fcs0 _x000d__x000a_\cs17\b0\v\fs20\cf9\lang1024\langfe1024\loch\af1\hich\af1\dbch\af31501\noproof\insrsid16658872\charrsid6768093 \hich\af1\dbch\af31501\loch\f1 &lt;/Article&gt;}{\rtlch\fcs1 \af0 \ltrch\fcs0 \insrsid16658872\charrsid6768093 _x000d__x000a_\par }\pard\plain \ltrpar\ql \li0\ri0\keepn\widctlpar\wrapdefault\aspalpha\aspnum\faauto\adjustright\rin0\lin0\itap0\pararsid16658872 \rtlch\fcs1 \af0\afs20\alang1025 \ltrch\fcs0 \fs24\lang2057\langfe2057\cgrid\langnp2057\langfenp2057 {\rtlch\fcs1 \af0 _x000d__x000a_\ltrch\fcs0 \cs17\v\fs20\cf9\lang1024\langfe1024\loch\af1\hich\af1\dbch\af31501\noproof\insrsid16658872\charrsid6768093 \hich\af1\dbch\af31501\loch\f1 &lt;DocAmend2&gt;&lt;OptDel&gt;}{\rtlch\fcs1 \af0 \ltrch\fcs0 \insrsid16658872\charrsid6768093 #}{\rtlch\fcs1 \af1 _x000d__x000a_\ltrch\fcs0 \cs18\v\f1\fs20\cf15\insrsid16658872\charrsid6768093 MNU[OPTNRACTYES][NOTAPP]@CHOICE@AMACTMNU}{\rtlch\fcs1 \af0 \ltrch\fcs0 \insrsid16658872\charrsid6768093 #}{\rtlch\fcs1 \af0 \ltrch\fcs0 _x000d__x000a_\cs17\v\fs20\cf9\lang1024\langfe1024\loch\af1\hich\af1\dbch\af31501\noproof\insrsid16658872\charrsid6768093 \hich\af1\dbch\af31501\loch\f1 &lt;/OptDel&gt;&lt;/DocAmend2&gt;}{\rtlch\fcs1 \af0 \ltrch\fcs0 \insrsid16658872\charrsid6768093 _x000d__x000a_\par }\pard \ltrpar\ql \li0\ri0\widctlpar\wrapdefault\aspalpha\aspnum\faauto\adjustright\rin0\lin0\itap0\pararsid16658872 {\rtlch\fcs1 \af0 \ltrch\fcs0 \cs17\v\fs20\cf9\lang1024\langfe1024\loch\af1\hich\af1\dbch\af31501\noproof\insrsid16658872\charrsid6768093 _x000d__x000a_\hich\af1\dbch\af31501\loch\f1 &lt;Article2&gt;&lt;OptDel&gt;}{\rtlch\fcs1 \af0 \ltrch\fcs0 \insrsid16658872\charrsid6768093 #}{\rtlch\fcs1 \af1 \ltrch\fcs0 \cs18\v\f1\fs20\cf15\insrsid16658872\charrsid6768093 MNU[OPTACTPARTYES][NOTAPP]@CHOICE@AMACTMNU}{\rtlch\fcs1 _x000d__x000a_\af0 \ltrch\fcs0 \insrsid16658872\charrsid6768093 #}{\rtlch\fcs1 \af0 \ltrch\fcs0 \cs17\v\fs20\cf9\lang1024\langfe1024\loch\af1\hich\af1\dbch\af31501\noproof\insrsid16658872\charrsid6768093 \hich\af1\dbch\af31501\loch\f1 &lt;/OptDel&gt;&lt;/Article2&gt;}{\rtlch\fcs1 _x000d__x000a_\af0 \ltrch\fcs0 \insrsid16658872\charrsid67680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6658872\charrsid6768093 #}{\rtlch\fcs1 \af1 \ltrch\fcs0 \cs18\v\f1\fs20\cf15\insrsid16658872\charrsid6768093 MNU[OPTLEFTAMACT][LEFTPROP]@CHOICE@AMACTMNU}{\rtlch\fcs1 \af0 \ltrch\fcs0 \insrsid16658872\charrsid6768093 #\cell Amendment\cell _x000d__x000a_}\pard\plain \ltrpar\ql \li0\ri0\widctlpar\intbl\wrapdefault\aspalpha\aspnum\faauto\adjustright\rin0\lin0 \rtlch\fcs1 \af0\afs20\alang1025 \ltrch\fcs0 \fs24\lang2057\langfe2057\cgrid\langnp2057\langfenp2057 {\rtlch\fcs1 \af0 \ltrch\fcs0 _x000d__x000a_\insrsid16658872\charrsid676809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6658872\charrsid6768093 ##\cell ##}{\rtlch\fcs1 \af0\afs24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58872 \rtlch\fcs1 \af0\afs20\alang1025 \ltrch\fcs0 \fs24\lang2057\langfe2057\cgrid\langnp2057\langfenp2057 {\rtlch\fcs1 \af0 \ltrch\fcs0 _x000d__x000a_\insrsid16658872\charrsid6768093 Or. }{\rtlch\fcs1 \af0 \ltrch\fcs0 \cs17\v\fs20\cf9\lang1024\langfe1024\loch\af1\hich\af1\dbch\af31501\noproof\insrsid16658872\charrsid6768093 \hich\af1\dbch\af31501\loch\f1 &lt;Original&gt;}{\rtlch\fcs1 \af0 \ltrch\fcs0 _x000d__x000a_\insrsid16658872\charrsid6768093 #}{\rtlch\fcs1 \af1 \ltrch\fcs0 \cs18\v\f1\fs20\cf15\insrsid16658872\charrsid6768093 MNU[ORLANGONE][ORLANGMORE]@CHOICE@ORLANGMNU}{\rtlch\fcs1 \af0 \ltrch\fcs0 \insrsid16658872\charrsid6768093 #}{\rtlch\fcs1 \af0 _x000d__x000a_\ltrch\fcs0 \cs17\v\fs20\cf9\lang1024\langfe1024\loch\af1\hich\af1\dbch\af31501\noproof\insrsid16658872\charrsid6768093 \hich\af1\dbch\af31501\loch\f1 &lt;/Original&gt;}{\rtlch\fcs1 \af0 \ltrch\fcs0 \insrsid16658872\charrsid6768093 _x000d__x000a_\par }\pard\plain \ltrpar\s22\qc \li0\ri0\sb240\sa240\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OptDel&gt;}{\rtlch\fcs1 \af0 \ltrch\fcs0 \insrsid16658872\charrsid6768093 #}{_x000d__x000a_\rtlch\fcs1 \af1 \ltrch\fcs0 \cs18\v\f1\fs20\cf15\insrsid16658872\charrsid6768093 MNU[CROSSREFNO][CROSSREFYES]@CHOICE@}{\rtlch\fcs1 \af0 \ltrch\fcs0 \insrsid16658872\charrsid6768093 #}{\rtlch\fcs1 \af0 \ltrch\fcs0 _x000d__x000a_\cs17\i0\v\fs20\cf9\lang1024\langfe1024\loch\af1\hich\af1\dbch\af31501\noproof\insrsid16658872\charrsid6768093 \hich\af1\dbch\af31501\loch\f1 &lt;/OptDel&gt;}{\rtlch\fcs1 \af0 \ltrch\fcs0 \insrsid16658872\charrsid6768093 _x000d__x000a_\par }\pard\plain \ltrpar\s23\qc \li0\ri0\sb240\sa240\keepn\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TitreJust&gt;}{\rtlch\fcs1 \af0 \ltrch\fcs0 \insrsid16658872\charrsid6768093 _x000d__x000a_Justification}{\rtlch\fcs1 \af0 \ltrch\fcs0 \cs17\i0\v\fs20\cf9\lang1024\langfe1024\loch\af1\hich\af1\dbch\af31501\noproof\insrsid16658872\charrsid6768093 \hich\af1\dbch\af31501\loch\f1 &lt;/TitreJust&gt;}{\rtlch\fcs1 \af0 \ltrch\fcs0 _x000d__x000a_\insrsid16658872\charrsid6768093 _x000d__x000a_\par }\pard\plain \ltrpar\s21\ql \li0\ri0\sa240\nowidctlpar\wrapdefault\aspalpha\aspnum\faauto\adjustright\rin0\lin0\itap0\pararsid16658872 \rtlch\fcs1 \af0\afs20\alang1025 \ltrch\fcs0 \i\fs24\lang2057\langfe2057\cgrid\langnp2057\langfenp2057 {\rtlch\fcs1 _x000d__x000a_\af0 \ltrch\fcs0 \cs17\i0\v\fs20\cf9\lang1024\langfe1024\loch\af1\hich\af1\dbch\af31501\noproof\insrsid16658872\charrsid6768093 \hich\af1\dbch\af31501\loch\f1 &lt;OptDelPrev&gt;}{\rtlch\fcs1 \af0 \ltrch\fcs0 \insrsid16658872\charrsid6768093 #}{\rtlch\fcs1 \af1 _x000d__x000a_\ltrch\fcs0 \cs18\v\f1\fs20\cf15\insrsid16658872\charrsid6768093 MNU[TEXTJUSTYES][TEXTJUSTNO]@CHOICE@}{\rtlch\fcs1 \af0 \ltrch\fcs0 \insrsid16658872\charrsid6768093 #}{\rtlch\fcs1 \af0 \ltrch\fcs0 _x000d__x000a_\cs17\i0\v\fs20\cf9\lang1024\langfe1024\loch\af1\hich\af1\dbch\af31501\noproof\insrsid16658872\charrsid6768093 \hich\af1\dbch\af31501\loch\f1 &lt;/OptDelPrev&gt;}{\rtlch\fcs1 \af0 \ltrch\fcs0 \insrsid16658872\charrsid6768093 _x000d__x000a_\par }\pard\plain \ltrpar\ql \li0\ri0\widctlpar\wrapdefault\aspalpha\aspnum\faauto\adjustright\rin0\lin0\itap0\pararsid16658872 \rtlch\fcs1 \af0\afs20\alang1025 \ltrch\fcs0 \fs24\lang2057\langfe2057\cgrid\langnp2057\langfenp2057 {\rtlch\fcs1 \af0 \ltrch\fcs0 _x000d__x000a_\cs17\v\fs20\cf9\lang1024\langfe1024\loch\af1\hich\af1\dbch\af31501\noproof\insrsid16658872\charrsid67680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VTAMPART" w:val="Recital 1"/>
    <w:docVar w:name="TXTAUTHOR" w:val="Jonás Fernández"/>
    <w:docVar w:name="TXTLANGUE" w:val="ET"/>
    <w:docVar w:name="TXTLANGUEMIN" w:val="et"/>
    <w:docVar w:name="TXTNRC" w:val="0134/2023"/>
    <w:docVar w:name="TXTNRCOD" w:val="2023/0113"/>
    <w:docVar w:name="TXTNRCOM" w:val="(2023)0229"/>
    <w:docVar w:name="TXTNRFIRSTAM" w:val="1"/>
    <w:docVar w:name="TXTNRLASTAM" w:val="2"/>
    <w:docVar w:name="TXTNRPE" w:val="752.913"/>
    <w:docVar w:name="TXTPEorAP" w:val="PE"/>
    <w:docVar w:name="TXTROUTE" w:val="PR\1285454ET.docx"/>
    <w:docVar w:name="TXTTITLE" w:val="amending Directive 2014/59/EU and Regulation (EU) No 806/2014 as regards certain aspects of the minimum requirement for own funds and eligible liabilities"/>
    <w:docVar w:name="TXTVERSION" w:val="01-00"/>
  </w:docVars>
  <w:rsids>
    <w:rsidRoot w:val="006745DD"/>
    <w:rsid w:val="00011AAB"/>
    <w:rsid w:val="00012351"/>
    <w:rsid w:val="000139E5"/>
    <w:rsid w:val="00084DD2"/>
    <w:rsid w:val="00084E89"/>
    <w:rsid w:val="000A783D"/>
    <w:rsid w:val="000A7B09"/>
    <w:rsid w:val="000B7489"/>
    <w:rsid w:val="000F1096"/>
    <w:rsid w:val="00101CCB"/>
    <w:rsid w:val="00120948"/>
    <w:rsid w:val="00123DD5"/>
    <w:rsid w:val="001277AE"/>
    <w:rsid w:val="00142215"/>
    <w:rsid w:val="00170F9B"/>
    <w:rsid w:val="001767E2"/>
    <w:rsid w:val="00187008"/>
    <w:rsid w:val="001B3829"/>
    <w:rsid w:val="001C01EE"/>
    <w:rsid w:val="001C5592"/>
    <w:rsid w:val="001C5B44"/>
    <w:rsid w:val="001C63AC"/>
    <w:rsid w:val="001C6FFC"/>
    <w:rsid w:val="001F7C7C"/>
    <w:rsid w:val="00212B84"/>
    <w:rsid w:val="002346B0"/>
    <w:rsid w:val="002667C3"/>
    <w:rsid w:val="002669B6"/>
    <w:rsid w:val="00290BED"/>
    <w:rsid w:val="002D13EE"/>
    <w:rsid w:val="002E33EE"/>
    <w:rsid w:val="002F40BB"/>
    <w:rsid w:val="002F4B02"/>
    <w:rsid w:val="00323EF8"/>
    <w:rsid w:val="00325A50"/>
    <w:rsid w:val="003316DD"/>
    <w:rsid w:val="00366A46"/>
    <w:rsid w:val="00370AC3"/>
    <w:rsid w:val="003824EE"/>
    <w:rsid w:val="003B4689"/>
    <w:rsid w:val="003C2068"/>
    <w:rsid w:val="003C37CF"/>
    <w:rsid w:val="004100B1"/>
    <w:rsid w:val="00426E47"/>
    <w:rsid w:val="00455743"/>
    <w:rsid w:val="00461601"/>
    <w:rsid w:val="0046639E"/>
    <w:rsid w:val="00467F7B"/>
    <w:rsid w:val="0048211B"/>
    <w:rsid w:val="004C0915"/>
    <w:rsid w:val="004D424E"/>
    <w:rsid w:val="004E42C8"/>
    <w:rsid w:val="004E733D"/>
    <w:rsid w:val="004F3FA5"/>
    <w:rsid w:val="0051271F"/>
    <w:rsid w:val="00521F46"/>
    <w:rsid w:val="00551111"/>
    <w:rsid w:val="00551123"/>
    <w:rsid w:val="00557C21"/>
    <w:rsid w:val="00570A6A"/>
    <w:rsid w:val="00586E50"/>
    <w:rsid w:val="0059583D"/>
    <w:rsid w:val="005A42D9"/>
    <w:rsid w:val="005C2BEF"/>
    <w:rsid w:val="005D1A99"/>
    <w:rsid w:val="005D7609"/>
    <w:rsid w:val="005D7EE8"/>
    <w:rsid w:val="00620AA8"/>
    <w:rsid w:val="00642325"/>
    <w:rsid w:val="006606A1"/>
    <w:rsid w:val="006745DD"/>
    <w:rsid w:val="00682F54"/>
    <w:rsid w:val="006A17A3"/>
    <w:rsid w:val="006A1920"/>
    <w:rsid w:val="006A2F5D"/>
    <w:rsid w:val="006F1136"/>
    <w:rsid w:val="006F7907"/>
    <w:rsid w:val="00743189"/>
    <w:rsid w:val="00743D33"/>
    <w:rsid w:val="007932B3"/>
    <w:rsid w:val="00793EA9"/>
    <w:rsid w:val="007D6F68"/>
    <w:rsid w:val="00823E6B"/>
    <w:rsid w:val="00826780"/>
    <w:rsid w:val="00837CCD"/>
    <w:rsid w:val="00862812"/>
    <w:rsid w:val="008633CC"/>
    <w:rsid w:val="00865190"/>
    <w:rsid w:val="008719B9"/>
    <w:rsid w:val="00894ECE"/>
    <w:rsid w:val="00896BB4"/>
    <w:rsid w:val="008A7FB8"/>
    <w:rsid w:val="008C37B3"/>
    <w:rsid w:val="008D2DA5"/>
    <w:rsid w:val="008F652F"/>
    <w:rsid w:val="009022B8"/>
    <w:rsid w:val="00914537"/>
    <w:rsid w:val="00917CC4"/>
    <w:rsid w:val="00932D06"/>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59CE"/>
    <w:rsid w:val="00AD18C8"/>
    <w:rsid w:val="00AD7FA6"/>
    <w:rsid w:val="00AE4643"/>
    <w:rsid w:val="00AF0416"/>
    <w:rsid w:val="00B10CB4"/>
    <w:rsid w:val="00B13D6F"/>
    <w:rsid w:val="00B17848"/>
    <w:rsid w:val="00B23B72"/>
    <w:rsid w:val="00B42702"/>
    <w:rsid w:val="00B57B8B"/>
    <w:rsid w:val="00B74BC1"/>
    <w:rsid w:val="00B85407"/>
    <w:rsid w:val="00B95702"/>
    <w:rsid w:val="00BC6489"/>
    <w:rsid w:val="00BD480C"/>
    <w:rsid w:val="00BE22DA"/>
    <w:rsid w:val="00C10E7F"/>
    <w:rsid w:val="00C20954"/>
    <w:rsid w:val="00C23324"/>
    <w:rsid w:val="00C42A41"/>
    <w:rsid w:val="00C47E74"/>
    <w:rsid w:val="00C57A72"/>
    <w:rsid w:val="00C73602"/>
    <w:rsid w:val="00CF60C8"/>
    <w:rsid w:val="00D30DE2"/>
    <w:rsid w:val="00D32924"/>
    <w:rsid w:val="00D503A3"/>
    <w:rsid w:val="00D73518"/>
    <w:rsid w:val="00DA0796"/>
    <w:rsid w:val="00DA6ED0"/>
    <w:rsid w:val="00DC5011"/>
    <w:rsid w:val="00E171B6"/>
    <w:rsid w:val="00E70D3B"/>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6ACDB"/>
  <w15:chartTrackingRefBased/>
  <w15:docId w15:val="{4DFF2750-D27A-4F52-B6FB-B2D7BB6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F1136"/>
    <w:pPr>
      <w:tabs>
        <w:tab w:val="right" w:pos="454"/>
        <w:tab w:val="left" w:pos="737"/>
      </w:tabs>
      <w:ind w:left="737" w:hanging="737"/>
    </w:pPr>
    <w:rPr>
      <w:snapToGrid w:val="0"/>
      <w:sz w:val="18"/>
      <w:lang w:eastAsia="en-US"/>
    </w:rPr>
  </w:style>
  <w:style w:type="paragraph" w:customStyle="1" w:styleId="Lgendetitre">
    <w:name w:val="Légende titre"/>
    <w:basedOn w:val="Normal"/>
    <w:rsid w:val="006F1136"/>
    <w:pPr>
      <w:spacing w:before="240" w:after="240"/>
    </w:pPr>
    <w:rPr>
      <w:b/>
      <w:i/>
      <w:snapToGrid w:val="0"/>
      <w:lang w:eastAsia="en-US"/>
    </w:rPr>
  </w:style>
  <w:style w:type="paragraph" w:customStyle="1" w:styleId="Lgendestandard">
    <w:name w:val="Légende standard"/>
    <w:basedOn w:val="Normal"/>
    <w:rsid w:val="006F1136"/>
    <w:rPr>
      <w:sz w:val="18"/>
    </w:rPr>
  </w:style>
  <w:style w:type="paragraph" w:styleId="FootnoteText">
    <w:name w:val="footnote text"/>
    <w:basedOn w:val="Normal"/>
    <w:link w:val="FootnoteTextChar"/>
    <w:rsid w:val="006F1136"/>
    <w:rPr>
      <w:sz w:val="20"/>
    </w:rPr>
  </w:style>
  <w:style w:type="character" w:customStyle="1" w:styleId="FootnoteTextChar">
    <w:name w:val="Footnote Text Char"/>
    <w:basedOn w:val="DefaultParagraphFont"/>
    <w:link w:val="FootnoteText"/>
    <w:rsid w:val="006F1136"/>
  </w:style>
  <w:style w:type="character" w:styleId="FootnoteReference">
    <w:name w:val="footnote reference"/>
    <w:basedOn w:val="DefaultParagraphFont"/>
    <w:rsid w:val="006F1136"/>
    <w:rPr>
      <w:vertAlign w:val="superscript"/>
    </w:rPr>
  </w:style>
  <w:style w:type="character" w:customStyle="1" w:styleId="Normal6Char">
    <w:name w:val="Normal6 Char"/>
    <w:basedOn w:val="DefaultParagraphFont"/>
    <w:link w:val="Normal6"/>
    <w:locked/>
    <w:rsid w:val="00932D06"/>
    <w:rPr>
      <w:sz w:val="24"/>
      <w:lang w:val="et-EE"/>
    </w:rPr>
  </w:style>
  <w:style w:type="paragraph" w:customStyle="1" w:styleId="Normal6">
    <w:name w:val="Normal6"/>
    <w:basedOn w:val="Normal"/>
    <w:link w:val="Normal6Char"/>
    <w:rsid w:val="00932D06"/>
    <w:pPr>
      <w:spacing w:after="120"/>
    </w:pPr>
  </w:style>
  <w:style w:type="character" w:customStyle="1" w:styleId="NormalBoldChar">
    <w:name w:val="NormalBold Char"/>
    <w:basedOn w:val="DefaultParagraphFont"/>
    <w:link w:val="NormalBold"/>
    <w:locked/>
    <w:rsid w:val="00932D06"/>
    <w:rPr>
      <w:b/>
      <w:sz w:val="24"/>
    </w:rPr>
  </w:style>
  <w:style w:type="paragraph" w:customStyle="1" w:styleId="ColumnHeading">
    <w:name w:val="ColumnHeading"/>
    <w:basedOn w:val="Normal"/>
    <w:rsid w:val="00932D06"/>
    <w:pPr>
      <w:spacing w:after="240"/>
      <w:jc w:val="center"/>
    </w:pPr>
    <w:rPr>
      <w:i/>
    </w:rPr>
  </w:style>
  <w:style w:type="paragraph" w:customStyle="1" w:styleId="AMNumberTabs0">
    <w:name w:val="AMNumberTabs"/>
    <w:basedOn w:val="Normal"/>
    <w:rsid w:val="00932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32D06"/>
    <w:pPr>
      <w:jc w:val="right"/>
    </w:pPr>
  </w:style>
  <w:style w:type="paragraph" w:styleId="Footer">
    <w:name w:val="footer"/>
    <w:basedOn w:val="Normal"/>
    <w:link w:val="FooterChar"/>
    <w:semiHidden/>
    <w:rsid w:val="00932D06"/>
    <w:pPr>
      <w:tabs>
        <w:tab w:val="center" w:pos="4513"/>
        <w:tab w:val="right" w:pos="9026"/>
      </w:tabs>
    </w:pPr>
  </w:style>
  <w:style w:type="character" w:customStyle="1" w:styleId="FooterChar">
    <w:name w:val="Footer Char"/>
    <w:basedOn w:val="DefaultParagraphFont"/>
    <w:link w:val="Footer"/>
    <w:semiHidden/>
    <w:rsid w:val="00932D06"/>
    <w:rPr>
      <w:sz w:val="24"/>
    </w:rPr>
  </w:style>
  <w:style w:type="paragraph" w:styleId="BalloonText">
    <w:name w:val="Balloon Text"/>
    <w:basedOn w:val="Normal"/>
    <w:link w:val="BalloonTextChar"/>
    <w:semiHidden/>
    <w:unhideWhenUsed/>
    <w:rsid w:val="00557C21"/>
    <w:rPr>
      <w:rFonts w:ascii="Segoe UI" w:hAnsi="Segoe UI" w:cs="Segoe UI"/>
      <w:sz w:val="18"/>
      <w:szCs w:val="18"/>
    </w:rPr>
  </w:style>
  <w:style w:type="character" w:customStyle="1" w:styleId="BalloonTextChar">
    <w:name w:val="Balloon Text Char"/>
    <w:basedOn w:val="DefaultParagraphFont"/>
    <w:link w:val="BalloonText"/>
    <w:semiHidden/>
    <w:rsid w:val="00557C21"/>
    <w:rPr>
      <w:rFonts w:ascii="Segoe UI" w:hAnsi="Segoe UI" w:cs="Segoe UI"/>
      <w:sz w:val="18"/>
      <w:szCs w:val="18"/>
    </w:rPr>
  </w:style>
  <w:style w:type="character" w:styleId="CommentReference">
    <w:name w:val="annotation reference"/>
    <w:basedOn w:val="DefaultParagraphFont"/>
    <w:rsid w:val="001C63AC"/>
    <w:rPr>
      <w:sz w:val="16"/>
      <w:szCs w:val="16"/>
    </w:rPr>
  </w:style>
  <w:style w:type="paragraph" w:styleId="CommentText">
    <w:name w:val="annotation text"/>
    <w:basedOn w:val="Normal"/>
    <w:link w:val="CommentTextChar"/>
    <w:rsid w:val="001C63AC"/>
    <w:rPr>
      <w:sz w:val="20"/>
    </w:rPr>
  </w:style>
  <w:style w:type="character" w:customStyle="1" w:styleId="CommentTextChar">
    <w:name w:val="Comment Text Char"/>
    <w:basedOn w:val="DefaultParagraphFont"/>
    <w:link w:val="CommentText"/>
    <w:rsid w:val="001C63AC"/>
  </w:style>
  <w:style w:type="paragraph" w:styleId="CommentSubject">
    <w:name w:val="annotation subject"/>
    <w:basedOn w:val="CommentText"/>
    <w:next w:val="CommentText"/>
    <w:link w:val="CommentSubjectChar"/>
    <w:semiHidden/>
    <w:unhideWhenUsed/>
    <w:rsid w:val="001C63AC"/>
    <w:rPr>
      <w:b/>
      <w:bCs/>
    </w:rPr>
  </w:style>
  <w:style w:type="character" w:customStyle="1" w:styleId="CommentSubjectChar">
    <w:name w:val="Comment Subject Char"/>
    <w:basedOn w:val="CommentTextChar"/>
    <w:link w:val="CommentSubject"/>
    <w:semiHidden/>
    <w:rsid w:val="001C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F2E57-A158-4D17-A966-27350EC08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4659</Words>
  <Characters>36205</Characters>
  <Application>Microsoft Office Word</Application>
  <DocSecurity>0</DocSecurity>
  <Lines>1248</Lines>
  <Paragraphs>272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LISTMANN Anu</cp:lastModifiedBy>
  <cp:revision>2</cp:revision>
  <cp:lastPrinted>2004-11-04T09:41:00Z</cp:lastPrinted>
  <dcterms:created xsi:type="dcterms:W3CDTF">2023-09-26T08:49:00Z</dcterms:created>
  <dcterms:modified xsi:type="dcterms:W3CDTF">2023-09-26T08:49:00Z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PR\1285454ET.docx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SendToEpades">
    <vt:lpwstr>OK - 2023/09/11 11:42</vt:lpwstr>
  </property>
  <property fmtid="{D5CDD505-2E9C-101B-9397-08002B2CF9AE}" pid="14" name="Bookout">
    <vt:lpwstr>OK - 2023/09/26 10:49</vt:lpwstr>
  </property>
</Properties>
</file>