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E94E1F" w:rsidRPr="002D433B" w:rsidTr="00DA0796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B13D6F" w:rsidRPr="002D433B" w:rsidRDefault="002D433B" w:rsidP="00DA0796">
            <w:pPr>
              <w:pStyle w:val="EPName"/>
            </w:pPr>
            <w:bookmarkStart w:id="0" w:name="_GoBack"/>
            <w:bookmarkEnd w:id="0"/>
            <w:r w:rsidRPr="002D433B">
              <w:t>Euroopan parlamentti</w:t>
            </w:r>
          </w:p>
          <w:p w:rsidR="00B13D6F" w:rsidRPr="002D433B" w:rsidRDefault="002D433B" w:rsidP="006F1136">
            <w:pPr>
              <w:pStyle w:val="EPTerm"/>
            </w:pPr>
            <w:r w:rsidRPr="002D433B">
              <w:t>2019-2024</w:t>
            </w:r>
          </w:p>
        </w:tc>
        <w:tc>
          <w:tcPr>
            <w:tcW w:w="2268" w:type="dxa"/>
            <w:shd w:val="clear" w:color="auto" w:fill="auto"/>
          </w:tcPr>
          <w:p w:rsidR="00B13D6F" w:rsidRPr="002D433B" w:rsidRDefault="002D433B" w:rsidP="00DA0796">
            <w:pPr>
              <w:pStyle w:val="EPLogo"/>
            </w:pPr>
            <w:r w:rsidRPr="002D433B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61601" w:rsidRPr="002D433B" w:rsidRDefault="00461601" w:rsidP="00461601">
      <w:pPr>
        <w:pStyle w:val="LineTop"/>
      </w:pPr>
    </w:p>
    <w:p w:rsidR="00461601" w:rsidRPr="002D433B" w:rsidRDefault="002D433B" w:rsidP="00461601">
      <w:pPr>
        <w:pStyle w:val="EPBody"/>
      </w:pPr>
      <w:r w:rsidRPr="002D433B">
        <w:rPr>
          <w:rStyle w:val="HideTWBExt"/>
        </w:rPr>
        <w:t>&lt;</w:t>
      </w:r>
      <w:r w:rsidRPr="002D433B">
        <w:rPr>
          <w:rStyle w:val="HideTWBExt"/>
          <w:i w:val="0"/>
        </w:rPr>
        <w:t>Commission</w:t>
      </w:r>
      <w:r w:rsidRPr="002D433B">
        <w:rPr>
          <w:rStyle w:val="HideTWBExt"/>
        </w:rPr>
        <w:t>&gt;</w:t>
      </w:r>
      <w:r w:rsidRPr="002D433B">
        <w:rPr>
          <w:rStyle w:val="HideTWBInt"/>
        </w:rPr>
        <w:t>{ECON}</w:t>
      </w:r>
      <w:r w:rsidRPr="002D433B">
        <w:t>Talous- ja raha-asioiden valiokunta</w:t>
      </w:r>
      <w:r w:rsidRPr="002D433B">
        <w:rPr>
          <w:rStyle w:val="HideTWBExt"/>
        </w:rPr>
        <w:t>&lt;/</w:t>
      </w:r>
      <w:r w:rsidRPr="002D433B">
        <w:rPr>
          <w:rStyle w:val="HideTWBExt"/>
          <w:i w:val="0"/>
        </w:rPr>
        <w:t>Commission</w:t>
      </w:r>
      <w:r w:rsidRPr="002D433B">
        <w:rPr>
          <w:rStyle w:val="HideTWBExt"/>
        </w:rPr>
        <w:t>&gt;</w:t>
      </w:r>
    </w:p>
    <w:p w:rsidR="00461601" w:rsidRPr="002D433B" w:rsidRDefault="00461601" w:rsidP="00461601">
      <w:pPr>
        <w:pStyle w:val="LineBottom"/>
      </w:pPr>
    </w:p>
    <w:p w:rsidR="00793EA9" w:rsidRPr="002D433B" w:rsidRDefault="002D433B">
      <w:pPr>
        <w:pStyle w:val="CoverReference"/>
      </w:pPr>
      <w:r w:rsidRPr="002D433B">
        <w:rPr>
          <w:rStyle w:val="HideTWBExt"/>
          <w:b w:val="0"/>
        </w:rPr>
        <w:t>&lt;RefProc&gt;</w:t>
      </w:r>
      <w:r w:rsidRPr="002D433B">
        <w:t>2023/0113</w:t>
      </w:r>
      <w:r w:rsidRPr="002D433B">
        <w:rPr>
          <w:rStyle w:val="HideTWBExt"/>
          <w:b w:val="0"/>
        </w:rPr>
        <w:t>&lt;/RefProc&gt;&lt;RefTypeProc&gt;</w:t>
      </w:r>
      <w:r w:rsidRPr="002D433B">
        <w:t>(COD)</w:t>
      </w:r>
      <w:r w:rsidRPr="002D433B">
        <w:rPr>
          <w:rStyle w:val="HideTWBExt"/>
          <w:b w:val="0"/>
        </w:rPr>
        <w:t>&lt;/RefTypeProc&gt;</w:t>
      </w:r>
    </w:p>
    <w:p w:rsidR="00793EA9" w:rsidRPr="002D433B" w:rsidRDefault="002D433B">
      <w:pPr>
        <w:pStyle w:val="CoverDate"/>
      </w:pPr>
      <w:r w:rsidRPr="002D433B">
        <w:rPr>
          <w:rStyle w:val="HideTWBExt"/>
        </w:rPr>
        <w:t>&lt;Date&gt;</w:t>
      </w:r>
      <w:r w:rsidRPr="002D433B">
        <w:rPr>
          <w:rStyle w:val="HideTWBInt"/>
        </w:rPr>
        <w:t>{11/09/2023}</w:t>
      </w:r>
      <w:r w:rsidRPr="002D433B">
        <w:t>11.9.2023</w:t>
      </w:r>
      <w:r w:rsidRPr="002D433B">
        <w:rPr>
          <w:rStyle w:val="HideTWBExt"/>
        </w:rPr>
        <w:t>&lt;/Date&gt;</w:t>
      </w:r>
    </w:p>
    <w:p w:rsidR="00793EA9" w:rsidRPr="002D433B" w:rsidRDefault="002D433B">
      <w:pPr>
        <w:pStyle w:val="CoverDocType"/>
      </w:pPr>
      <w:r w:rsidRPr="002D433B">
        <w:rPr>
          <w:rStyle w:val="HideTWBExt"/>
          <w:b w:val="0"/>
        </w:rPr>
        <w:t>&lt;RefProcLect&gt;</w:t>
      </w:r>
      <w:r w:rsidRPr="002D433B">
        <w:t>***I</w:t>
      </w:r>
      <w:r w:rsidRPr="002D433B">
        <w:rPr>
          <w:rStyle w:val="HideTWBExt"/>
          <w:b w:val="0"/>
        </w:rPr>
        <w:t>&lt;/RefProcLect&gt;</w:t>
      </w:r>
    </w:p>
    <w:p w:rsidR="00793EA9" w:rsidRPr="002D433B" w:rsidRDefault="002D433B">
      <w:pPr>
        <w:pStyle w:val="CoverDocType24a"/>
      </w:pPr>
      <w:r w:rsidRPr="002D433B">
        <w:rPr>
          <w:rStyle w:val="HideTWBExt"/>
          <w:b w:val="0"/>
        </w:rPr>
        <w:t>&lt;TitreType&gt;</w:t>
      </w:r>
      <w:r w:rsidRPr="002D433B">
        <w:t>MIETINTÖLUONNOS</w:t>
      </w:r>
      <w:r w:rsidRPr="002D433B">
        <w:rPr>
          <w:rStyle w:val="HideTWBExt"/>
          <w:b w:val="0"/>
        </w:rPr>
        <w:t>&lt;/TitreType&gt;</w:t>
      </w:r>
    </w:p>
    <w:p w:rsidR="00793EA9" w:rsidRPr="002D433B" w:rsidRDefault="002D433B">
      <w:pPr>
        <w:pStyle w:val="CoverNormal"/>
      </w:pPr>
      <w:r w:rsidRPr="002D433B">
        <w:rPr>
          <w:rStyle w:val="HideTWBExt"/>
        </w:rPr>
        <w:t>&lt;Titre&gt;</w:t>
      </w:r>
      <w:r w:rsidRPr="002D433B">
        <w:t>ehdotuksesta Euroopan parlamentin ja neuvoston direktiiviksi direktiivin 2014/59/EU ja asetuksen (EU) N:o 806/2014 muuttamisesta omia varoja ja hyväksyttäviä velkoja koskevan vähimmäisvaatimuksen tiettyjen näkökohtien osa</w:t>
      </w:r>
      <w:r w:rsidRPr="002D433B">
        <w:t>lta</w:t>
      </w:r>
      <w:r w:rsidRPr="002D433B">
        <w:rPr>
          <w:rStyle w:val="HideTWBExt"/>
        </w:rPr>
        <w:t>&lt;/Titre&gt;</w:t>
      </w:r>
    </w:p>
    <w:p w:rsidR="00793EA9" w:rsidRPr="002D433B" w:rsidRDefault="002D433B">
      <w:pPr>
        <w:pStyle w:val="CoverNormal24a"/>
      </w:pPr>
      <w:r w:rsidRPr="002D433B">
        <w:rPr>
          <w:rStyle w:val="HideTWBExt"/>
        </w:rPr>
        <w:t>&lt;DocRef&gt;</w:t>
      </w:r>
      <w:r w:rsidRPr="002D433B">
        <w:t>(COM(2023)0229 – C9</w:t>
      </w:r>
      <w:r w:rsidRPr="002D433B">
        <w:noBreakHyphen/>
        <w:t>0134/2023 – 2023/0113(COD))</w:t>
      </w:r>
      <w:r w:rsidRPr="002D433B">
        <w:rPr>
          <w:rStyle w:val="HideTWBExt"/>
        </w:rPr>
        <w:t>&lt;/DocRef&gt;</w:t>
      </w:r>
    </w:p>
    <w:p w:rsidR="00793EA9" w:rsidRPr="002D433B" w:rsidRDefault="002D433B">
      <w:pPr>
        <w:pStyle w:val="CoverNormal24a"/>
      </w:pPr>
      <w:r w:rsidRPr="002D433B">
        <w:rPr>
          <w:rStyle w:val="HideTWBExt"/>
        </w:rPr>
        <w:t>&lt;Commission&gt;</w:t>
      </w:r>
      <w:r w:rsidRPr="002D433B">
        <w:rPr>
          <w:rStyle w:val="HideTWBInt"/>
        </w:rPr>
        <w:t>{ECON}</w:t>
      </w:r>
      <w:r w:rsidRPr="002D433B">
        <w:t>Talous- ja raha-asioiden valiokunta</w:t>
      </w:r>
      <w:r w:rsidRPr="002D433B">
        <w:rPr>
          <w:rStyle w:val="HideTWBExt"/>
        </w:rPr>
        <w:t>&lt;/Commission&gt;</w:t>
      </w:r>
    </w:p>
    <w:p w:rsidR="00793EA9" w:rsidRPr="002D433B" w:rsidRDefault="002D433B">
      <w:pPr>
        <w:pStyle w:val="CoverNormal24a"/>
      </w:pPr>
      <w:r w:rsidRPr="002D433B">
        <w:t xml:space="preserve">Esittelijä: </w:t>
      </w:r>
      <w:r w:rsidRPr="002D433B">
        <w:rPr>
          <w:rStyle w:val="HideTWBExt"/>
        </w:rPr>
        <w:t>&lt;Depute&gt;</w:t>
      </w:r>
      <w:r w:rsidRPr="002D433B">
        <w:t>Jonás Fernández</w:t>
      </w:r>
      <w:r w:rsidRPr="002D433B">
        <w:rPr>
          <w:rStyle w:val="HideTWBExt"/>
        </w:rPr>
        <w:t>&lt;/Depute&gt;</w:t>
      </w:r>
    </w:p>
    <w:p w:rsidR="001C5B44" w:rsidRPr="002D433B" w:rsidRDefault="001C5B44" w:rsidP="001C5B44">
      <w:pPr>
        <w:pStyle w:val="CoverNormal"/>
      </w:pPr>
    </w:p>
    <w:p w:rsidR="006F1136" w:rsidRPr="002D433B" w:rsidRDefault="002D433B" w:rsidP="00DA0796">
      <w:r w:rsidRPr="002D433B">
        <w:br w:type="page"/>
      </w:r>
      <w:r w:rsidR="00AB59CE" w:rsidRPr="002D433B">
        <w:lastRenderedPageBreak/>
        <w:fldChar w:fldCharType="begin"/>
      </w:r>
      <w:r w:rsidR="00AB59CE" w:rsidRPr="002D433B">
        <w:instrText xml:space="preserve"> TITLE  \* MERGEFORMAT </w:instrText>
      </w:r>
      <w:r w:rsidR="00AB59CE" w:rsidRPr="002D433B">
        <w:fldChar w:fldCharType="separate"/>
      </w:r>
      <w:r>
        <w:t>PR_COD_1amCom</w:t>
      </w:r>
      <w:r w:rsidR="00AB59CE" w:rsidRPr="002D433B">
        <w:fldChar w:fldCharType="end"/>
      </w:r>
    </w:p>
    <w:p w:rsidR="006F1136" w:rsidRPr="002D433B" w:rsidRDefault="006F1136" w:rsidP="00DA0796"/>
    <w:p w:rsidR="006F1136" w:rsidRPr="002D433B" w:rsidRDefault="006F1136" w:rsidP="00DA0796"/>
    <w:tbl>
      <w:tblPr>
        <w:tblW w:w="0" w:type="auto"/>
        <w:tblInd w:w="1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811"/>
      </w:tblGrid>
      <w:tr w:rsidR="00E94E1F" w:rsidRPr="002D433B">
        <w:tc>
          <w:tcPr>
            <w:tcW w:w="5811" w:type="dxa"/>
          </w:tcPr>
          <w:p w:rsidR="006F1136" w:rsidRPr="002D433B" w:rsidRDefault="002D433B" w:rsidP="00DA0796">
            <w:pPr>
              <w:pStyle w:val="Lgendetitre"/>
            </w:pPr>
            <w:r w:rsidRPr="002D433B">
              <w:t>Menettelyjen symbolit</w:t>
            </w:r>
          </w:p>
        </w:tc>
      </w:tr>
      <w:tr w:rsidR="00E94E1F" w:rsidRPr="002D433B" w:rsidTr="00DA0796">
        <w:trPr>
          <w:cantSplit/>
          <w:trHeight w:val="1807"/>
        </w:trPr>
        <w:tc>
          <w:tcPr>
            <w:tcW w:w="5811" w:type="dxa"/>
            <w:tcBorders>
              <w:bottom w:val="single" w:sz="4" w:space="0" w:color="auto"/>
            </w:tcBorders>
          </w:tcPr>
          <w:p w:rsidR="006F1136" w:rsidRPr="002D433B" w:rsidRDefault="002D433B" w:rsidP="00DA0796">
            <w:pPr>
              <w:pStyle w:val="Lgendesigne"/>
            </w:pPr>
            <w:r w:rsidRPr="002D433B">
              <w:tab/>
              <w:t>*</w:t>
            </w:r>
            <w:r w:rsidRPr="002D433B">
              <w:tab/>
              <w:t>Kuulemismenettely</w:t>
            </w:r>
          </w:p>
          <w:p w:rsidR="006F1136" w:rsidRPr="002D433B" w:rsidRDefault="002D433B" w:rsidP="00DA0796">
            <w:pPr>
              <w:pStyle w:val="Lgendesigne"/>
            </w:pPr>
            <w:r w:rsidRPr="002D433B">
              <w:tab/>
              <w:t>***</w:t>
            </w:r>
            <w:r w:rsidRPr="002D433B">
              <w:tab/>
              <w:t>Hyväksyntämenettely</w:t>
            </w:r>
          </w:p>
          <w:p w:rsidR="006F1136" w:rsidRPr="002D433B" w:rsidRDefault="002D433B" w:rsidP="00DA0796">
            <w:pPr>
              <w:pStyle w:val="Lgendesigne"/>
            </w:pPr>
            <w:r w:rsidRPr="002D433B">
              <w:tab/>
              <w:t>***I</w:t>
            </w:r>
            <w:r w:rsidRPr="002D433B">
              <w:tab/>
              <w:t>Tavallinen lainsäätämisjärjestys (ensimmäinen käsittely)</w:t>
            </w:r>
          </w:p>
          <w:p w:rsidR="006F1136" w:rsidRPr="002D433B" w:rsidRDefault="002D433B" w:rsidP="00DA0796">
            <w:pPr>
              <w:pStyle w:val="Lgendesigne"/>
            </w:pPr>
            <w:r w:rsidRPr="002D433B">
              <w:tab/>
              <w:t>***II</w:t>
            </w:r>
            <w:r w:rsidRPr="002D433B">
              <w:tab/>
              <w:t>Tavallinen lainsäätämisjärjestys (toinen käsittely)</w:t>
            </w:r>
          </w:p>
          <w:p w:rsidR="006F1136" w:rsidRPr="002D433B" w:rsidRDefault="002D433B" w:rsidP="00DA0796">
            <w:pPr>
              <w:pStyle w:val="Lgendesigne"/>
            </w:pPr>
            <w:r w:rsidRPr="002D433B">
              <w:tab/>
              <w:t>***III</w:t>
            </w:r>
            <w:r w:rsidRPr="002D433B">
              <w:tab/>
              <w:t>Tavallinen lainsäätämisjärjestys (kolmas käsittely)</w:t>
            </w:r>
          </w:p>
          <w:p w:rsidR="006F1136" w:rsidRPr="002D433B" w:rsidRDefault="006F1136" w:rsidP="00DA0796">
            <w:pPr>
              <w:pStyle w:val="Lgendestandard"/>
            </w:pPr>
          </w:p>
          <w:p w:rsidR="006F1136" w:rsidRPr="002D433B" w:rsidRDefault="002D433B" w:rsidP="00DA0796">
            <w:pPr>
              <w:pStyle w:val="Lgendestandard"/>
            </w:pPr>
            <w:r w:rsidRPr="002D433B">
              <w:t>(Menettely määräytyy säädös</w:t>
            </w:r>
            <w:r w:rsidRPr="002D433B">
              <w:t>esityksessä ehdotetun oikeusperustan mukaan.)</w:t>
            </w:r>
          </w:p>
          <w:p w:rsidR="006F1136" w:rsidRPr="002D433B" w:rsidRDefault="006F1136" w:rsidP="00DA0796">
            <w:pPr>
              <w:pStyle w:val="Lgendestandard"/>
            </w:pPr>
          </w:p>
        </w:tc>
      </w:tr>
    </w:tbl>
    <w:p w:rsidR="006F1136" w:rsidRPr="002D433B" w:rsidRDefault="006F1136" w:rsidP="00DA0796"/>
    <w:p w:rsidR="006F1136" w:rsidRPr="002D433B" w:rsidRDefault="006F1136" w:rsidP="00DA0796"/>
    <w:p w:rsidR="006F1136" w:rsidRPr="002D433B" w:rsidRDefault="006F1136" w:rsidP="00DA0796"/>
    <w:p w:rsidR="006F1136" w:rsidRPr="002D433B" w:rsidRDefault="006F1136" w:rsidP="00DA0796"/>
    <w:tbl>
      <w:tblPr>
        <w:tblW w:w="0" w:type="auto"/>
        <w:tblInd w:w="1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11"/>
      </w:tblGrid>
      <w:tr w:rsidR="00E94E1F" w:rsidRPr="002D433B">
        <w:tc>
          <w:tcPr>
            <w:tcW w:w="5811" w:type="dxa"/>
          </w:tcPr>
          <w:p w:rsidR="006F1136" w:rsidRPr="002D433B" w:rsidRDefault="002D433B" w:rsidP="00DA0796">
            <w:pPr>
              <w:pStyle w:val="Lgendetitre"/>
            </w:pPr>
            <w:r w:rsidRPr="002D433B">
              <w:t>Tarkistukset säädösesitykseen</w:t>
            </w:r>
          </w:p>
        </w:tc>
      </w:tr>
      <w:tr w:rsidR="00E94E1F" w:rsidRPr="002D433B" w:rsidTr="00DA0796">
        <w:trPr>
          <w:trHeight w:val="4496"/>
        </w:trPr>
        <w:tc>
          <w:tcPr>
            <w:tcW w:w="5811" w:type="dxa"/>
          </w:tcPr>
          <w:p w:rsidR="006F1136" w:rsidRPr="002D433B" w:rsidRDefault="002D433B" w:rsidP="00DA0796">
            <w:pPr>
              <w:pStyle w:val="Lgendestandard"/>
              <w:rPr>
                <w:szCs w:val="24"/>
              </w:rPr>
            </w:pPr>
            <w:r w:rsidRPr="002D433B">
              <w:rPr>
                <w:b/>
              </w:rPr>
              <w:t>Palstoina esitettävät parlamentin tarkistukset</w:t>
            </w:r>
          </w:p>
          <w:p w:rsidR="006F1136" w:rsidRPr="002D433B" w:rsidRDefault="006F1136" w:rsidP="00DA0796">
            <w:pPr>
              <w:pStyle w:val="Lgendestandard"/>
              <w:rPr>
                <w:szCs w:val="24"/>
              </w:rPr>
            </w:pPr>
          </w:p>
          <w:p w:rsidR="006F1136" w:rsidRPr="002D433B" w:rsidRDefault="002D433B" w:rsidP="00DA0796">
            <w:pPr>
              <w:pStyle w:val="Lgendestandard"/>
              <w:rPr>
                <w:szCs w:val="24"/>
              </w:rPr>
            </w:pPr>
            <w:r w:rsidRPr="002D433B">
              <w:t xml:space="preserve">Poistettava teksti merkitään vasempaan palstaan lihavoidulla kursiivilla. </w:t>
            </w:r>
            <w:r w:rsidRPr="002D433B">
              <w:t>Tekstiä korvattaessa muutosmerkinnät tehdään molempiin palstoihin lihavoidulla kursiivilla. Uusi teksti merkitään oikeaan palstaan lihavoidulla kursiivilla.</w:t>
            </w:r>
          </w:p>
          <w:p w:rsidR="006F1136" w:rsidRPr="002D433B" w:rsidRDefault="006F1136" w:rsidP="00DA0796">
            <w:pPr>
              <w:pStyle w:val="Lgendestandard"/>
              <w:rPr>
                <w:szCs w:val="24"/>
              </w:rPr>
            </w:pPr>
          </w:p>
          <w:p w:rsidR="006F1136" w:rsidRPr="002D433B" w:rsidRDefault="002D433B" w:rsidP="00DA0796">
            <w:pPr>
              <w:pStyle w:val="Lgendestandard"/>
              <w:rPr>
                <w:szCs w:val="24"/>
              </w:rPr>
            </w:pPr>
            <w:r w:rsidRPr="002D433B">
              <w:t>Tarkistuksen tunnistetietojen ensimmäisellä ja toisella rivillä ilmoitetaan käsiteltävänä olevan säädösesityksen kohta, jota tarkistetaan. Jos tarkistus koskee olemassa olevaa säädöstä, jota säädösesityksellä muutetaan, tunnistetietojen kolmannella rivillä</w:t>
            </w:r>
            <w:r w:rsidRPr="002D433B">
              <w:t xml:space="preserve"> ilmoitetaan muutettavan säädöksen tyyppi ja numero ja neljännellä rivillä tarkistettavan tekstinkohdan paikannus.</w:t>
            </w:r>
          </w:p>
          <w:p w:rsidR="006F1136" w:rsidRPr="002D433B" w:rsidRDefault="006F1136" w:rsidP="00DA0796">
            <w:pPr>
              <w:pStyle w:val="Lgendestandard"/>
              <w:rPr>
                <w:szCs w:val="24"/>
              </w:rPr>
            </w:pPr>
          </w:p>
          <w:p w:rsidR="006F1136" w:rsidRPr="002D433B" w:rsidRDefault="002D433B" w:rsidP="00DA0796">
            <w:pPr>
              <w:pStyle w:val="Lgendestandard"/>
              <w:rPr>
                <w:b/>
                <w:szCs w:val="24"/>
              </w:rPr>
            </w:pPr>
            <w:r w:rsidRPr="002D433B">
              <w:rPr>
                <w:b/>
              </w:rPr>
              <w:t>Konsolidoituna tekstinä esitettävät parlamentin tarkistukset</w:t>
            </w:r>
          </w:p>
          <w:p w:rsidR="006F1136" w:rsidRPr="002D433B" w:rsidRDefault="006F1136" w:rsidP="00DA0796">
            <w:pPr>
              <w:pStyle w:val="Lgendestandard"/>
              <w:rPr>
                <w:szCs w:val="24"/>
              </w:rPr>
            </w:pPr>
          </w:p>
          <w:p w:rsidR="006F1136" w:rsidRPr="002D433B" w:rsidRDefault="002D433B" w:rsidP="00DA0796">
            <w:pPr>
              <w:pStyle w:val="Lgendestandard"/>
              <w:rPr>
                <w:szCs w:val="24"/>
              </w:rPr>
            </w:pPr>
            <w:r w:rsidRPr="002D433B">
              <w:t>Uusi teksti merkitään lihavoidulla kursiivilla. Poistettava teksti merkitään s</w:t>
            </w:r>
            <w:r w:rsidRPr="002D433B">
              <w:t xml:space="preserve">ymbolilla ▌tai yliviivauksella. Tekstiä korvattaessa muutosmerkinnät tehdään siten, että uusi teksti lihavoidaan ja kursivoidaan ja korvattava teksti poistetaan tai viivataan yli. </w:t>
            </w:r>
          </w:p>
          <w:p w:rsidR="006F1136" w:rsidRPr="002D433B" w:rsidRDefault="002D433B" w:rsidP="00DA0796">
            <w:pPr>
              <w:pStyle w:val="Lgendestandard"/>
            </w:pPr>
            <w:r w:rsidRPr="002D433B">
              <w:t>Parlamentin yksiköiden tekemiä lopullisen tekstin teknisiä muutoksia ei mer</w:t>
            </w:r>
            <w:r w:rsidRPr="002D433B">
              <w:t>kitä.</w:t>
            </w:r>
          </w:p>
          <w:p w:rsidR="006F1136" w:rsidRPr="002D433B" w:rsidRDefault="006F1136" w:rsidP="00DA0796">
            <w:pPr>
              <w:pStyle w:val="Lgendestandard"/>
            </w:pPr>
          </w:p>
        </w:tc>
      </w:tr>
    </w:tbl>
    <w:p w:rsidR="006F1136" w:rsidRPr="002D433B" w:rsidRDefault="006F1136" w:rsidP="00DA0796"/>
    <w:p w:rsidR="00793EA9" w:rsidRPr="002D433B" w:rsidRDefault="00793EA9" w:rsidP="00012351">
      <w:pPr>
        <w:widowControl/>
        <w:tabs>
          <w:tab w:val="center" w:pos="4677"/>
        </w:tabs>
      </w:pPr>
    </w:p>
    <w:p w:rsidR="00793EA9" w:rsidRPr="002D433B" w:rsidRDefault="002D433B">
      <w:pPr>
        <w:pStyle w:val="TOCHeading"/>
      </w:pPr>
      <w:r w:rsidRPr="002D433B">
        <w:br w:type="page"/>
        <w:t>SISÄLTÖ</w:t>
      </w:r>
    </w:p>
    <w:p w:rsidR="00793EA9" w:rsidRPr="002D433B" w:rsidRDefault="002D433B">
      <w:pPr>
        <w:pStyle w:val="TOCPage"/>
      </w:pPr>
      <w:r w:rsidRPr="002D433B">
        <w:t>Sivu</w:t>
      </w:r>
    </w:p>
    <w:p w:rsidR="002D433B" w:rsidRDefault="002D433B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 w:rsidRPr="002D433B">
        <w:rPr>
          <w:b/>
        </w:rPr>
        <w:fldChar w:fldCharType="begin"/>
      </w:r>
      <w:r w:rsidRPr="002D433B">
        <w:rPr>
          <w:b/>
        </w:rPr>
        <w:instrText xml:space="preserve"> TOC \t "PageHeading</w:instrText>
      </w:r>
      <w:r w:rsidR="00E70D3B" w:rsidRPr="002D433B">
        <w:rPr>
          <w:b/>
        </w:rPr>
        <w:instrText>;</w:instrText>
      </w:r>
      <w:r w:rsidRPr="002D433B">
        <w:rPr>
          <w:b/>
        </w:rPr>
        <w:instrText xml:space="preserve">1" </w:instrText>
      </w:r>
      <w:r w:rsidRPr="002D433B">
        <w:rPr>
          <w:b/>
        </w:rPr>
        <w:fldChar w:fldCharType="separate"/>
      </w:r>
      <w:r>
        <w:rPr>
          <w:noProof/>
        </w:rPr>
        <w:t>LUONNOS EUROOPAN PARLAMENTIN LAINSÄÄDÄNTÖPÄÄTÖSLAUSELMAKSI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_Toc146547355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2346B0" w:rsidRPr="002D433B" w:rsidRDefault="002D433B" w:rsidP="00C23324">
      <w:r w:rsidRPr="002D433B">
        <w:rPr>
          <w:b/>
        </w:rPr>
        <w:fldChar w:fldCharType="end"/>
      </w:r>
    </w:p>
    <w:p w:rsidR="00793EA9" w:rsidRPr="002D433B" w:rsidRDefault="002D433B">
      <w:pPr>
        <w:pStyle w:val="PageHeading"/>
      </w:pPr>
      <w:r w:rsidRPr="002D433B">
        <w:br w:type="page"/>
      </w:r>
      <w:r w:rsidRPr="002D433B">
        <w:br w:type="page"/>
      </w:r>
      <w:bookmarkStart w:id="1" w:name="_Toc146547355"/>
      <w:r w:rsidRPr="002D433B">
        <w:t>LUONNOS EUROOPAN PARLAMENTIN LAINSÄÄDÄNTÖPÄÄTÖSLAUSELMAKSI</w:t>
      </w:r>
      <w:bookmarkEnd w:id="1"/>
    </w:p>
    <w:p w:rsidR="00793EA9" w:rsidRPr="002D433B" w:rsidRDefault="002D433B">
      <w:pPr>
        <w:pStyle w:val="NormalBold"/>
      </w:pPr>
      <w:r w:rsidRPr="002D433B">
        <w:t>ehdotuksesta Euroopan parlamentin ja neuvoston direktiiviksi direktiivin 2014/59/EU ja asetuksen (EU) N:o 806/2014 muuttamisesta omia varoja ja hyväksyttäviä velkoja koskevan vähimmäisvaatimuksen t</w:t>
      </w:r>
      <w:r w:rsidRPr="002D433B">
        <w:t>iettyjen näkökohtien osalta</w:t>
      </w:r>
    </w:p>
    <w:p w:rsidR="00793EA9" w:rsidRPr="002D433B" w:rsidRDefault="002D433B">
      <w:pPr>
        <w:pStyle w:val="NormalBold12a"/>
      </w:pPr>
      <w:r w:rsidRPr="002D433B">
        <w:t>(COM(2023)0229 – C9</w:t>
      </w:r>
      <w:r w:rsidRPr="002D433B">
        <w:noBreakHyphen/>
        <w:t>0134/2023 – 2023/0113(COD))</w:t>
      </w:r>
    </w:p>
    <w:p w:rsidR="00793EA9" w:rsidRPr="002D433B" w:rsidRDefault="002D433B" w:rsidP="00A910C9">
      <w:pPr>
        <w:pStyle w:val="NormalBold"/>
      </w:pPr>
      <w:r w:rsidRPr="002D433B">
        <w:t>(Tavallinen lainsäätämisjärjestys: ensimmäinen käsittely)</w:t>
      </w:r>
    </w:p>
    <w:p w:rsidR="00793EA9" w:rsidRPr="002D433B" w:rsidRDefault="002D433B" w:rsidP="00A910C9">
      <w:pPr>
        <w:pStyle w:val="EPComma"/>
      </w:pPr>
      <w:r w:rsidRPr="002D433B">
        <w:rPr>
          <w:i/>
          <w:iCs/>
        </w:rPr>
        <w:t>Euroopan parlamentti,</w:t>
      </w:r>
      <w:r w:rsidRPr="002D433B">
        <w:t xml:space="preserve"> joka</w:t>
      </w:r>
    </w:p>
    <w:p w:rsidR="00793EA9" w:rsidRPr="002D433B" w:rsidRDefault="002D433B">
      <w:pPr>
        <w:pStyle w:val="NormalHanging12a"/>
      </w:pPr>
      <w:r w:rsidRPr="002D433B">
        <w:t>–</w:t>
      </w:r>
      <w:r w:rsidRPr="002D433B">
        <w:tab/>
        <w:t>ottaa huomioon komission ehdotuksen Euroopan parlamentille ja neuvostolle (COM(2023)0229),</w:t>
      </w:r>
    </w:p>
    <w:p w:rsidR="00793EA9" w:rsidRPr="002D433B" w:rsidRDefault="002D433B">
      <w:pPr>
        <w:pStyle w:val="NormalHanging12a"/>
      </w:pPr>
      <w:r w:rsidRPr="002D433B">
        <w:t>–</w:t>
      </w:r>
      <w:r w:rsidRPr="002D433B">
        <w:tab/>
      </w:r>
      <w:r w:rsidRPr="002D433B">
        <w:t>ottaa huomioon Euroopan unionin toiminnasta tehdyn sopimuksen 294 </w:t>
      </w:r>
      <w:r w:rsidRPr="002D433B">
        <w:t>artiklan 2 kohdan ja 114 artiklan, joiden mukaisesti komissio on antanut ehdotuksen Euroopan parlamentille (C9‑0134/2023),</w:t>
      </w:r>
    </w:p>
    <w:p w:rsidR="00A26F46" w:rsidRPr="002D433B" w:rsidRDefault="002D433B" w:rsidP="00A26F46">
      <w:pPr>
        <w:pStyle w:val="NormalHanging12a"/>
      </w:pPr>
      <w:r w:rsidRPr="002D433B">
        <w:t>–</w:t>
      </w:r>
      <w:r w:rsidRPr="002D433B">
        <w:tab/>
        <w:t>ottaa huomioon Euroopan unionin toiminnasta tehdyn sopimuksen 294</w:t>
      </w:r>
      <w:r w:rsidRPr="002D433B">
        <w:t> artiklan 3 kohdan,</w:t>
      </w:r>
    </w:p>
    <w:p w:rsidR="006F1136" w:rsidRPr="002D433B" w:rsidRDefault="002D433B" w:rsidP="00AD7FA6">
      <w:pPr>
        <w:pStyle w:val="NormalHanging12a"/>
      </w:pPr>
      <w:r w:rsidRPr="002D433B">
        <w:t>–</w:t>
      </w:r>
      <w:r w:rsidRPr="002D433B">
        <w:tab/>
        <w:t>ottaa huomioon Euroopan keskuspankin 5. heinäkuuta 2023 antaman lausunnon</w:t>
      </w:r>
      <w:r w:rsidRPr="002D433B">
        <w:rPr>
          <w:rStyle w:val="FootnoteReference"/>
        </w:rPr>
        <w:footnoteReference w:id="1"/>
      </w:r>
      <w:r w:rsidRPr="002D433B">
        <w:t>,</w:t>
      </w:r>
    </w:p>
    <w:p w:rsidR="00D73518" w:rsidRPr="002D433B" w:rsidRDefault="002D433B" w:rsidP="00AD7FA6">
      <w:pPr>
        <w:pStyle w:val="NormalHanging12a"/>
      </w:pPr>
      <w:r w:rsidRPr="002D433B">
        <w:t>–</w:t>
      </w:r>
      <w:r w:rsidRPr="002D433B">
        <w:tab/>
        <w:t>ottaa huomioon Euroopan talous- ja sosiaalikomitean 13. heinäkuuta 2023 antaman lausunnon</w:t>
      </w:r>
      <w:r w:rsidRPr="002D433B">
        <w:rPr>
          <w:rStyle w:val="FootnoteReference"/>
          <w:szCs w:val="24"/>
        </w:rPr>
        <w:footnoteReference w:id="2"/>
      </w:r>
      <w:r w:rsidRPr="002D433B">
        <w:t>,</w:t>
      </w:r>
    </w:p>
    <w:p w:rsidR="00793EA9" w:rsidRPr="002D433B" w:rsidRDefault="002D433B">
      <w:pPr>
        <w:pStyle w:val="NormalHanging12a"/>
      </w:pPr>
      <w:r w:rsidRPr="002D433B">
        <w:t>–</w:t>
      </w:r>
      <w:r w:rsidRPr="002D433B">
        <w:tab/>
        <w:t>ottaa huomioon työjärjestyksen 59 artiklan,</w:t>
      </w:r>
    </w:p>
    <w:p w:rsidR="006A2F5D" w:rsidRPr="002D433B" w:rsidRDefault="002D433B" w:rsidP="006A2F5D">
      <w:pPr>
        <w:pStyle w:val="NormalHanging12a"/>
      </w:pPr>
      <w:r w:rsidRPr="002D433B">
        <w:t>–</w:t>
      </w:r>
      <w:r w:rsidRPr="002D433B">
        <w:tab/>
        <w:t>ottaa huomioon t</w:t>
      </w:r>
      <w:r w:rsidRPr="002D433B">
        <w:t>alous- ja raha-asioiden valiokunnan mietinnön (A9</w:t>
      </w:r>
      <w:r w:rsidRPr="002D433B">
        <w:noBreakHyphen/>
        <w:t>0000/2023),</w:t>
      </w:r>
    </w:p>
    <w:p w:rsidR="009F6C2F" w:rsidRPr="002D433B" w:rsidRDefault="002D433B" w:rsidP="00B17848">
      <w:pPr>
        <w:pStyle w:val="NormalHanging12a"/>
      </w:pPr>
      <w:r w:rsidRPr="002D433B">
        <w:t>1.</w:t>
      </w:r>
      <w:r w:rsidRPr="002D433B">
        <w:tab/>
        <w:t>vahvistaa jäljempänä esitetyn ensimmäisen käsittelyn kannan;</w:t>
      </w:r>
    </w:p>
    <w:p w:rsidR="009F6C2F" w:rsidRPr="002D433B" w:rsidRDefault="002D433B" w:rsidP="009F6C2F">
      <w:pPr>
        <w:pStyle w:val="NormalHanging12a"/>
      </w:pPr>
      <w:r w:rsidRPr="002D433B">
        <w:t>2.</w:t>
      </w:r>
      <w:r w:rsidRPr="002D433B">
        <w:tab/>
        <w:t>pyytää komissiota antamaan asian uudelleen Euroopan parlamentin käsiteltäväksi, jos se korvaa ehdotuksensa, muuttaa sitä huomat</w:t>
      </w:r>
      <w:r w:rsidRPr="002D433B">
        <w:t>tavasti tai aikoo muuttaa sitä huomattavasti;</w:t>
      </w:r>
    </w:p>
    <w:p w:rsidR="009F6C2F" w:rsidRPr="002D433B" w:rsidRDefault="002D433B" w:rsidP="009F6C2F">
      <w:pPr>
        <w:pStyle w:val="NormalHanging12a"/>
      </w:pPr>
      <w:r w:rsidRPr="002D433B">
        <w:t>3.</w:t>
      </w:r>
      <w:r w:rsidRPr="002D433B">
        <w:tab/>
        <w:t>kehottaa puhemiestä välittämään parlamentin kannan neuvostolle ja komissiolle sekä kansallisille parlamenteille.</w:t>
      </w:r>
    </w:p>
    <w:p w:rsidR="00D30DE2" w:rsidRPr="002D433B" w:rsidRDefault="00D30DE2" w:rsidP="00D30DE2"/>
    <w:p w:rsidR="008C37B3" w:rsidRPr="002D433B" w:rsidRDefault="008C37B3" w:rsidP="00D30DE2"/>
    <w:p w:rsidR="008C37B3" w:rsidRPr="002D433B" w:rsidRDefault="008C37B3" w:rsidP="00D30DE2"/>
    <w:p w:rsidR="008C37B3" w:rsidRPr="002D433B" w:rsidRDefault="008C37B3" w:rsidP="00D30DE2"/>
    <w:p w:rsidR="008C37B3" w:rsidRPr="002D433B" w:rsidRDefault="008C37B3" w:rsidP="00D30DE2"/>
    <w:p w:rsidR="002669B6" w:rsidRPr="002D433B" w:rsidRDefault="002D433B" w:rsidP="00212B84">
      <w:pPr>
        <w:pStyle w:val="AmNumberTabs"/>
        <w:keepNext/>
      </w:pPr>
      <w:r w:rsidRPr="002D433B">
        <w:rPr>
          <w:rStyle w:val="HideTWBExt"/>
          <w:b w:val="0"/>
        </w:rPr>
        <w:t>&lt;RepeatBlock-Amend&gt;</w:t>
      </w:r>
      <w:bookmarkStart w:id="2" w:name="restart"/>
      <w:r w:rsidRPr="002D433B">
        <w:rPr>
          <w:rStyle w:val="HideTWBExt"/>
          <w:b w:val="0"/>
        </w:rPr>
        <w:t>&lt;Amend&gt;</w:t>
      </w:r>
      <w:r w:rsidRPr="002D433B">
        <w:t>Tarkistus</w:t>
      </w:r>
      <w:r w:rsidRPr="002D433B">
        <w:tab/>
      </w:r>
      <w:r w:rsidRPr="002D433B">
        <w:tab/>
      </w:r>
      <w:r w:rsidRPr="002D433B">
        <w:rPr>
          <w:rStyle w:val="HideTWBExt"/>
          <w:b w:val="0"/>
        </w:rPr>
        <w:t>&lt;NumAm&gt;</w:t>
      </w:r>
      <w:r w:rsidRPr="002D433B">
        <w:t>1</w:t>
      </w:r>
      <w:r w:rsidRPr="002D433B">
        <w:rPr>
          <w:rStyle w:val="HideTWBExt"/>
          <w:b w:val="0"/>
        </w:rPr>
        <w:t>&lt;/NumAm&gt;</w:t>
      </w:r>
    </w:p>
    <w:p w:rsidR="002669B6" w:rsidRPr="002D433B" w:rsidRDefault="002D433B" w:rsidP="00212B84">
      <w:pPr>
        <w:pStyle w:val="NormalBold12b"/>
        <w:keepNext/>
      </w:pPr>
      <w:r w:rsidRPr="002D433B">
        <w:rPr>
          <w:rStyle w:val="HideTWBExt"/>
          <w:b w:val="0"/>
        </w:rPr>
        <w:t>&lt;DocAmend&gt;</w:t>
      </w:r>
      <w:r w:rsidRPr="002D433B">
        <w:t>Ehdotus direktiiviksi</w:t>
      </w:r>
      <w:r w:rsidRPr="002D433B">
        <w:rPr>
          <w:rStyle w:val="HideTWBExt"/>
          <w:b w:val="0"/>
        </w:rPr>
        <w:t>&lt;/Do</w:t>
      </w:r>
      <w:r w:rsidRPr="002D433B">
        <w:rPr>
          <w:rStyle w:val="HideTWBExt"/>
          <w:b w:val="0"/>
        </w:rPr>
        <w:t>cAmend&gt;</w:t>
      </w:r>
    </w:p>
    <w:p w:rsidR="00932D06" w:rsidRPr="002D433B" w:rsidRDefault="002D433B" w:rsidP="00932D06">
      <w:pPr>
        <w:pStyle w:val="NormalBold"/>
      </w:pPr>
      <w:r w:rsidRPr="002D433B">
        <w:rPr>
          <w:rStyle w:val="HideTWBExt"/>
          <w:b w:val="0"/>
        </w:rPr>
        <w:t>&lt;Article&gt;</w:t>
      </w:r>
      <w:r w:rsidRPr="002D433B">
        <w:t>Johdanto-osan 1 kappale</w:t>
      </w:r>
      <w:r w:rsidRPr="002D433B">
        <w:rPr>
          <w:rStyle w:val="HideTWBExt"/>
          <w:b w:val="0"/>
        </w:rPr>
        <w:t>&lt;/Article&gt;</w:t>
      </w:r>
      <w:bookmarkEnd w:id="2"/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94E1F" w:rsidRPr="002D433B" w:rsidTr="00932D06">
        <w:trPr>
          <w:jc w:val="center"/>
        </w:trPr>
        <w:tc>
          <w:tcPr>
            <w:tcW w:w="9752" w:type="dxa"/>
            <w:gridSpan w:val="2"/>
          </w:tcPr>
          <w:p w:rsidR="00932D06" w:rsidRPr="002D433B" w:rsidRDefault="00932D06">
            <w:pPr>
              <w:keepNext/>
            </w:pPr>
          </w:p>
        </w:tc>
      </w:tr>
      <w:tr w:rsidR="00E94E1F" w:rsidRPr="002D433B" w:rsidTr="00932D06">
        <w:trPr>
          <w:jc w:val="center"/>
        </w:trPr>
        <w:tc>
          <w:tcPr>
            <w:tcW w:w="4876" w:type="dxa"/>
            <w:hideMark/>
          </w:tcPr>
          <w:p w:rsidR="00932D06" w:rsidRPr="002D433B" w:rsidRDefault="002D433B">
            <w:pPr>
              <w:pStyle w:val="ColumnHeading"/>
              <w:keepNext/>
            </w:pPr>
            <w:r w:rsidRPr="002D433B">
              <w:t>Komission teksti</w:t>
            </w:r>
          </w:p>
        </w:tc>
        <w:tc>
          <w:tcPr>
            <w:tcW w:w="4876" w:type="dxa"/>
            <w:hideMark/>
          </w:tcPr>
          <w:p w:rsidR="00932D06" w:rsidRPr="002D433B" w:rsidRDefault="002D433B">
            <w:pPr>
              <w:pStyle w:val="ColumnHeading"/>
              <w:keepNext/>
            </w:pPr>
            <w:r w:rsidRPr="002D433B">
              <w:t>Tarkistus</w:t>
            </w:r>
          </w:p>
        </w:tc>
      </w:tr>
      <w:tr w:rsidR="00E94E1F" w:rsidRPr="002D433B" w:rsidTr="00932D06">
        <w:trPr>
          <w:jc w:val="center"/>
        </w:trPr>
        <w:tc>
          <w:tcPr>
            <w:tcW w:w="4876" w:type="dxa"/>
            <w:hideMark/>
          </w:tcPr>
          <w:p w:rsidR="00932D06" w:rsidRPr="002D433B" w:rsidRDefault="002D433B">
            <w:pPr>
              <w:pStyle w:val="Normal6"/>
            </w:pPr>
            <w:r w:rsidRPr="002D433B">
              <w:t>(1)</w:t>
            </w:r>
            <w:r w:rsidRPr="002D433B">
              <w:tab/>
              <w:t>Euroopan parlamentin ja neuvoston direktiivillä (EU) 2019/879</w:t>
            </w:r>
            <w:r w:rsidRPr="002D433B">
              <w:rPr>
                <w:vertAlign w:val="superscript"/>
              </w:rPr>
              <w:t>16</w:t>
            </w:r>
            <w:r w:rsidRPr="002D433B">
              <w:t xml:space="preserve"> ja Euroopan parlamentin ja neuvoston asetuksella (EU) 2019/877</w:t>
            </w:r>
            <w:r w:rsidRPr="002D433B">
              <w:rPr>
                <w:vertAlign w:val="superscript"/>
              </w:rPr>
              <w:t>17</w:t>
            </w:r>
            <w:r w:rsidRPr="002D433B">
              <w:t xml:space="preserve"> muutettiin Euroopan parlamentin ja neuvoston direktiivissä 2014/59/EU</w:t>
            </w:r>
            <w:r w:rsidRPr="002D433B">
              <w:rPr>
                <w:vertAlign w:val="superscript"/>
              </w:rPr>
              <w:t>18</w:t>
            </w:r>
            <w:r w:rsidRPr="002D433B">
              <w:t xml:space="preserve"> ja Euroopan parlamentin ja neuvoston asetuksessa (EU) N:o 806/2014</w:t>
            </w:r>
            <w:r w:rsidRPr="002D433B">
              <w:rPr>
                <w:vertAlign w:val="superscript"/>
              </w:rPr>
              <w:t>19</w:t>
            </w:r>
            <w:r w:rsidRPr="002D433B">
              <w:t xml:space="preserve"> säädettyä omia varoja ja hyväksyttäviä velkoja koskevaa vähimmäisvaatimusta, jäljempänä ’MREL-vähimmäisvaatimus’, </w:t>
            </w:r>
            <w:r w:rsidRPr="002D433B">
              <w:t>jota sovelletaan unioniin sijoittautuneisiin luottolaitoksiin ja sijoituspalveluyrityksiin, jäljempänä ’laitokset’, sekä muihin direktiivin 2014/59/EU tai asetuksen (EU) N:o 806/2014 soveltamisalaan kuuluviin yhteisöihin, jäljempänä ’yhteisöt’. Näillä muut</w:t>
            </w:r>
            <w:r w:rsidRPr="002D433B">
              <w:t>oksilla mahdollistettiin se, että yhteisöt, jotka ovat kriisinratkaisun kohteena olevien yhteisöjen tytäryrityksiä mutta eivät ole itse kriisinratkaisun kohteena olevia yhteisöjä, voivat kattaa sisäisen MREL-vähimmäisvaatimuksen instrumenteilla, jotka on l</w:t>
            </w:r>
            <w:r w:rsidRPr="002D433B">
              <w:t>askettu liikkeeseen ja myyty kriisinratkaisun kohteena olevalle yhteisölle joko suoraan tai välillisesti muiden samaan kriisinratkaisun kohteena olevaan konserniin kuuluvien yhteisöjen kautta</w:t>
            </w:r>
            <w:r w:rsidRPr="002D433B">
              <w:rPr>
                <w:b/>
                <w:i/>
              </w:rPr>
              <w:t xml:space="preserve">, </w:t>
            </w:r>
            <w:r w:rsidRPr="002D433B">
              <w:t>.</w:t>
            </w:r>
          </w:p>
        </w:tc>
        <w:tc>
          <w:tcPr>
            <w:tcW w:w="4876" w:type="dxa"/>
            <w:hideMark/>
          </w:tcPr>
          <w:p w:rsidR="00932D06" w:rsidRPr="002D433B" w:rsidRDefault="002D433B">
            <w:pPr>
              <w:pStyle w:val="Normal6"/>
              <w:rPr>
                <w:szCs w:val="24"/>
              </w:rPr>
            </w:pPr>
            <w:r w:rsidRPr="002D433B">
              <w:t>(1)</w:t>
            </w:r>
            <w:r w:rsidRPr="002D433B">
              <w:tab/>
              <w:t>Euroopan parlamentin ja neuvoston direktiivillä (EU) 2019</w:t>
            </w:r>
            <w:r w:rsidRPr="002D433B">
              <w:t>/879</w:t>
            </w:r>
            <w:r w:rsidRPr="002D433B">
              <w:rPr>
                <w:vertAlign w:val="superscript"/>
              </w:rPr>
              <w:t>16</w:t>
            </w:r>
            <w:r w:rsidRPr="002D433B">
              <w:t xml:space="preserve"> ja Euroopan parlamentin ja neuvoston asetuksella (EU) 2019/877</w:t>
            </w:r>
            <w:r w:rsidRPr="002D433B">
              <w:rPr>
                <w:vertAlign w:val="superscript"/>
              </w:rPr>
              <w:t>17</w:t>
            </w:r>
            <w:r w:rsidRPr="002D433B">
              <w:t xml:space="preserve"> muutettiin Euroopan parlamentin ja neuvoston direktiivissä 2014/59/EU</w:t>
            </w:r>
            <w:r w:rsidRPr="002D433B">
              <w:rPr>
                <w:vertAlign w:val="superscript"/>
              </w:rPr>
              <w:t>18</w:t>
            </w:r>
            <w:r w:rsidRPr="002D433B">
              <w:t xml:space="preserve"> ja Euroopan parlamentin ja neuvoston asetuksessa (EU) N:o 806/2014</w:t>
            </w:r>
            <w:r w:rsidRPr="002D433B">
              <w:rPr>
                <w:vertAlign w:val="superscript"/>
              </w:rPr>
              <w:t>19</w:t>
            </w:r>
            <w:r w:rsidRPr="002D433B">
              <w:t xml:space="preserve"> säädettyä omia varoja ja hyväksyttäviä velk</w:t>
            </w:r>
            <w:r w:rsidRPr="002D433B">
              <w:t>oja koskevaa vähimmäisvaatimusta, jäljempänä ’MREL-vähimmäisvaatimus’, jota sovelletaan unioniin sijoittautuneisiin luottolaitoksiin ja sijoituspalveluyrityksiin, jäljempänä ’laitokset’, sekä muihin direktiivin 2014/59/EU tai asetuksen (EU) N:o 806/2014 so</w:t>
            </w:r>
            <w:r w:rsidRPr="002D433B">
              <w:t xml:space="preserve">veltamisalaan kuuluviin yhteisöihin, jäljempänä ’yhteisöt’. Näillä muutoksilla mahdollistettiin se, että </w:t>
            </w:r>
            <w:r w:rsidRPr="002D433B">
              <w:rPr>
                <w:b/>
                <w:i/>
              </w:rPr>
              <w:t xml:space="preserve">laitokset ja </w:t>
            </w:r>
            <w:r w:rsidRPr="002D433B">
              <w:t>yhteisöt, jotka ovat kriisinratkaisun kohteena olevien yhteisöjen tytäryrityksiä mutta eivät ole itse kriisinratkaisun kohteena olevia</w:t>
            </w:r>
            <w:r w:rsidRPr="002D433B">
              <w:rPr>
                <w:b/>
                <w:i/>
              </w:rPr>
              <w:t xml:space="preserve"> lai</w:t>
            </w:r>
            <w:r w:rsidRPr="002D433B">
              <w:rPr>
                <w:b/>
                <w:i/>
              </w:rPr>
              <w:t>toksia ja</w:t>
            </w:r>
            <w:r w:rsidRPr="002D433B">
              <w:t xml:space="preserve"> yhteisöjä, voivat kattaa sisäisen MREL-vähimmäisvaatimuksen instrumenteilla, jotka on laskettu liikkeeseen ja myyty kriisinratkaisun kohteena olevalle yhteisölle joko suoraan tai välillisesti muiden samaan kriisinratkaisun kohteena olevaan konser</w:t>
            </w:r>
            <w:r w:rsidRPr="002D433B">
              <w:t>niin kuuluvien yhteisöjen kautta.</w:t>
            </w:r>
          </w:p>
        </w:tc>
      </w:tr>
      <w:tr w:rsidR="00E94E1F" w:rsidRPr="002D433B" w:rsidTr="00932D06">
        <w:trPr>
          <w:jc w:val="center"/>
        </w:trPr>
        <w:tc>
          <w:tcPr>
            <w:tcW w:w="4876" w:type="dxa"/>
            <w:hideMark/>
          </w:tcPr>
          <w:p w:rsidR="00932D06" w:rsidRPr="002D433B" w:rsidRDefault="002D433B">
            <w:pPr>
              <w:pStyle w:val="Normal6"/>
            </w:pPr>
            <w:r w:rsidRPr="002D433B">
              <w:t>__________________</w:t>
            </w:r>
          </w:p>
        </w:tc>
        <w:tc>
          <w:tcPr>
            <w:tcW w:w="4876" w:type="dxa"/>
            <w:hideMark/>
          </w:tcPr>
          <w:p w:rsidR="00932D06" w:rsidRPr="002D433B" w:rsidRDefault="002D433B">
            <w:pPr>
              <w:pStyle w:val="Normal6"/>
              <w:rPr>
                <w:szCs w:val="24"/>
              </w:rPr>
            </w:pPr>
            <w:r w:rsidRPr="002D433B">
              <w:t>__________________</w:t>
            </w:r>
          </w:p>
        </w:tc>
      </w:tr>
      <w:tr w:rsidR="00E94E1F" w:rsidRPr="002D433B" w:rsidTr="00932D06">
        <w:trPr>
          <w:jc w:val="center"/>
        </w:trPr>
        <w:tc>
          <w:tcPr>
            <w:tcW w:w="4876" w:type="dxa"/>
            <w:hideMark/>
          </w:tcPr>
          <w:p w:rsidR="00932D06" w:rsidRPr="002D433B" w:rsidRDefault="002D433B">
            <w:pPr>
              <w:pStyle w:val="Normal6"/>
            </w:pPr>
            <w:r w:rsidRPr="002D433B">
              <w:rPr>
                <w:vertAlign w:val="superscript"/>
              </w:rPr>
              <w:t>16</w:t>
            </w:r>
            <w:r w:rsidRPr="002D433B">
              <w:t xml:space="preserve"> Euroopan parlamentin ja neuvoston direktiivi (EU) 2019/879, annettu 20 päivänä toukokuuta 2019, direktiivin 2014/59/EU muuttamisesta luottolaitosten ja sijoituspalveluyritysten ta</w:t>
            </w:r>
            <w:r w:rsidRPr="002D433B">
              <w:t>ppionkattamiskyvyn ja pääomapohjan vahvistamiskyvyn osalta sekä direktiivin 98/26/EY muuttamisesta (EUVL L 150, 7.6.2019, s. 296).</w:t>
            </w:r>
          </w:p>
        </w:tc>
        <w:tc>
          <w:tcPr>
            <w:tcW w:w="4876" w:type="dxa"/>
            <w:hideMark/>
          </w:tcPr>
          <w:p w:rsidR="00932D06" w:rsidRPr="002D433B" w:rsidRDefault="002D433B">
            <w:pPr>
              <w:pStyle w:val="Normal6"/>
              <w:rPr>
                <w:szCs w:val="24"/>
              </w:rPr>
            </w:pPr>
            <w:r w:rsidRPr="002D433B">
              <w:rPr>
                <w:vertAlign w:val="superscript"/>
              </w:rPr>
              <w:t>16</w:t>
            </w:r>
            <w:r w:rsidRPr="002D433B">
              <w:t xml:space="preserve"> Euroopan parlamentin ja neuvoston direktiivi (EU) 2019/879, annettu 20 päivänä toukokuuta 2019, direktiivin 2014/59/EU muu</w:t>
            </w:r>
            <w:r w:rsidRPr="002D433B">
              <w:t>ttamisesta luottolaitosten ja sijoituspalveluyritysten tappionkattamiskyvyn ja pääomapohjan vahvistamiskyvyn osalta sekä direktiivin 98/26/EY muuttamisesta (EUVL L 150, 7.6.2019, s. 296).</w:t>
            </w:r>
          </w:p>
        </w:tc>
      </w:tr>
      <w:tr w:rsidR="00E94E1F" w:rsidRPr="002D433B" w:rsidTr="00932D06">
        <w:trPr>
          <w:jc w:val="center"/>
        </w:trPr>
        <w:tc>
          <w:tcPr>
            <w:tcW w:w="4876" w:type="dxa"/>
            <w:hideMark/>
          </w:tcPr>
          <w:p w:rsidR="00932D06" w:rsidRPr="002D433B" w:rsidRDefault="002D433B">
            <w:pPr>
              <w:pStyle w:val="Normal6"/>
            </w:pPr>
            <w:r w:rsidRPr="002D433B">
              <w:rPr>
                <w:vertAlign w:val="superscript"/>
              </w:rPr>
              <w:t>17</w:t>
            </w:r>
            <w:r w:rsidRPr="002D433B">
              <w:t xml:space="preserve"> Euroopan parlamentin ja neuvoston asetus (EU) 2019/877, annettu </w:t>
            </w:r>
            <w:r w:rsidRPr="002D433B">
              <w:t>20 päivänä toukokuuta 2019, asetuksen (EU) N:o 806/2014 muuttamisesta luottolaitosten ja sijoituspalveluyritysten tappionkattamiskyvyn ja pääomapohjan vahvistamiskyvyn osalta (EUVL L 150, 7.6.2019, s. 226).</w:t>
            </w:r>
          </w:p>
        </w:tc>
        <w:tc>
          <w:tcPr>
            <w:tcW w:w="4876" w:type="dxa"/>
            <w:hideMark/>
          </w:tcPr>
          <w:p w:rsidR="00932D06" w:rsidRPr="002D433B" w:rsidRDefault="002D433B">
            <w:pPr>
              <w:pStyle w:val="Normal6"/>
              <w:rPr>
                <w:szCs w:val="24"/>
              </w:rPr>
            </w:pPr>
            <w:r w:rsidRPr="002D433B">
              <w:rPr>
                <w:vertAlign w:val="superscript"/>
              </w:rPr>
              <w:t>17</w:t>
            </w:r>
            <w:r w:rsidRPr="002D433B">
              <w:t xml:space="preserve"> Euroopan parlamentin ja neuvoston asetus (EU) 2019/877, annettu 20 päivänä toukokuuta 2019, asetuksen (EU) N:o 806/2014 muuttamisesta luottolaitosten ja sijoituspalveluyritysten tappionkattamiskyvyn ja pääomapohjan vahvistamiskyvyn osalta (EUVL L 150, 7.6</w:t>
            </w:r>
            <w:r w:rsidRPr="002D433B">
              <w:t>.2019, s. 226).</w:t>
            </w:r>
          </w:p>
        </w:tc>
      </w:tr>
      <w:tr w:rsidR="00E94E1F" w:rsidRPr="002D433B" w:rsidTr="00932D06">
        <w:trPr>
          <w:jc w:val="center"/>
        </w:trPr>
        <w:tc>
          <w:tcPr>
            <w:tcW w:w="4876" w:type="dxa"/>
            <w:hideMark/>
          </w:tcPr>
          <w:p w:rsidR="00932D06" w:rsidRPr="002D433B" w:rsidRDefault="002D433B">
            <w:pPr>
              <w:pStyle w:val="Normal6"/>
            </w:pPr>
            <w:r w:rsidRPr="002D433B">
              <w:rPr>
                <w:vertAlign w:val="superscript"/>
              </w:rPr>
              <w:t>18</w:t>
            </w:r>
            <w:r w:rsidRPr="002D433B">
              <w:t xml:space="preserve"> Euroopan parlamentin ja neuvoston direktiivi 2014/59/EU, annettu 15 päivänä toukokuuta 2014, luottolaitosten ja sijoituspalveluyritysten elvytys- ja kriisinratkaisukehyksestä sekä neuvoston direktiivin 82/891/ETY, Euroopan parlamentin j</w:t>
            </w:r>
            <w:r w:rsidRPr="002D433B">
              <w:t>a neuvoston direktiivien 2001/24/EY, 2002/47/EY, 2004/25/EY, 2005/56/EY, 2007/36/EY, 2011/35/EU, 2012/30/EU ja 2013/36/EU ja asetusten (EU) N:o 1093/2010 ja (EU) N:o 648/2012 muuttamisesta (EUVL L 173, 12.6.2014, s. 190).</w:t>
            </w:r>
          </w:p>
        </w:tc>
        <w:tc>
          <w:tcPr>
            <w:tcW w:w="4876" w:type="dxa"/>
            <w:hideMark/>
          </w:tcPr>
          <w:p w:rsidR="00932D06" w:rsidRPr="002D433B" w:rsidRDefault="002D433B">
            <w:pPr>
              <w:pStyle w:val="Normal6"/>
              <w:rPr>
                <w:szCs w:val="24"/>
              </w:rPr>
            </w:pPr>
            <w:r w:rsidRPr="002D433B">
              <w:rPr>
                <w:vertAlign w:val="superscript"/>
              </w:rPr>
              <w:t>18</w:t>
            </w:r>
            <w:r w:rsidRPr="002D433B">
              <w:t xml:space="preserve"> Euroopan parlamentin ja neuvost</w:t>
            </w:r>
            <w:r w:rsidRPr="002D433B">
              <w:t>on direktiivi 2014/59/EU, annettu 15 päivänä toukokuuta 2014, luottolaitosten ja sijoituspalveluyritysten elvytys- ja kriisinratkaisukehyksestä sekä neuvoston direktiivin 82/891/ETY, Euroopan parlamentin ja neuvoston direktiivien 2001/24/EY, 2002/47/EY, 20</w:t>
            </w:r>
            <w:r w:rsidRPr="002D433B">
              <w:t>04/25/EY, 2005/56/EY, 2007/36/EY, 2011/35/EU, 2012/30/EU ja 2013/36/EU ja asetusten (EU) N:o 1093/2010 ja (EU) N:o 648/2012 muuttamisesta (EUVL L 173, 12.6.2014, s. 190).</w:t>
            </w:r>
          </w:p>
        </w:tc>
      </w:tr>
      <w:tr w:rsidR="00E94E1F" w:rsidRPr="002D433B" w:rsidTr="00932D06">
        <w:trPr>
          <w:jc w:val="center"/>
        </w:trPr>
        <w:tc>
          <w:tcPr>
            <w:tcW w:w="4876" w:type="dxa"/>
            <w:hideMark/>
          </w:tcPr>
          <w:p w:rsidR="00932D06" w:rsidRPr="002D433B" w:rsidRDefault="002D433B">
            <w:pPr>
              <w:pStyle w:val="Normal6"/>
            </w:pPr>
            <w:r w:rsidRPr="002D433B">
              <w:rPr>
                <w:vertAlign w:val="superscript"/>
              </w:rPr>
              <w:t>19</w:t>
            </w:r>
            <w:r w:rsidRPr="002D433B">
              <w:t xml:space="preserve"> Euroopan parlamentin ja neuvoston asetus (EU) N:o 806/2014, annettu 15 päivänä he</w:t>
            </w:r>
            <w:r w:rsidRPr="002D433B">
              <w:t>inäkuuta 2014, yhdenmukaisten sääntöjen ja yhdenmukaisen menettelyn vahvistamisesta luottolaitosten ja tiettyjen sijoituspalveluyritysten kriisinratkaisua varten yhteisen kriisinratkaisumekanismin ja yhteisen kriisinratkaisurahaston puitteissa sekä asetuks</w:t>
            </w:r>
            <w:r w:rsidRPr="002D433B">
              <w:t>en (EU) N:o 1093/2010 muuttamisesta (EUVL L 225, 30.7.2014, s. 1).</w:t>
            </w:r>
          </w:p>
        </w:tc>
        <w:tc>
          <w:tcPr>
            <w:tcW w:w="4876" w:type="dxa"/>
            <w:hideMark/>
          </w:tcPr>
          <w:p w:rsidR="00932D06" w:rsidRPr="002D433B" w:rsidRDefault="002D433B">
            <w:pPr>
              <w:pStyle w:val="Normal6"/>
              <w:rPr>
                <w:szCs w:val="24"/>
              </w:rPr>
            </w:pPr>
            <w:r w:rsidRPr="002D433B">
              <w:rPr>
                <w:vertAlign w:val="superscript"/>
              </w:rPr>
              <w:t>19</w:t>
            </w:r>
            <w:r w:rsidRPr="002D433B">
              <w:t xml:space="preserve"> Euroopan parlamentin ja neuvoston asetus (EU) N:o 806/2014, annettu 15 päivänä heinäkuuta 2014, yhdenmukaisten sääntöjen ja yhdenmukaisen menettelyn vahvistamisesta luottolaitosten ja ti</w:t>
            </w:r>
            <w:r w:rsidRPr="002D433B">
              <w:t>ettyjen sijoituspalveluyritysten kriisinratkaisua varten yhteisen kriisinratkaisumekanismin ja yhteisen kriisinratkaisurahaston puitteissa sekä asetuksen (EU) N:o 1093/2010 muuttamisesta (EUVL L 225, 30.7.2014, s. 1).</w:t>
            </w:r>
          </w:p>
        </w:tc>
      </w:tr>
    </w:tbl>
    <w:p w:rsidR="00932D06" w:rsidRPr="002D433B" w:rsidRDefault="002D433B" w:rsidP="00932D06">
      <w:pPr>
        <w:pStyle w:val="Olang"/>
        <w:rPr>
          <w:sz w:val="24"/>
          <w:szCs w:val="24"/>
        </w:rPr>
      </w:pPr>
      <w:r w:rsidRPr="002D433B">
        <w:rPr>
          <w:sz w:val="24"/>
          <w:szCs w:val="24"/>
        </w:rPr>
        <w:t xml:space="preserve">Or. </w:t>
      </w:r>
      <w:r w:rsidRPr="002D433B">
        <w:rPr>
          <w:rStyle w:val="HideTWBExt"/>
        </w:rPr>
        <w:t>&lt;Original&gt;</w:t>
      </w:r>
      <w:r w:rsidRPr="002D433B">
        <w:rPr>
          <w:rStyle w:val="HideTWBInt"/>
          <w:sz w:val="24"/>
          <w:szCs w:val="24"/>
        </w:rPr>
        <w:t>{EN}</w:t>
      </w:r>
      <w:r w:rsidRPr="002D433B">
        <w:rPr>
          <w:sz w:val="24"/>
          <w:szCs w:val="24"/>
        </w:rPr>
        <w:t>en</w:t>
      </w:r>
      <w:r w:rsidRPr="002D433B">
        <w:rPr>
          <w:rStyle w:val="HideTWBExt"/>
        </w:rPr>
        <w:t>&lt;/Original&gt;</w:t>
      </w:r>
    </w:p>
    <w:p w:rsidR="00932D06" w:rsidRPr="002D433B" w:rsidRDefault="002D433B" w:rsidP="00932D06">
      <w:pPr>
        <w:rPr>
          <w:szCs w:val="24"/>
        </w:rPr>
      </w:pPr>
      <w:r w:rsidRPr="002D433B">
        <w:rPr>
          <w:rStyle w:val="HideTWBExt"/>
        </w:rPr>
        <w:t>&lt;/Amend&gt;</w:t>
      </w:r>
    </w:p>
    <w:p w:rsidR="00932D06" w:rsidRPr="002D433B" w:rsidRDefault="002D433B" w:rsidP="00932D06">
      <w:pPr>
        <w:pStyle w:val="AMNumberTabs0"/>
        <w:keepNext/>
      </w:pPr>
      <w:r w:rsidRPr="002D433B">
        <w:rPr>
          <w:rStyle w:val="HideTWBExt"/>
          <w:b w:val="0"/>
        </w:rPr>
        <w:t>&lt;Amend&gt;</w:t>
      </w:r>
      <w:r w:rsidRPr="002D433B">
        <w:t>Tarkistus</w:t>
      </w:r>
      <w:r w:rsidRPr="002D433B">
        <w:tab/>
      </w:r>
      <w:r w:rsidRPr="002D433B">
        <w:tab/>
      </w:r>
      <w:r w:rsidRPr="002D433B">
        <w:rPr>
          <w:rStyle w:val="HideTWBExt"/>
          <w:b w:val="0"/>
        </w:rPr>
        <w:t>&lt;NumAm&gt;</w:t>
      </w:r>
      <w:r w:rsidRPr="002D433B">
        <w:t>2</w:t>
      </w:r>
      <w:r w:rsidRPr="002D433B">
        <w:rPr>
          <w:rStyle w:val="HideTWBExt"/>
          <w:b w:val="0"/>
        </w:rPr>
        <w:t>&lt;/NumAm&gt;</w:t>
      </w:r>
    </w:p>
    <w:p w:rsidR="00932D06" w:rsidRPr="002D433B" w:rsidRDefault="002D433B" w:rsidP="00932D06">
      <w:pPr>
        <w:pStyle w:val="NormalBold12b"/>
        <w:keepNext/>
      </w:pPr>
      <w:r w:rsidRPr="002D433B">
        <w:rPr>
          <w:rStyle w:val="HideTWBExt"/>
          <w:b w:val="0"/>
        </w:rPr>
        <w:t>&lt;DocAmend&gt;</w:t>
      </w:r>
      <w:r w:rsidRPr="002D433B">
        <w:t>Ehdotus direktiiviksi</w:t>
      </w:r>
      <w:r w:rsidRPr="002D433B">
        <w:rPr>
          <w:rStyle w:val="HideTWBExt"/>
          <w:b w:val="0"/>
        </w:rPr>
        <w:t>&lt;/DocAmend&gt;</w:t>
      </w:r>
    </w:p>
    <w:p w:rsidR="00932D06" w:rsidRPr="002D433B" w:rsidRDefault="002D433B" w:rsidP="00932D06">
      <w:pPr>
        <w:pStyle w:val="NormalBold"/>
      </w:pPr>
      <w:r w:rsidRPr="002D433B">
        <w:rPr>
          <w:rStyle w:val="HideTWBExt"/>
          <w:b w:val="0"/>
        </w:rPr>
        <w:t>&lt;Article&gt;</w:t>
      </w:r>
      <w:r w:rsidRPr="002D433B">
        <w:t>Johdanto-osan 3 kappale</w:t>
      </w:r>
      <w:r w:rsidRPr="002D433B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94E1F" w:rsidRPr="002D433B" w:rsidTr="00932D06">
        <w:trPr>
          <w:jc w:val="center"/>
        </w:trPr>
        <w:tc>
          <w:tcPr>
            <w:tcW w:w="9752" w:type="dxa"/>
            <w:gridSpan w:val="2"/>
          </w:tcPr>
          <w:p w:rsidR="00932D06" w:rsidRPr="002D433B" w:rsidRDefault="00932D06">
            <w:pPr>
              <w:keepNext/>
            </w:pPr>
          </w:p>
        </w:tc>
      </w:tr>
      <w:tr w:rsidR="00E94E1F" w:rsidRPr="002D433B" w:rsidTr="00932D06">
        <w:trPr>
          <w:jc w:val="center"/>
        </w:trPr>
        <w:tc>
          <w:tcPr>
            <w:tcW w:w="4876" w:type="dxa"/>
            <w:hideMark/>
          </w:tcPr>
          <w:p w:rsidR="00932D06" w:rsidRPr="002D433B" w:rsidRDefault="002D433B">
            <w:pPr>
              <w:pStyle w:val="ColumnHeading"/>
              <w:keepNext/>
            </w:pPr>
            <w:r w:rsidRPr="002D433B">
              <w:t>Komission teksti</w:t>
            </w:r>
          </w:p>
        </w:tc>
        <w:tc>
          <w:tcPr>
            <w:tcW w:w="4876" w:type="dxa"/>
            <w:hideMark/>
          </w:tcPr>
          <w:p w:rsidR="00932D06" w:rsidRPr="002D433B" w:rsidRDefault="002D433B">
            <w:pPr>
              <w:pStyle w:val="ColumnHeading"/>
              <w:keepNext/>
            </w:pPr>
            <w:r w:rsidRPr="002D433B">
              <w:t>Tarkistus</w:t>
            </w:r>
          </w:p>
        </w:tc>
      </w:tr>
      <w:tr w:rsidR="00E94E1F" w:rsidRPr="002D433B" w:rsidTr="00932D06">
        <w:trPr>
          <w:jc w:val="center"/>
        </w:trPr>
        <w:tc>
          <w:tcPr>
            <w:tcW w:w="4876" w:type="dxa"/>
            <w:hideMark/>
          </w:tcPr>
          <w:p w:rsidR="00932D06" w:rsidRPr="002D433B" w:rsidRDefault="002D433B">
            <w:pPr>
              <w:pStyle w:val="Normal6"/>
            </w:pPr>
            <w:r w:rsidRPr="002D433B">
              <w:t>(3)</w:t>
            </w:r>
            <w:r w:rsidRPr="002D433B">
              <w:tab/>
            </w:r>
            <w:r w:rsidRPr="002D433B">
              <w:t>Komission tekemässä uudelleentarkastelussa todettiin, että olisi asianmukaista ja sisäistä MREL-vähimmäisvaatimusta koskevien sääntöjen tavoitteisiin nähden oikeasuhteista antaa kriisinratkaisuviranomaisille mahdollisuus asettaa sisäinen MREL-vähimmäisvaat</w:t>
            </w:r>
            <w:r w:rsidRPr="002D433B">
              <w:t>imus konsolidoinnin perusteella useammille yhteisöille kuin direktiivin 2014/59/EU ja asetuksen (EU) N:o 806/2014 nojalla on mahdollista siten, että tämä mahdollisuus koskisi laitoksia ja yhteisöjä, jotka eivät itse ole kriisinratkaisun kohteena olevia yht</w:t>
            </w:r>
            <w:r w:rsidRPr="002D433B">
              <w:t xml:space="preserve">eisöjä mutta ovat kriisinratkaisun kohteena olevien yhteisöjen tytäryrityksiä ja käyttävät määräysvaltaa </w:t>
            </w:r>
            <w:r w:rsidRPr="002D433B">
              <w:rPr>
                <w:b/>
                <w:i/>
              </w:rPr>
              <w:t>tytäryrityksissä, joihin sovelletaan MREL-vähimmäisvaatimusta</w:t>
            </w:r>
            <w:r w:rsidRPr="002D433B">
              <w:t>, jäljempänä ’väliyhtiönä toimivat yhteisöt’. Tämä koskisi erityisesti niitä pankkiryhmiä,</w:t>
            </w:r>
            <w:r w:rsidRPr="002D433B">
              <w:t xml:space="preserve"> joiden johdossa on holdingyhtiö. Tällaisissa tapauksissa väliyhtiönä toimivat yhteisöt luonnollisesti keskittävät konsernin sisäiset vastuut ja ohjaavat kriisinratkaisun kohteena olevan yhteisön ennalta asettamat, sisäisen MREL-vähimmäisvaatimuksen kattam</w:t>
            </w:r>
            <w:r w:rsidRPr="002D433B">
              <w:t xml:space="preserve">iseen hyväksyttävät varat eteenpäin. Tämän rakenteen vuoksi vähentämissäännöt </w:t>
            </w:r>
            <w:r w:rsidRPr="002D433B">
              <w:rPr>
                <w:b/>
                <w:i/>
              </w:rPr>
              <w:t>vaikuttaisivat</w:t>
            </w:r>
            <w:r w:rsidRPr="002D433B">
              <w:t xml:space="preserve"> kohtuuttomasti tällaisiin väliyhtiönä toimiviin yhteisöihin. Komissio totesi myös, että </w:t>
            </w:r>
            <w:r w:rsidRPr="002D433B">
              <w:rPr>
                <w:b/>
                <w:i/>
              </w:rPr>
              <w:t>MREL-kehys olisi</w:t>
            </w:r>
            <w:r w:rsidRPr="002D433B">
              <w:t xml:space="preserve"> oikeasuhteisempi, jos </w:t>
            </w:r>
            <w:r w:rsidRPr="002D433B">
              <w:rPr>
                <w:b/>
                <w:i/>
              </w:rPr>
              <w:t>likvidoitavien yhteisöjen liikkeesee</w:t>
            </w:r>
            <w:r w:rsidRPr="002D433B">
              <w:rPr>
                <w:b/>
                <w:i/>
              </w:rPr>
              <w:t>n laskemat instrumentit poistettaisiin</w:t>
            </w:r>
            <w:r w:rsidRPr="002D433B">
              <w:t xml:space="preserve"> niiden vastuiden </w:t>
            </w:r>
            <w:r w:rsidRPr="002D433B">
              <w:rPr>
                <w:b/>
                <w:i/>
              </w:rPr>
              <w:t>piiristä</w:t>
            </w:r>
            <w:r w:rsidRPr="002D433B">
              <w:t xml:space="preserve">, jotka </w:t>
            </w:r>
            <w:r w:rsidRPr="002D433B">
              <w:rPr>
                <w:b/>
                <w:i/>
              </w:rPr>
              <w:t>väliyhtiönä</w:t>
            </w:r>
            <w:r w:rsidRPr="002D433B">
              <w:t xml:space="preserve"> toimivien yhteisöjen on vähennettävä</w:t>
            </w:r>
            <w:r w:rsidRPr="002D433B">
              <w:rPr>
                <w:b/>
                <w:i/>
              </w:rPr>
              <w:t xml:space="preserve"> sisäisen MREL-vähimmäisvaatimuksen kattamiseen hyväksyttävien varojen välillistä merkitsemistä koskevaa vähentämismekanismia noudattaen</w:t>
            </w:r>
            <w:r w:rsidRPr="002D433B">
              <w:t xml:space="preserve">. </w:t>
            </w:r>
            <w:r w:rsidRPr="002D433B">
              <w:rPr>
                <w:b/>
                <w:i/>
              </w:rPr>
              <w:t>Kriisinratkaisun kohteena olevan yhteisön ei kaatumistilanteessa tarvitse tukea likvidoitavaa yhteisöä</w:t>
            </w:r>
            <w:r w:rsidRPr="002D433B">
              <w:t>, mikä poistaa tarpeen suojata</w:t>
            </w:r>
            <w:r w:rsidRPr="002D433B">
              <w:rPr>
                <w:b/>
                <w:i/>
              </w:rPr>
              <w:t xml:space="preserve"> mahdolliset</w:t>
            </w:r>
            <w:r w:rsidRPr="002D433B">
              <w:t xml:space="preserve"> tappioiden ja pääoman siirtomekanismit kriisinratkaisun kohteena olevissa konserneissa, mikä oli asetuksella </w:t>
            </w:r>
            <w:r w:rsidRPr="002D433B">
              <w:t>(EU) 2022/2036 käyttöön otettujen vähentämissääntöjen tarkoitus. Kriisinratkaisun kohteena olevan yhteisön on sitä vastoin tuettava kriisinratkaisun kohteena olevan konsernin muita yhteisöjä vaikeuksissa tai kaatumistilanteessa. Kriisinratkaisun kohteena o</w:t>
            </w:r>
            <w:r w:rsidRPr="002D433B">
              <w:t>levan konsernin kaikilla tasoilla olisi tämän vuoksi oltava tarvittavat MREL-vähimmäisvaatimuksen kattamiseen hyväksyttävät varat, ja niiden käytettävyys tappioiden kattamiseen ja pääomapohjan vahvistamiseen olisi varmistettava vähentämismekanismin avulla.</w:t>
            </w:r>
            <w:r w:rsidRPr="002D433B">
              <w:t xml:space="preserve"> Näin ollen komission tekemässä uudelleentarkastelussa tultiin siihen johtopäätökseen, että väliyhtiönä toimivien yhteisöjen olisi jatkossakin vähennettävä kaikki hallussaan olevat samaan kriisinratkaisun kohteena olevaan konserniin kuuluvien muiden yhteis</w:t>
            </w:r>
            <w:r w:rsidRPr="002D433B">
              <w:t>öjen kuin likvidoitavien yhteisöjen liikkeeseen laskemat sisäisen MREL-vähimmäisvaatimuksen kattamiseen hyväksyttävät varat.</w:t>
            </w:r>
          </w:p>
        </w:tc>
        <w:tc>
          <w:tcPr>
            <w:tcW w:w="4876" w:type="dxa"/>
            <w:hideMark/>
          </w:tcPr>
          <w:p w:rsidR="00932D06" w:rsidRPr="002D433B" w:rsidRDefault="002D433B" w:rsidP="006A17A3">
            <w:pPr>
              <w:pStyle w:val="Normal6"/>
              <w:rPr>
                <w:szCs w:val="24"/>
              </w:rPr>
            </w:pPr>
            <w:r w:rsidRPr="002D433B">
              <w:t>(3)</w:t>
            </w:r>
            <w:r w:rsidRPr="002D433B">
              <w:tab/>
              <w:t>Komission tekemässä uudelleentarkastelussa todettiin, että olisi asianmukaista ja sisäistä MREL-vähimmäisvaatimusta koskevien s</w:t>
            </w:r>
            <w:r w:rsidRPr="002D433B">
              <w:t>ääntöjen tavoitteisiin nähden oikeasuhteista antaa kriisinratkaisuviranomaisille mahdollisuus asettaa sisäinen MREL-vähimmäisvaatimus konsolidoinnin perusteella useammille yhteisöille kuin direktiivin 2014/59/EU ja asetuksen (EU) N:o 806/2014 nojalla on ma</w:t>
            </w:r>
            <w:r w:rsidRPr="002D433B">
              <w:t xml:space="preserve">hdollista siten, että tämä mahdollisuus koskisi laitoksia ja yhteisöjä, jotka eivät itse ole kriisinratkaisun kohteena olevia yhteisöjä mutta ovat kriisinratkaisun kohteena olevien yhteisöjen tytäryrityksiä ja käyttävät määräysvaltaa </w:t>
            </w:r>
            <w:r w:rsidRPr="002D433B">
              <w:rPr>
                <w:b/>
                <w:i/>
              </w:rPr>
              <w:t>kriisinratkaisun kohte</w:t>
            </w:r>
            <w:r w:rsidRPr="002D433B">
              <w:rPr>
                <w:b/>
                <w:i/>
              </w:rPr>
              <w:t>ena olevaan konserniin kuuluvissa muissa tytäryrityksissä</w:t>
            </w:r>
            <w:r w:rsidRPr="002D433B">
              <w:t>, jäljempänä ’väliyhtiönä toimivat yhteisöt’. Tämä koskisi erityisesti niitä pankkiryhmiä, joiden johdossa on holdingyhtiö. Tällaisissa tapauksissa väliyhtiönä toimivat yhteisöt luonnollisesti keskit</w:t>
            </w:r>
            <w:r w:rsidRPr="002D433B">
              <w:t xml:space="preserve">tävät konsernin sisäiset vastuut ja ohjaavat kriisinratkaisun kohteena olevan yhteisön ennalta asettamat, sisäisen MREL-vähimmäisvaatimuksen kattamiseen hyväksyttävät varat eteenpäin. Tämän rakenteen vuoksi vähentämissäännöt </w:t>
            </w:r>
            <w:r w:rsidRPr="002D433B">
              <w:rPr>
                <w:b/>
                <w:i/>
              </w:rPr>
              <w:t>voisivat vaikuttaa</w:t>
            </w:r>
            <w:r w:rsidRPr="002D433B">
              <w:t xml:space="preserve"> kohtuuttomas</w:t>
            </w:r>
            <w:r w:rsidRPr="002D433B">
              <w:t xml:space="preserve">ti tällaisiin väliyhtiönä toimiviin yhteisöihin. Komissio totesi myös, että </w:t>
            </w:r>
            <w:r w:rsidRPr="002D433B">
              <w:rPr>
                <w:b/>
                <w:i/>
              </w:rPr>
              <w:t>MREL-kehyksestä saataisiin</w:t>
            </w:r>
            <w:r w:rsidRPr="002D433B">
              <w:t xml:space="preserve"> oikeasuhteisempi, jos </w:t>
            </w:r>
            <w:r w:rsidRPr="002D433B">
              <w:rPr>
                <w:b/>
                <w:i/>
              </w:rPr>
              <w:t>mukautettaisiin</w:t>
            </w:r>
            <w:r w:rsidRPr="002D433B">
              <w:t xml:space="preserve"> niiden vastuiden </w:t>
            </w:r>
            <w:r w:rsidRPr="002D433B">
              <w:rPr>
                <w:b/>
                <w:i/>
              </w:rPr>
              <w:t>laajuutta koskevia sääntöjä</w:t>
            </w:r>
            <w:r w:rsidRPr="002D433B">
              <w:t xml:space="preserve">, jotka </w:t>
            </w:r>
            <w:r w:rsidRPr="002D433B">
              <w:rPr>
                <w:b/>
                <w:i/>
              </w:rPr>
              <w:t>välittäjäyhtiöinä</w:t>
            </w:r>
            <w:r w:rsidRPr="002D433B">
              <w:t xml:space="preserve"> toimivien yhteisöjen on vähennettävä</w:t>
            </w:r>
            <w:r w:rsidRPr="002D433B">
              <w:rPr>
                <w:b/>
                <w:i/>
              </w:rPr>
              <w:t>, jos liikkeeseen laskeva yhteisö on likvidoitava yhteisö, joka ei kuulu MREL-päätöksen piiriin</w:t>
            </w:r>
            <w:r w:rsidRPr="002D433B">
              <w:t>.</w:t>
            </w:r>
            <w:r w:rsidRPr="002D433B">
              <w:rPr>
                <w:b/>
                <w:i/>
              </w:rPr>
              <w:t xml:space="preserve"> Kyseisissä tapauksissa ei ole odotettavissa, että tällaisiin likvidoitaviin yhteisöihin joudutaan käyttämään alaskirjaus- ja muuntamisvaltuuksia</w:t>
            </w:r>
            <w:r w:rsidRPr="002D433B">
              <w:t xml:space="preserve">, mikä poistaa </w:t>
            </w:r>
            <w:r w:rsidRPr="002D433B">
              <w:t>tarpeen suojata tappioiden ja pääoman siirtomekanismit kriisinratkaisun kohteena olevissa konserneissa, mikä oli asetuksella (EU) 2022/2036 käyttöön otettujen vähentämissääntöjen tarkoitus. Kriisinratkaisun kohteena olevan yhteisön on sitä vastoin tuettava</w:t>
            </w:r>
            <w:r w:rsidRPr="002D433B">
              <w:t xml:space="preserve"> kriisinratkaisun kohteena olevan konsernin muita yhteisöjä vaikeuksissa tai kaatumistilanteessa. Kriisinratkaisun kohteena olevan konsernin kaikilla tasoilla olisi tämän vuoksi oltava tarvittavat MREL-vähimmäisvaatimuksen kattamiseen hyväksyttävät varat, </w:t>
            </w:r>
            <w:r w:rsidRPr="002D433B">
              <w:t xml:space="preserve">ja niiden käytettävyys tappioiden kattamiseen ja pääomapohjan vahvistamiseen olisi varmistettava vähentämismekanismin avulla. Näin ollen komission tekemässä uudelleentarkastelussa tultiin siihen johtopäätökseen, että väliyhtiönä toimivien yhteisöjen olisi </w:t>
            </w:r>
            <w:r w:rsidRPr="002D433B">
              <w:t>jatkossakin vähennettävä kaikki hallussaan olevat samaan kriisinratkaisun kohteena olevaan konserniin kuuluvien muiden yhteisöjen kuin likvidoitavien yhteisöjen liikkeeseen laskemat sisäisen MREL-vähimmäisvaatimuksen kattamiseen hyväksyttävät varat.</w:t>
            </w:r>
          </w:p>
        </w:tc>
      </w:tr>
    </w:tbl>
    <w:p w:rsidR="00932D06" w:rsidRPr="002D433B" w:rsidRDefault="002D433B" w:rsidP="00932D06">
      <w:pPr>
        <w:pStyle w:val="Olang"/>
        <w:rPr>
          <w:sz w:val="24"/>
          <w:szCs w:val="24"/>
        </w:rPr>
      </w:pPr>
      <w:r w:rsidRPr="002D433B">
        <w:rPr>
          <w:sz w:val="24"/>
          <w:szCs w:val="24"/>
        </w:rPr>
        <w:t xml:space="preserve">Or. </w:t>
      </w:r>
      <w:r w:rsidRPr="002D433B">
        <w:rPr>
          <w:rStyle w:val="HideTWBExt"/>
        </w:rPr>
        <w:t>&lt;</w:t>
      </w:r>
      <w:r w:rsidRPr="002D433B">
        <w:rPr>
          <w:rStyle w:val="HideTWBExt"/>
        </w:rPr>
        <w:t>Original&gt;</w:t>
      </w:r>
      <w:r w:rsidRPr="002D433B">
        <w:rPr>
          <w:rStyle w:val="HideTWBInt"/>
          <w:sz w:val="24"/>
          <w:szCs w:val="24"/>
        </w:rPr>
        <w:t>{EN}</w:t>
      </w:r>
      <w:r w:rsidRPr="002D433B">
        <w:rPr>
          <w:sz w:val="24"/>
          <w:szCs w:val="24"/>
        </w:rPr>
        <w:t>en</w:t>
      </w:r>
      <w:r w:rsidRPr="002D433B">
        <w:rPr>
          <w:rStyle w:val="HideTWBExt"/>
        </w:rPr>
        <w:t>&lt;/Original&gt;</w:t>
      </w:r>
    </w:p>
    <w:p w:rsidR="00932D06" w:rsidRPr="002D433B" w:rsidRDefault="002D433B" w:rsidP="00932D06">
      <w:pPr>
        <w:rPr>
          <w:szCs w:val="24"/>
        </w:rPr>
      </w:pPr>
      <w:r w:rsidRPr="002D433B">
        <w:rPr>
          <w:rStyle w:val="HideTWBExt"/>
        </w:rPr>
        <w:t>&lt;/Amend&gt;</w:t>
      </w:r>
    </w:p>
    <w:p w:rsidR="00932D06" w:rsidRPr="002D433B" w:rsidRDefault="002D433B" w:rsidP="00932D06">
      <w:pPr>
        <w:pStyle w:val="AMNumberTabs0"/>
        <w:keepNext/>
      </w:pPr>
      <w:r w:rsidRPr="002D433B">
        <w:rPr>
          <w:rStyle w:val="HideTWBExt"/>
          <w:b w:val="0"/>
        </w:rPr>
        <w:t>&lt;Amend&gt;</w:t>
      </w:r>
      <w:r w:rsidRPr="002D433B">
        <w:t>Tarkistus</w:t>
      </w:r>
      <w:r w:rsidRPr="002D433B">
        <w:tab/>
      </w:r>
      <w:r w:rsidRPr="002D433B">
        <w:tab/>
      </w:r>
      <w:r w:rsidRPr="002D433B">
        <w:rPr>
          <w:rStyle w:val="HideTWBExt"/>
          <w:b w:val="0"/>
        </w:rPr>
        <w:t>&lt;NumAm&gt;</w:t>
      </w:r>
      <w:r w:rsidRPr="002D433B">
        <w:t>3</w:t>
      </w:r>
      <w:r w:rsidRPr="002D433B">
        <w:rPr>
          <w:rStyle w:val="HideTWBExt"/>
          <w:b w:val="0"/>
        </w:rPr>
        <w:t>&lt;/NumAm&gt;</w:t>
      </w:r>
    </w:p>
    <w:p w:rsidR="00932D06" w:rsidRPr="002D433B" w:rsidRDefault="002D433B" w:rsidP="00932D06">
      <w:pPr>
        <w:pStyle w:val="NormalBold12b"/>
        <w:keepNext/>
      </w:pPr>
      <w:r w:rsidRPr="002D433B">
        <w:rPr>
          <w:rStyle w:val="HideTWBExt"/>
          <w:b w:val="0"/>
        </w:rPr>
        <w:t>&lt;DocAmend&gt;</w:t>
      </w:r>
      <w:r w:rsidRPr="002D433B">
        <w:t>Ehdotus direktiiviksi</w:t>
      </w:r>
      <w:r w:rsidRPr="002D433B">
        <w:rPr>
          <w:rStyle w:val="HideTWBExt"/>
          <w:b w:val="0"/>
        </w:rPr>
        <w:t>&lt;/DocAmend&gt;</w:t>
      </w:r>
    </w:p>
    <w:p w:rsidR="00932D06" w:rsidRPr="002D433B" w:rsidRDefault="002D433B" w:rsidP="00932D06">
      <w:pPr>
        <w:pStyle w:val="NormalBold"/>
      </w:pPr>
      <w:r w:rsidRPr="002D433B">
        <w:rPr>
          <w:rStyle w:val="HideTWBExt"/>
          <w:b w:val="0"/>
        </w:rPr>
        <w:t>&lt;Article&gt;</w:t>
      </w:r>
      <w:r w:rsidRPr="002D433B">
        <w:t>Johdanto-osan 5 kappale</w:t>
      </w:r>
      <w:r w:rsidRPr="002D433B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94E1F" w:rsidRPr="002D433B" w:rsidTr="00932D06">
        <w:trPr>
          <w:jc w:val="center"/>
        </w:trPr>
        <w:tc>
          <w:tcPr>
            <w:tcW w:w="9752" w:type="dxa"/>
            <w:gridSpan w:val="2"/>
          </w:tcPr>
          <w:p w:rsidR="00932D06" w:rsidRPr="002D433B" w:rsidRDefault="00932D06">
            <w:pPr>
              <w:keepNext/>
            </w:pPr>
          </w:p>
        </w:tc>
      </w:tr>
      <w:tr w:rsidR="00E94E1F" w:rsidRPr="002D433B" w:rsidTr="00932D06">
        <w:trPr>
          <w:jc w:val="center"/>
        </w:trPr>
        <w:tc>
          <w:tcPr>
            <w:tcW w:w="4876" w:type="dxa"/>
            <w:hideMark/>
          </w:tcPr>
          <w:p w:rsidR="00932D06" w:rsidRPr="002D433B" w:rsidRDefault="002D433B">
            <w:pPr>
              <w:pStyle w:val="ColumnHeading"/>
              <w:keepNext/>
            </w:pPr>
            <w:r w:rsidRPr="002D433B">
              <w:t>Komission teksti</w:t>
            </w:r>
          </w:p>
        </w:tc>
        <w:tc>
          <w:tcPr>
            <w:tcW w:w="4876" w:type="dxa"/>
            <w:hideMark/>
          </w:tcPr>
          <w:p w:rsidR="00932D06" w:rsidRPr="002D433B" w:rsidRDefault="002D433B">
            <w:pPr>
              <w:pStyle w:val="ColumnHeading"/>
              <w:keepNext/>
            </w:pPr>
            <w:r w:rsidRPr="002D433B">
              <w:t>Tarkistus</w:t>
            </w:r>
          </w:p>
        </w:tc>
      </w:tr>
      <w:tr w:rsidR="00E94E1F" w:rsidRPr="002D433B" w:rsidTr="00932D06">
        <w:trPr>
          <w:jc w:val="center"/>
        </w:trPr>
        <w:tc>
          <w:tcPr>
            <w:tcW w:w="4876" w:type="dxa"/>
            <w:hideMark/>
          </w:tcPr>
          <w:p w:rsidR="00932D06" w:rsidRPr="002D433B" w:rsidRDefault="002D433B">
            <w:pPr>
              <w:pStyle w:val="Normal6"/>
            </w:pPr>
            <w:r w:rsidRPr="002D433B">
              <w:t>(5)</w:t>
            </w:r>
            <w:r w:rsidRPr="002D433B">
              <w:tab/>
            </w:r>
            <w:r w:rsidRPr="002D433B">
              <w:t>Jotta voidaan varmistaa, että MREL-vähimmäisvaatimuksen noudattaminen konsolidoinnin perusteella on mahdollista ainoastaan komission tekemässä uudelleentarkastelussa yksilöidyissä asiaankuuluvissa tapauksissa ja että se ei johda sisäisen MREL-vähimmäisvaat</w:t>
            </w:r>
            <w:r w:rsidRPr="002D433B">
              <w:t>imuksen kattamiseen hyväksyttävien varojen vajeeseen kriisinratkaisun kohteena olevassa konsernissa, valta asettaa väliyhtiönä toimiville yhteisöille sisäinen MREL-vähimmäisvaatimus konsolidoinnin perusteella olisi annettava kriisinratkaisuviranomaiselle h</w:t>
            </w:r>
            <w:r w:rsidRPr="002D433B">
              <w:t>arkintavaltana, jota saisi käyttää vain tietyin edellytyksin. Väliyhtiönä toimivan yhteisön, joka on laitos tai yhteisö, olisi oltava samaan jäsenvaltioon sijoittautuneen ja samaan kriisinratkaisun kohteena olevaan konserniin kuuluvan, kriisinratkaisun koh</w:t>
            </w:r>
            <w:r w:rsidRPr="002D433B">
              <w:t>teena olevan yhteisön, joka on unionissa emoyrityksenä toimiva rahoitusalan holdingyhtiö tai unionissa emoyrityksenä toimiva rahoitusalan sekaholdingyhtiö, ainoa suoraan omistama tytäryritys. Vaihtoehtoisesti kyseisen väliyhtiönä toimivan yhteisön olisi no</w:t>
            </w:r>
            <w:r w:rsidRPr="002D433B">
              <w:t>udatettava omien varojen lisävaatimusta tai yhteenlaskettua puskurivaatimusta konsolidoidun asemansa perusteella. Sisäisen MREL-vähimmäisvaatimuksen noudattamisesta konsolidoinnin perusteella ei kuitenkaan saisi kriisinratkaisuviranomaisen arvioinnin perus</w:t>
            </w:r>
            <w:r w:rsidRPr="002D433B">
              <w:t xml:space="preserve">teella kummassakaan tapauksessa aiheutua </w:t>
            </w:r>
            <w:r w:rsidRPr="002D433B">
              <w:rPr>
                <w:b/>
                <w:i/>
              </w:rPr>
              <w:t xml:space="preserve">merkittäviä </w:t>
            </w:r>
            <w:r w:rsidRPr="002D433B">
              <w:t>kielteisiä vaikutuksia asianomaisen, kriisinratkaisun kohteena olevan konsernin purkamismahdollisuuteen eikä kriisinratkaisuviranomaisen mahdollisuuteen soveltaa valtuuksiaan kirjata alas tai muuntaa asi</w:t>
            </w:r>
            <w:r w:rsidRPr="002D433B">
              <w:t>anomaisen väliyhtiönä toimivan yhteisön tai muiden samaan kriisinratkaisun kohteena olevaan konserniin kuuluvien yhteisöjen pääomainstrumentteja ja hyväksyttäviä velkoja.</w:t>
            </w:r>
          </w:p>
        </w:tc>
        <w:tc>
          <w:tcPr>
            <w:tcW w:w="4876" w:type="dxa"/>
            <w:hideMark/>
          </w:tcPr>
          <w:p w:rsidR="00932D06" w:rsidRPr="002D433B" w:rsidRDefault="002D433B" w:rsidP="001C63AC">
            <w:pPr>
              <w:pStyle w:val="Normal6"/>
              <w:rPr>
                <w:szCs w:val="24"/>
              </w:rPr>
            </w:pPr>
            <w:r w:rsidRPr="002D433B">
              <w:t>(5)</w:t>
            </w:r>
            <w:r w:rsidRPr="002D433B">
              <w:tab/>
              <w:t>Jotta voidaan varmistaa, että MREL-vähimmäisvaatimuksen noudattaminen konsolidoin</w:t>
            </w:r>
            <w:r w:rsidRPr="002D433B">
              <w:t>nin perusteella on mahdollista ainoastaan komission tekemässä uudelleentarkastelussa yksilöidyissä asiaankuuluvissa tapauksissa ja että se ei johda sisäisen MREL-vähimmäisvaatimuksen kattamiseen hyväksyttävien varojen vajeeseen kriisinratkaisun kohteena ol</w:t>
            </w:r>
            <w:r w:rsidRPr="002D433B">
              <w:t>evassa konsernissa, valta asettaa väliyhtiönä toimiville yhteisöille sisäinen MREL-vähimmäisvaatimus konsolidoinnin perusteella olisi annettava kriisinratkaisuviranomaiselle harkintavaltana, jota saisi käyttää vain tietyin edellytyksin. Väliyhtiönä toimiva</w:t>
            </w:r>
            <w:r w:rsidRPr="002D433B">
              <w:t>n yhteisön, joka on laitos tai yhteisö, olisi oltava samaan jäsenvaltioon sijoittautuneen ja samaan kriisinratkaisun kohteena olevaan konserniin kuuluvan, kriisinratkaisun kohteena olevan yhteisön, joka on unionissa emoyrityksenä toimiva rahoitusalan holdi</w:t>
            </w:r>
            <w:r w:rsidRPr="002D433B">
              <w:t>ngyhtiö tai unionissa emoyrityksenä toimiva rahoitusalan sekaholdingyhtiö, ainoa suoraan omistama tytäryritys. Vaihtoehtoisesti kyseisen väliyhtiönä toimivan yhteisön olisi noudatettava omien varojen lisävaatimusta tai yhteenlaskettua puskurivaatimusta kon</w:t>
            </w:r>
            <w:r w:rsidRPr="002D433B">
              <w:t>solidoidun asemansa perusteella. Sisäisen MREL-vähimmäisvaatimuksen noudattamisesta konsolidoinnin perusteella ei kuitenkaan saisi kriisinratkaisuviranomaisen arvioinnin perusteella kummassakaan tapauksessa aiheutua kielteisiä vaikutuksia asianomaisen, kri</w:t>
            </w:r>
            <w:r w:rsidRPr="002D433B">
              <w:t>isinratkaisun kohteena olevan konsernin purkamismahdollisuuteen eikä kriisinratkaisuviranomaisen mahdollisuuteen soveltaa valtuuksiaan kirjata alas tai muuntaa asianomaisen väliyhtiönä toimivan yhteisön tai muiden samaan kriisinratkaisun kohteena olevaan k</w:t>
            </w:r>
            <w:r w:rsidRPr="002D433B">
              <w:t xml:space="preserve">onserniin kuuluvien yhteisöjen pääomainstrumentteja ja hyväksyttäviä velkoja. </w:t>
            </w:r>
            <w:r w:rsidRPr="002D433B">
              <w:rPr>
                <w:b/>
                <w:i/>
              </w:rPr>
              <w:t>Yksi tilanne, jossa sisäisen MREL-vähimmäisvaatimuksen vahvistaminen konsolidoinnin perusteella haittaisi kriisinratkaisun kohteena olevan konsernin purkamismahdollisuutta, on ti</w:t>
            </w:r>
            <w:r w:rsidRPr="002D433B">
              <w:rPr>
                <w:b/>
                <w:i/>
              </w:rPr>
              <w:t>lanne, jossa kyseisen MREL-vähimmäisvaatimuksen määrä ei takaa alaskirjaus- ja muuntamisvaltuuksien käyttämisen jälkeen sovellettavien yksilöllisten omien varojen vaatimusten noudattamista.</w:t>
            </w:r>
          </w:p>
        </w:tc>
      </w:tr>
    </w:tbl>
    <w:p w:rsidR="00932D06" w:rsidRPr="002D433B" w:rsidRDefault="002D433B" w:rsidP="00932D06">
      <w:pPr>
        <w:pStyle w:val="Olang"/>
        <w:rPr>
          <w:sz w:val="24"/>
          <w:szCs w:val="24"/>
        </w:rPr>
      </w:pPr>
      <w:r w:rsidRPr="002D433B">
        <w:rPr>
          <w:sz w:val="24"/>
          <w:szCs w:val="24"/>
        </w:rPr>
        <w:t xml:space="preserve">Or. </w:t>
      </w:r>
      <w:r w:rsidRPr="002D433B">
        <w:rPr>
          <w:rStyle w:val="HideTWBExt"/>
        </w:rPr>
        <w:t>&lt;Original&gt;</w:t>
      </w:r>
      <w:r w:rsidRPr="002D433B">
        <w:rPr>
          <w:rStyle w:val="HideTWBInt"/>
          <w:sz w:val="24"/>
          <w:szCs w:val="24"/>
        </w:rPr>
        <w:t>{EN}</w:t>
      </w:r>
      <w:r w:rsidRPr="002D433B">
        <w:rPr>
          <w:sz w:val="24"/>
          <w:szCs w:val="24"/>
        </w:rPr>
        <w:t>en</w:t>
      </w:r>
      <w:r w:rsidRPr="002D433B">
        <w:rPr>
          <w:rStyle w:val="HideTWBExt"/>
        </w:rPr>
        <w:t>&lt;/Original&gt;</w:t>
      </w:r>
    </w:p>
    <w:p w:rsidR="00932D06" w:rsidRPr="002D433B" w:rsidRDefault="002D433B" w:rsidP="00932D06">
      <w:pPr>
        <w:rPr>
          <w:szCs w:val="24"/>
        </w:rPr>
      </w:pPr>
      <w:r w:rsidRPr="002D433B">
        <w:rPr>
          <w:rStyle w:val="HideTWBExt"/>
        </w:rPr>
        <w:t>&lt;/Amend&gt;</w:t>
      </w:r>
    </w:p>
    <w:p w:rsidR="00932D06" w:rsidRPr="002D433B" w:rsidRDefault="002D433B" w:rsidP="00932D06">
      <w:pPr>
        <w:pStyle w:val="AMNumberTabs0"/>
        <w:keepNext/>
      </w:pPr>
      <w:r w:rsidRPr="002D433B">
        <w:rPr>
          <w:rStyle w:val="HideTWBExt"/>
          <w:b w:val="0"/>
        </w:rPr>
        <w:t>&lt;Amend&gt;</w:t>
      </w:r>
      <w:r w:rsidRPr="002D433B">
        <w:t>Tarkistus</w:t>
      </w:r>
      <w:r w:rsidRPr="002D433B">
        <w:tab/>
      </w:r>
      <w:r w:rsidRPr="002D433B">
        <w:tab/>
      </w:r>
      <w:r w:rsidRPr="002D433B">
        <w:rPr>
          <w:rStyle w:val="HideTWBExt"/>
          <w:b w:val="0"/>
        </w:rPr>
        <w:t>&lt;NumAm&gt;</w:t>
      </w:r>
      <w:r w:rsidRPr="002D433B">
        <w:t>4</w:t>
      </w:r>
      <w:r w:rsidRPr="002D433B">
        <w:rPr>
          <w:rStyle w:val="HideTWBExt"/>
          <w:b w:val="0"/>
        </w:rPr>
        <w:t>&lt;/NumAm&gt;</w:t>
      </w:r>
    </w:p>
    <w:p w:rsidR="00932D06" w:rsidRPr="002D433B" w:rsidRDefault="002D433B" w:rsidP="00932D06">
      <w:pPr>
        <w:pStyle w:val="NormalBold12b"/>
        <w:keepNext/>
      </w:pPr>
      <w:r w:rsidRPr="002D433B">
        <w:rPr>
          <w:rStyle w:val="HideTWBExt"/>
          <w:b w:val="0"/>
        </w:rPr>
        <w:t>&lt;DocAmend&gt;</w:t>
      </w:r>
      <w:r w:rsidRPr="002D433B">
        <w:t>Ehdotus direktiiviksi</w:t>
      </w:r>
      <w:r w:rsidRPr="002D433B">
        <w:rPr>
          <w:rStyle w:val="HideTWBExt"/>
          <w:b w:val="0"/>
        </w:rPr>
        <w:t>&lt;/DocAmend&gt;</w:t>
      </w:r>
    </w:p>
    <w:p w:rsidR="00932D06" w:rsidRPr="002D433B" w:rsidRDefault="002D433B" w:rsidP="00932D06">
      <w:pPr>
        <w:pStyle w:val="NormalBold"/>
      </w:pPr>
      <w:r w:rsidRPr="002D433B">
        <w:rPr>
          <w:rStyle w:val="HideTWBExt"/>
          <w:b w:val="0"/>
        </w:rPr>
        <w:t>&lt;Article&gt;</w:t>
      </w:r>
      <w:r w:rsidRPr="002D433B">
        <w:t>Johdanto-osan 6 kappale</w:t>
      </w:r>
      <w:r w:rsidRPr="002D433B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94E1F" w:rsidRPr="002D433B" w:rsidTr="00932D06">
        <w:trPr>
          <w:jc w:val="center"/>
        </w:trPr>
        <w:tc>
          <w:tcPr>
            <w:tcW w:w="9752" w:type="dxa"/>
            <w:gridSpan w:val="2"/>
          </w:tcPr>
          <w:p w:rsidR="00932D06" w:rsidRPr="002D433B" w:rsidRDefault="00932D06">
            <w:pPr>
              <w:keepNext/>
            </w:pPr>
          </w:p>
        </w:tc>
      </w:tr>
      <w:tr w:rsidR="00E94E1F" w:rsidRPr="002D433B" w:rsidTr="00932D06">
        <w:trPr>
          <w:jc w:val="center"/>
        </w:trPr>
        <w:tc>
          <w:tcPr>
            <w:tcW w:w="4876" w:type="dxa"/>
            <w:hideMark/>
          </w:tcPr>
          <w:p w:rsidR="00932D06" w:rsidRPr="002D433B" w:rsidRDefault="002D433B">
            <w:pPr>
              <w:pStyle w:val="ColumnHeading"/>
              <w:keepNext/>
            </w:pPr>
            <w:r w:rsidRPr="002D433B">
              <w:t>Komission teksti</w:t>
            </w:r>
          </w:p>
        </w:tc>
        <w:tc>
          <w:tcPr>
            <w:tcW w:w="4876" w:type="dxa"/>
            <w:hideMark/>
          </w:tcPr>
          <w:p w:rsidR="00932D06" w:rsidRPr="002D433B" w:rsidRDefault="002D433B">
            <w:pPr>
              <w:pStyle w:val="ColumnHeading"/>
              <w:keepNext/>
            </w:pPr>
            <w:r w:rsidRPr="002D433B">
              <w:t>Tarkistus</w:t>
            </w:r>
          </w:p>
        </w:tc>
      </w:tr>
      <w:tr w:rsidR="00E94E1F" w:rsidRPr="002D433B" w:rsidTr="00932D06">
        <w:trPr>
          <w:jc w:val="center"/>
        </w:trPr>
        <w:tc>
          <w:tcPr>
            <w:tcW w:w="4876" w:type="dxa"/>
            <w:hideMark/>
          </w:tcPr>
          <w:p w:rsidR="00932D06" w:rsidRPr="002D433B" w:rsidRDefault="002D433B">
            <w:pPr>
              <w:pStyle w:val="Normal6"/>
            </w:pPr>
            <w:r w:rsidRPr="002D433B">
              <w:t>(6)</w:t>
            </w:r>
            <w:r w:rsidRPr="002D433B">
              <w:tab/>
            </w:r>
            <w:r w:rsidRPr="002D433B">
              <w:t>Väliyhtiönä toimivat yhteisöt voivat direktiivin 2014/59/EU 45 f artiklan 2 kohdan ja asetuksen (EU) N:o 806/2014 12 g artiklan 2 kohdan mukaisesti noudattaa konsolidoitua sisäistä MREL-vähimmäisvaatimusta käyttäen omia varoja ja hyväksyttäviä velkoja. Jot</w:t>
            </w:r>
            <w:r w:rsidRPr="002D433B">
              <w:t>ta mahdollisuus noudattaa MREL-vähimmäisvaatimusta konsolidoinnin perusteella voidaan toteuttaa kaikilta osin, on varmistettava, että väliyhtiönä toimivien yhteisöjen hyväksyttävät velat lasketaan samalla tavalla kuin omat varat. Sen vuoksi hyväksyttävyysk</w:t>
            </w:r>
            <w:r w:rsidRPr="002D433B">
              <w:t>riteerit, jotka koskevat hyväksyttäviä velkoja, joita voidaan käyttää sisäisen MREL-vähimmäisvaatimuksen noudattamiseksi konsolidoinnin perusteella, olisi yhdenmukaistettava konsolidoitujen omien varojen laskentaa koskevien asetuksessa (EU) N:o 575/2013 va</w:t>
            </w:r>
            <w:r w:rsidRPr="002D433B">
              <w:t xml:space="preserve">hvistettujen sääntöjen kanssa. Jotta voidaan varmistaa yhdenmukaisuus ulkoista MREL-vähimmäisvaatimusta koskevien voimassa olevien sääntöjen kanssa, tässä yhdenmukaistamisessa olisi otettava huomioon myös direktiivin 2014/59/EU 45 b artiklan 3 kohdassa ja </w:t>
            </w:r>
            <w:r w:rsidRPr="002D433B">
              <w:t>asetuksen (EU) N:o 806/2014 12 d artiklan 3 kohdassa vahvistetut voimassa olevat säännöt, jotka koskevat niiden hyväksyttävien velkojen laskemista, joita kriisinratkaisun kohteena olevat yhteisöt voivat käyttää konsolidoidun MREL-vähimmäisvaatimuksensa nou</w:t>
            </w:r>
            <w:r w:rsidRPr="002D433B">
              <w:t xml:space="preserve">dattamiseksi. On erityisesti varmistettava, että konsolidoidun sisäisen MREL-vähimmäisvaatimuksen soveltamisalaan kuuluvan yhteisön tytäryritysten liikkeeseen laskemat hyväksyttävät velat, joita </w:t>
            </w:r>
            <w:r w:rsidRPr="002D433B">
              <w:rPr>
                <w:b/>
                <w:i/>
              </w:rPr>
              <w:t>pitävät</w:t>
            </w:r>
            <w:r w:rsidRPr="002D433B">
              <w:t xml:space="preserve"> hallussaan </w:t>
            </w:r>
            <w:r w:rsidRPr="002D433B">
              <w:rPr>
                <w:b/>
                <w:i/>
              </w:rPr>
              <w:t>muut</w:t>
            </w:r>
            <w:r w:rsidRPr="002D433B">
              <w:t xml:space="preserve"> samaan kriisinratkaisun kohteena olev</w:t>
            </w:r>
            <w:r w:rsidRPr="002D433B">
              <w:t xml:space="preserve">aan konserniin </w:t>
            </w:r>
            <w:r w:rsidRPr="002D433B">
              <w:rPr>
                <w:b/>
                <w:i/>
              </w:rPr>
              <w:t>kuuluvat yhteisöt</w:t>
            </w:r>
            <w:r w:rsidRPr="002D433B">
              <w:t>, jotka eivät kuulu konsolidoinnin piiriin</w:t>
            </w:r>
            <w:r w:rsidRPr="002D433B">
              <w:rPr>
                <w:b/>
                <w:i/>
              </w:rPr>
              <w:t>, kriisinratkaisun kohteena oleva yhteisö mukaan luettuna</w:t>
            </w:r>
            <w:r w:rsidRPr="002D433B">
              <w:t>, tai nykyiset osakkeenomistajat, jotka eivät kuulu samaan kriisinratkaisun kohteena olevaan konserniin, lasketaan osaksi kon</w:t>
            </w:r>
            <w:r w:rsidRPr="002D433B">
              <w:t>solidoidun sisäisen MREL-vähimmäisvaatimuksen soveltamisalaan kuuluvan yhteisön omia varoja ja hyväksyttäviä velkoja.</w:t>
            </w:r>
          </w:p>
        </w:tc>
        <w:tc>
          <w:tcPr>
            <w:tcW w:w="4876" w:type="dxa"/>
            <w:hideMark/>
          </w:tcPr>
          <w:p w:rsidR="00932D06" w:rsidRPr="002D433B" w:rsidRDefault="002D433B">
            <w:pPr>
              <w:pStyle w:val="Normal6"/>
              <w:rPr>
                <w:szCs w:val="24"/>
              </w:rPr>
            </w:pPr>
            <w:r w:rsidRPr="002D433B">
              <w:t>(6)</w:t>
            </w:r>
            <w:r w:rsidRPr="002D433B">
              <w:tab/>
              <w:t>Väliyhtiönä toimivat yhteisöt voivat direktiivin 2014/59/EU 45 f artiklan 2 kohdan ja asetuksen (EU) N:o 806/2014 12 g artiklan 2 kohd</w:t>
            </w:r>
            <w:r w:rsidRPr="002D433B">
              <w:t xml:space="preserve">an mukaisesti noudattaa konsolidoitua sisäistä MREL-vähimmäisvaatimusta käyttäen omia varoja ja hyväksyttäviä velkoja. Jotta mahdollisuus noudattaa MREL-vähimmäisvaatimusta konsolidoinnin perusteella voidaan toteuttaa kaikilta osin, on varmistettava, että </w:t>
            </w:r>
            <w:r w:rsidRPr="002D433B">
              <w:t>väliyhtiönä toimivien yhteisöjen hyväksyttävät velat lasketaan samalla tavalla kuin omat varat. Sen vuoksi hyväksyttävyyskriteerit, jotka koskevat hyväksyttäviä velkoja, joita voidaan käyttää sisäisen MREL-vähimmäisvaatimuksen noudattamiseksi konsolidoinni</w:t>
            </w:r>
            <w:r w:rsidRPr="002D433B">
              <w:t>n perusteella, olisi yhdenmukaistettava konsolidoitujen omien varojen laskentaa koskevien asetuksessa (EU) N:o 575/2013 vahvistettujen sääntöjen kanssa. Jotta voidaan varmistaa yhdenmukaisuus ulkoista MREL-vähimmäisvaatimusta koskevien voimassa olevien sää</w:t>
            </w:r>
            <w:r w:rsidRPr="002D433B">
              <w:t>ntöjen kanssa, tässä yhdenmukaistamisessa olisi otettava huomioon myös direktiivin 2014/59/EU 45 b artiklan 3 kohdassa ja asetuksen (EU) N:o 806/2014 12 d artiklan 3 kohdassa vahvistetut voimassa olevat säännöt, jotka koskevat niiden hyväksyttävien velkoje</w:t>
            </w:r>
            <w:r w:rsidRPr="002D433B">
              <w:t>n laskemista, joita kriisinratkaisun kohteena olevat yhteisöt voivat käyttää konsolidoidun MREL-vähimmäisvaatimuksensa noudattamiseksi. On erityisesti varmistettava, että konsolidoidun sisäisen MREL-vähimmäisvaatimuksen soveltamisalaan kuuluvan yhteisön ty</w:t>
            </w:r>
            <w:r w:rsidRPr="002D433B">
              <w:t xml:space="preserve">täryritysten liikkeeseen laskemat hyväksyttävät velat, joita </w:t>
            </w:r>
            <w:r w:rsidRPr="002D433B">
              <w:rPr>
                <w:b/>
                <w:i/>
              </w:rPr>
              <w:t>pitää</w:t>
            </w:r>
            <w:r w:rsidRPr="002D433B">
              <w:t xml:space="preserve"> hallussaan </w:t>
            </w:r>
            <w:r w:rsidRPr="002D433B">
              <w:rPr>
                <w:b/>
                <w:i/>
              </w:rPr>
              <w:t>kriisinratkaisun kohteena oleva yhteisö, joko suoraan tai epäsuorasti muiden</w:t>
            </w:r>
            <w:r w:rsidRPr="002D433B">
              <w:t xml:space="preserve"> samaan kriisinratkaisun kohteena olevaan konserniin </w:t>
            </w:r>
            <w:r w:rsidRPr="002D433B">
              <w:rPr>
                <w:b/>
                <w:i/>
              </w:rPr>
              <w:t>kuuluvien sellaisten yhteisöjen kautta</w:t>
            </w:r>
            <w:r w:rsidRPr="002D433B">
              <w:t>, jotka eiv</w:t>
            </w:r>
            <w:r w:rsidRPr="002D433B">
              <w:t>ät kuulu konsolidoinnin piiriin, tai nykyiset osakkeenomistajat, jotka eivät kuulu samaan kriisinratkaisun kohteena olevaan konserniin, lasketaan osaksi konsolidoidun sisäisen MREL-vähimmäisvaatimuksen soveltamisalaan kuuluvan yhteisön omia varoja ja hyväk</w:t>
            </w:r>
            <w:r w:rsidRPr="002D433B">
              <w:t>syttäviä velkoja.</w:t>
            </w:r>
          </w:p>
        </w:tc>
      </w:tr>
    </w:tbl>
    <w:p w:rsidR="00932D06" w:rsidRPr="002D433B" w:rsidRDefault="002D433B" w:rsidP="00932D06">
      <w:pPr>
        <w:pStyle w:val="Olang"/>
        <w:rPr>
          <w:sz w:val="24"/>
          <w:szCs w:val="24"/>
        </w:rPr>
      </w:pPr>
      <w:r w:rsidRPr="002D433B">
        <w:rPr>
          <w:sz w:val="24"/>
          <w:szCs w:val="24"/>
        </w:rPr>
        <w:t xml:space="preserve">Or. </w:t>
      </w:r>
      <w:r w:rsidRPr="002D433B">
        <w:rPr>
          <w:rStyle w:val="HideTWBExt"/>
        </w:rPr>
        <w:t>&lt;Original&gt;</w:t>
      </w:r>
      <w:r w:rsidRPr="002D433B">
        <w:rPr>
          <w:rStyle w:val="HideTWBInt"/>
          <w:sz w:val="24"/>
          <w:szCs w:val="24"/>
        </w:rPr>
        <w:t>{EN}</w:t>
      </w:r>
      <w:r w:rsidRPr="002D433B">
        <w:rPr>
          <w:sz w:val="24"/>
          <w:szCs w:val="24"/>
        </w:rPr>
        <w:t>en</w:t>
      </w:r>
      <w:r w:rsidRPr="002D433B">
        <w:rPr>
          <w:rStyle w:val="HideTWBExt"/>
        </w:rPr>
        <w:t>&lt;/Original&gt;</w:t>
      </w:r>
    </w:p>
    <w:p w:rsidR="00932D06" w:rsidRPr="002D433B" w:rsidRDefault="002D433B" w:rsidP="00932D06">
      <w:pPr>
        <w:rPr>
          <w:szCs w:val="24"/>
        </w:rPr>
      </w:pPr>
      <w:r w:rsidRPr="002D433B">
        <w:rPr>
          <w:rStyle w:val="HideTWBExt"/>
        </w:rPr>
        <w:t>&lt;/Amend&gt;</w:t>
      </w:r>
    </w:p>
    <w:p w:rsidR="00932D06" w:rsidRPr="002D433B" w:rsidRDefault="002D433B" w:rsidP="00932D06">
      <w:pPr>
        <w:pStyle w:val="AMNumberTabs0"/>
        <w:keepNext/>
      </w:pPr>
      <w:r w:rsidRPr="002D433B">
        <w:rPr>
          <w:rStyle w:val="HideTWBExt"/>
          <w:b w:val="0"/>
        </w:rPr>
        <w:t>&lt;Amend&gt;</w:t>
      </w:r>
      <w:r w:rsidRPr="002D433B">
        <w:t>Tarkistus</w:t>
      </w:r>
      <w:r w:rsidRPr="002D433B">
        <w:tab/>
      </w:r>
      <w:r w:rsidRPr="002D433B">
        <w:tab/>
      </w:r>
      <w:r w:rsidRPr="002D433B">
        <w:rPr>
          <w:rStyle w:val="HideTWBExt"/>
          <w:b w:val="0"/>
        </w:rPr>
        <w:t>&lt;NumAm&gt;</w:t>
      </w:r>
      <w:r w:rsidRPr="002D433B">
        <w:t>5</w:t>
      </w:r>
      <w:r w:rsidRPr="002D433B">
        <w:rPr>
          <w:rStyle w:val="HideTWBExt"/>
          <w:b w:val="0"/>
        </w:rPr>
        <w:t>&lt;/NumAm&gt;</w:t>
      </w:r>
    </w:p>
    <w:p w:rsidR="00932D06" w:rsidRPr="002D433B" w:rsidRDefault="002D433B" w:rsidP="00932D06">
      <w:pPr>
        <w:pStyle w:val="NormalBold12b"/>
        <w:keepNext/>
      </w:pPr>
      <w:r w:rsidRPr="002D433B">
        <w:rPr>
          <w:rStyle w:val="HideTWBExt"/>
          <w:b w:val="0"/>
        </w:rPr>
        <w:t>&lt;DocAmend&gt;</w:t>
      </w:r>
      <w:r w:rsidRPr="002D433B">
        <w:t>Ehdotus direktiiviksi</w:t>
      </w:r>
      <w:r w:rsidRPr="002D433B">
        <w:rPr>
          <w:rStyle w:val="HideTWBExt"/>
          <w:b w:val="0"/>
        </w:rPr>
        <w:t>&lt;/DocAmend&gt;</w:t>
      </w:r>
    </w:p>
    <w:p w:rsidR="00932D06" w:rsidRPr="002D433B" w:rsidRDefault="002D433B" w:rsidP="00932D06">
      <w:pPr>
        <w:pStyle w:val="NormalBold"/>
      </w:pPr>
      <w:r w:rsidRPr="002D433B">
        <w:rPr>
          <w:rStyle w:val="HideTWBExt"/>
          <w:b w:val="0"/>
        </w:rPr>
        <w:t>&lt;Article&gt;</w:t>
      </w:r>
      <w:r w:rsidRPr="002D433B">
        <w:t>Johdanto-osan 7 kappale</w:t>
      </w:r>
      <w:r w:rsidRPr="002D433B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94E1F" w:rsidRPr="002D433B" w:rsidTr="00932D06">
        <w:trPr>
          <w:jc w:val="center"/>
        </w:trPr>
        <w:tc>
          <w:tcPr>
            <w:tcW w:w="9752" w:type="dxa"/>
            <w:gridSpan w:val="2"/>
          </w:tcPr>
          <w:p w:rsidR="00932D06" w:rsidRPr="002D433B" w:rsidRDefault="00932D06">
            <w:pPr>
              <w:keepNext/>
            </w:pPr>
          </w:p>
        </w:tc>
      </w:tr>
      <w:tr w:rsidR="00E94E1F" w:rsidRPr="002D433B" w:rsidTr="00932D06">
        <w:trPr>
          <w:jc w:val="center"/>
        </w:trPr>
        <w:tc>
          <w:tcPr>
            <w:tcW w:w="4876" w:type="dxa"/>
            <w:hideMark/>
          </w:tcPr>
          <w:p w:rsidR="00932D06" w:rsidRPr="002D433B" w:rsidRDefault="002D433B">
            <w:pPr>
              <w:pStyle w:val="ColumnHeading"/>
              <w:keepNext/>
            </w:pPr>
            <w:r w:rsidRPr="002D433B">
              <w:t>Komission teksti</w:t>
            </w:r>
          </w:p>
        </w:tc>
        <w:tc>
          <w:tcPr>
            <w:tcW w:w="4876" w:type="dxa"/>
            <w:hideMark/>
          </w:tcPr>
          <w:p w:rsidR="00932D06" w:rsidRPr="002D433B" w:rsidRDefault="002D433B">
            <w:pPr>
              <w:pStyle w:val="ColumnHeading"/>
              <w:keepNext/>
            </w:pPr>
            <w:r w:rsidRPr="002D433B">
              <w:t>Tarkistus</w:t>
            </w:r>
          </w:p>
        </w:tc>
      </w:tr>
      <w:tr w:rsidR="00E94E1F" w:rsidRPr="002D433B" w:rsidTr="00932D06">
        <w:trPr>
          <w:jc w:val="center"/>
        </w:trPr>
        <w:tc>
          <w:tcPr>
            <w:tcW w:w="4876" w:type="dxa"/>
            <w:hideMark/>
          </w:tcPr>
          <w:p w:rsidR="00932D06" w:rsidRPr="002D433B" w:rsidRDefault="002D433B">
            <w:pPr>
              <w:pStyle w:val="Normal6"/>
            </w:pPr>
            <w:r w:rsidRPr="002D433B">
              <w:t>(7)</w:t>
            </w:r>
            <w:r w:rsidRPr="002D433B">
              <w:tab/>
            </w:r>
            <w:r w:rsidRPr="002D433B">
              <w:rPr>
                <w:b/>
                <w:i/>
              </w:rPr>
              <w:t>Likvidoitavien yhteisöjen osalta</w:t>
            </w:r>
            <w:r w:rsidRPr="002D433B">
              <w:t xml:space="preserve"> MREL-vähimmäisvaatimus rajoittuu</w:t>
            </w:r>
            <w:r w:rsidRPr="002D433B">
              <w:rPr>
                <w:b/>
                <w:i/>
              </w:rPr>
              <w:t xml:space="preserve"> tavallisesti</w:t>
            </w:r>
            <w:r w:rsidRPr="002D433B">
              <w:t xml:space="preserve"> tappioiden kattamiseksi tarvittavaan määrään, joka vastaa omien varojen vaatimuksia. Tällaisissa tapauksissa MREL-vähimmäisvaatimuksesta ei aiheudu likvidoitaville yhteisölle mitään lisävaatimuksia, jotka liit</w:t>
            </w:r>
            <w:r w:rsidRPr="002D433B">
              <w:t>tyisivät suoraan kriisinratkaisukehykseen. Tämä tarkoittaa sitä, että likvidoitava yhteisö voi noudattaa MREL-vähimmäisvaatimusta täysimääräisesti noudattamalla omien varojen vaatimuksia ja että MREL-vähimmäisvaatimuksen määrittävän kriisinratkaisuviranoma</w:t>
            </w:r>
            <w:r w:rsidRPr="002D433B">
              <w:t>isen erillinen päätös ei merkityksellisellä tavalla vaikuta likvidoitavien yhteisöjen purkamismahdollisuuteen. Tällaisesta päätöksestä aiheutuu kriisinratkaisuviranomaisille ja likvidoitaville yhteisöille monia menettelyllisiä velvoitteita ilman, että purk</w:t>
            </w:r>
            <w:r w:rsidRPr="002D433B">
              <w:t>amismahdollisuus samalla parantuisi. Tästä syystä kriisinratkaisuviranomaisten ei tulisi asettaa MREL-vähimmäisvaatimusta likvidoitaville yhteisöille.</w:t>
            </w:r>
          </w:p>
        </w:tc>
        <w:tc>
          <w:tcPr>
            <w:tcW w:w="4876" w:type="dxa"/>
            <w:hideMark/>
          </w:tcPr>
          <w:p w:rsidR="00932D06" w:rsidRPr="002D433B" w:rsidRDefault="002D433B" w:rsidP="006A17A3">
            <w:pPr>
              <w:pStyle w:val="Normal6"/>
              <w:rPr>
                <w:szCs w:val="24"/>
              </w:rPr>
            </w:pPr>
            <w:r w:rsidRPr="002D433B">
              <w:t>(7)</w:t>
            </w:r>
            <w:r w:rsidRPr="002D433B">
              <w:tab/>
            </w:r>
            <w:r w:rsidRPr="002D433B">
              <w:rPr>
                <w:b/>
                <w:i/>
              </w:rPr>
              <w:t>Nykyisessä MREL-kehyksessä likvidaation kohteeksi korvamerkittyjen yhteisöjen</w:t>
            </w:r>
            <w:r w:rsidRPr="002D433B">
              <w:t xml:space="preserve"> MREL-vähimmäisvaatimus </w:t>
            </w:r>
            <w:r w:rsidRPr="002D433B">
              <w:t xml:space="preserve">rajoittuu </w:t>
            </w:r>
            <w:r w:rsidRPr="002D433B">
              <w:rPr>
                <w:b/>
                <w:bCs/>
                <w:i/>
                <w:iCs/>
              </w:rPr>
              <w:t>useimmissa tapauksissa</w:t>
            </w:r>
            <w:r w:rsidRPr="002D433B">
              <w:t xml:space="preserve"> tappioiden kattamiseksi tarvittavaan määrään, joka vastaa omien varojen vaatimuksia. Tällaisissa tapauksissa MREL-vähimmäisvaatimuksesta ei aiheudu likvidoitaville yhteisölle mitään lisävaatimuksia, jotka liittyisivät suora</w:t>
            </w:r>
            <w:r w:rsidRPr="002D433B">
              <w:t>an kriisinratkaisukehykseen. Tämä tarkoittaa sitä, että likvidoitava yhteisö voi noudattaa MREL-vähimmäisvaatimusta täysimääräisesti noudattamalla omien varojen vaatimuksia ja että MREL-vähimmäisvaatimuksen määrittävän kriisinratkaisuviranomaisen erillinen</w:t>
            </w:r>
            <w:r w:rsidRPr="002D433B">
              <w:t xml:space="preserve"> päätös ei merkityksellisellä tavalla vaikuta likvidoitavien yhteisöjen purkamismahdollisuuteen. Tällaisesta päätöksestä aiheutuu kriisinratkaisuviranomaisille ja likvidoitaville yhteisöille monia menettelyllisiä velvoitteita ilman, että purkamismahdollisu</w:t>
            </w:r>
            <w:r w:rsidRPr="002D433B">
              <w:t>us samalla parantuisi. Tästä syystä kriisinratkaisuviranomaisten ei tulisi asettaa MREL-vähimmäisvaatimusta likvidoitaville yhteisöille.</w:t>
            </w:r>
          </w:p>
        </w:tc>
      </w:tr>
    </w:tbl>
    <w:p w:rsidR="00932D06" w:rsidRPr="002D433B" w:rsidRDefault="002D433B" w:rsidP="00932D06">
      <w:pPr>
        <w:pStyle w:val="Olang"/>
        <w:rPr>
          <w:sz w:val="24"/>
          <w:szCs w:val="24"/>
        </w:rPr>
      </w:pPr>
      <w:r w:rsidRPr="002D433B">
        <w:rPr>
          <w:sz w:val="24"/>
          <w:szCs w:val="24"/>
        </w:rPr>
        <w:t xml:space="preserve">Or. </w:t>
      </w:r>
      <w:r w:rsidRPr="002D433B">
        <w:rPr>
          <w:rStyle w:val="HideTWBExt"/>
        </w:rPr>
        <w:t>&lt;Original&gt;</w:t>
      </w:r>
      <w:r w:rsidRPr="002D433B">
        <w:rPr>
          <w:rStyle w:val="HideTWBInt"/>
          <w:sz w:val="24"/>
          <w:szCs w:val="24"/>
        </w:rPr>
        <w:t>{EN}</w:t>
      </w:r>
      <w:r w:rsidRPr="002D433B">
        <w:rPr>
          <w:sz w:val="24"/>
          <w:szCs w:val="24"/>
        </w:rPr>
        <w:t>en</w:t>
      </w:r>
      <w:r w:rsidRPr="002D433B">
        <w:rPr>
          <w:rStyle w:val="HideTWBExt"/>
        </w:rPr>
        <w:t>&lt;/Original&gt;</w:t>
      </w:r>
    </w:p>
    <w:p w:rsidR="00932D06" w:rsidRPr="002D433B" w:rsidRDefault="002D433B" w:rsidP="00932D06">
      <w:pPr>
        <w:rPr>
          <w:szCs w:val="24"/>
        </w:rPr>
      </w:pPr>
      <w:r w:rsidRPr="002D433B">
        <w:rPr>
          <w:rStyle w:val="HideTWBExt"/>
        </w:rPr>
        <w:t>&lt;/Amend&gt;</w:t>
      </w:r>
    </w:p>
    <w:p w:rsidR="00932D06" w:rsidRPr="002D433B" w:rsidRDefault="002D433B" w:rsidP="00932D06">
      <w:pPr>
        <w:pStyle w:val="AMNumberTabs0"/>
        <w:keepNext/>
      </w:pPr>
      <w:r w:rsidRPr="002D433B">
        <w:rPr>
          <w:rStyle w:val="HideTWBExt"/>
          <w:b w:val="0"/>
        </w:rPr>
        <w:t>&lt;Amend&gt;</w:t>
      </w:r>
      <w:r w:rsidRPr="002D433B">
        <w:t>Tarkistus</w:t>
      </w:r>
      <w:r w:rsidRPr="002D433B">
        <w:tab/>
      </w:r>
      <w:r w:rsidRPr="002D433B">
        <w:tab/>
      </w:r>
      <w:r w:rsidRPr="002D433B">
        <w:rPr>
          <w:rStyle w:val="HideTWBExt"/>
          <w:b w:val="0"/>
        </w:rPr>
        <w:t>&lt;NumAm&gt;</w:t>
      </w:r>
      <w:r w:rsidRPr="002D433B">
        <w:t>6</w:t>
      </w:r>
      <w:r w:rsidRPr="002D433B">
        <w:rPr>
          <w:rStyle w:val="HideTWBExt"/>
          <w:b w:val="0"/>
        </w:rPr>
        <w:t>&lt;/NumAm&gt;</w:t>
      </w:r>
    </w:p>
    <w:p w:rsidR="00932D06" w:rsidRPr="002D433B" w:rsidRDefault="002D433B" w:rsidP="00932D06">
      <w:pPr>
        <w:pStyle w:val="NormalBold12b"/>
        <w:keepNext/>
      </w:pPr>
      <w:r w:rsidRPr="002D433B">
        <w:rPr>
          <w:rStyle w:val="HideTWBExt"/>
          <w:b w:val="0"/>
        </w:rPr>
        <w:t>&lt;DocAmend&gt;</w:t>
      </w:r>
      <w:r w:rsidRPr="002D433B">
        <w:t>Ehdotus direktiiviksi</w:t>
      </w:r>
      <w:r w:rsidRPr="002D433B">
        <w:rPr>
          <w:rStyle w:val="HideTWBExt"/>
          <w:b w:val="0"/>
        </w:rPr>
        <w:t>&lt;/DocAmend&gt;</w:t>
      </w:r>
    </w:p>
    <w:p w:rsidR="00932D06" w:rsidRPr="002D433B" w:rsidRDefault="002D433B" w:rsidP="00932D06">
      <w:pPr>
        <w:pStyle w:val="NormalBold"/>
      </w:pPr>
      <w:r w:rsidRPr="002D433B">
        <w:rPr>
          <w:rStyle w:val="HideTWBExt"/>
          <w:b w:val="0"/>
        </w:rPr>
        <w:t>&lt;Article&gt;</w:t>
      </w:r>
      <w:r w:rsidRPr="002D433B">
        <w:t>Johdanto-osan 8 kappale</w:t>
      </w:r>
      <w:r w:rsidRPr="002D433B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94E1F" w:rsidRPr="002D433B" w:rsidTr="00932D06">
        <w:trPr>
          <w:jc w:val="center"/>
        </w:trPr>
        <w:tc>
          <w:tcPr>
            <w:tcW w:w="9752" w:type="dxa"/>
            <w:gridSpan w:val="2"/>
          </w:tcPr>
          <w:p w:rsidR="00932D06" w:rsidRPr="002D433B" w:rsidRDefault="00932D06">
            <w:pPr>
              <w:keepNext/>
            </w:pPr>
          </w:p>
        </w:tc>
      </w:tr>
      <w:tr w:rsidR="00E94E1F" w:rsidRPr="002D433B" w:rsidTr="00932D06">
        <w:trPr>
          <w:jc w:val="center"/>
        </w:trPr>
        <w:tc>
          <w:tcPr>
            <w:tcW w:w="4876" w:type="dxa"/>
            <w:hideMark/>
          </w:tcPr>
          <w:p w:rsidR="00932D06" w:rsidRPr="002D433B" w:rsidRDefault="002D433B">
            <w:pPr>
              <w:pStyle w:val="ColumnHeading"/>
              <w:keepNext/>
            </w:pPr>
            <w:r w:rsidRPr="002D433B">
              <w:t>Komission teksti</w:t>
            </w:r>
          </w:p>
        </w:tc>
        <w:tc>
          <w:tcPr>
            <w:tcW w:w="4876" w:type="dxa"/>
            <w:hideMark/>
          </w:tcPr>
          <w:p w:rsidR="00932D06" w:rsidRPr="002D433B" w:rsidRDefault="002D433B">
            <w:pPr>
              <w:pStyle w:val="ColumnHeading"/>
              <w:keepNext/>
            </w:pPr>
            <w:r w:rsidRPr="002D433B">
              <w:t>Tarkistus</w:t>
            </w:r>
          </w:p>
        </w:tc>
      </w:tr>
      <w:tr w:rsidR="00E94E1F" w:rsidRPr="002D433B" w:rsidTr="00932D06">
        <w:trPr>
          <w:jc w:val="center"/>
        </w:trPr>
        <w:tc>
          <w:tcPr>
            <w:tcW w:w="4876" w:type="dxa"/>
            <w:hideMark/>
          </w:tcPr>
          <w:p w:rsidR="00932D06" w:rsidRPr="002D433B" w:rsidRDefault="002D433B">
            <w:pPr>
              <w:pStyle w:val="Normal6"/>
            </w:pPr>
            <w:r w:rsidRPr="002D433B">
              <w:t>(8)</w:t>
            </w:r>
            <w:r w:rsidRPr="002D433B">
              <w:tab/>
            </w:r>
            <w:r w:rsidRPr="002D433B">
              <w:rPr>
                <w:b/>
                <w:i/>
              </w:rPr>
              <w:t>Jos kriisinratkaisuviranomainen katsoo, että</w:t>
            </w:r>
            <w:r w:rsidRPr="002D433B">
              <w:t xml:space="preserve"> kriisinratkaisun kohteena </w:t>
            </w:r>
            <w:r w:rsidRPr="002D433B">
              <w:rPr>
                <w:b/>
                <w:i/>
              </w:rPr>
              <w:t>olevaan konserniin kuuluvaa yhteisöä</w:t>
            </w:r>
            <w:r w:rsidRPr="002D433B">
              <w:t xml:space="preserve"> voidaan pitää likvidoitavana yhteisönä, </w:t>
            </w:r>
            <w:r w:rsidRPr="002D433B">
              <w:rPr>
                <w:b/>
                <w:i/>
              </w:rPr>
              <w:t>väliyhtiönä toimivia yhteisöjä</w:t>
            </w:r>
            <w:r w:rsidRPr="002D433B">
              <w:t xml:space="preserve"> ei </w:t>
            </w:r>
            <w:r w:rsidRPr="002D433B">
              <w:rPr>
                <w:b/>
                <w:i/>
              </w:rPr>
              <w:t>tulisi vaatia vähentämään sisäisen MREL-vähimmäisvaatimuksen kattamiseen tarvittavasta kapasiteetistaan hallussaan olevia</w:t>
            </w:r>
            <w:r w:rsidRPr="002D433B">
              <w:t xml:space="preserve"> omia varoja </w:t>
            </w:r>
            <w:r w:rsidRPr="002D433B">
              <w:rPr>
                <w:b/>
                <w:i/>
              </w:rPr>
              <w:t>tai muita</w:t>
            </w:r>
            <w:r w:rsidRPr="002D433B">
              <w:t xml:space="preserve"> velkoja</w:t>
            </w:r>
            <w:r w:rsidRPr="002D433B">
              <w:rPr>
                <w:b/>
                <w:i/>
              </w:rPr>
              <w:t>, jotka täyttäisivät sisäisen MREL-vähimmäisvaatimuksen noudattamisen edellytykset ja jotka ovat likv</w:t>
            </w:r>
            <w:r w:rsidRPr="002D433B">
              <w:rPr>
                <w:b/>
                <w:i/>
              </w:rPr>
              <w:t xml:space="preserve">idoitavien yhteisöjen liikkeeseen laskemia. Likvidoitavalta yhteisöltä ei tällaisessa tapauksessa enää edellytetä MREL-vähimmäisvaatimuksen noudattamista, joten sisäisen MREL-vähimmäisvaatimuksen kattamiseen hyväksyttävien varojen välillistä merkitsemistä </w:t>
            </w:r>
            <w:r w:rsidRPr="002D433B">
              <w:rPr>
                <w:b/>
                <w:i/>
              </w:rPr>
              <w:t>kriisinratkaisun kohteena olevan yhteisön, väliyhtiönä toimivan yhteisön ja likvidoitavan yhteisön muodostaman ketjun kautta ei enää tapahdu</w:t>
            </w:r>
            <w:r w:rsidRPr="002D433B">
              <w:t xml:space="preserve">. Kriisinratkaisustrategiassa ei edellytetä, että kriisinratkaisun kohteena oleva yhteisö </w:t>
            </w:r>
            <w:r w:rsidRPr="002D433B">
              <w:rPr>
                <w:b/>
                <w:i/>
              </w:rPr>
              <w:t>tukisi likvidoitavaa yhtei</w:t>
            </w:r>
            <w:r w:rsidRPr="002D433B">
              <w:rPr>
                <w:b/>
                <w:i/>
              </w:rPr>
              <w:t>söä</w:t>
            </w:r>
            <w:r w:rsidRPr="002D433B">
              <w:t xml:space="preserve"> kaatumistilanteessa. Tämä tarkoittaa sitä, että tappioiden siirtämistä ylöspäin likvidoitavalta yhteisöltä kriisinratkaisun kohteena olevalle yhteisölle väliyhtiönä toimivan yhteisön kautta tai pääoman siirtämistä alaspäin päinvastaiseen suuntaan ei od</w:t>
            </w:r>
            <w:r w:rsidRPr="002D433B">
              <w:t>oteta. Sisäisen MREL-vähimmäisvaatimuksen kattamiseen hyväksyttävien varojen välillisen merkitsemisen yhteydessä vähennettävien hallussa olevien instrumenttien laajuuden mukautus ei näin ollen vaikuttaisi siihen, onko kehys vakavaraisuuden kannalta moittee</w:t>
            </w:r>
            <w:r w:rsidRPr="002D433B">
              <w:t>ton.</w:t>
            </w:r>
          </w:p>
        </w:tc>
        <w:tc>
          <w:tcPr>
            <w:tcW w:w="4876" w:type="dxa"/>
            <w:hideMark/>
          </w:tcPr>
          <w:p w:rsidR="00932D06" w:rsidRPr="002D433B" w:rsidRDefault="002D433B">
            <w:pPr>
              <w:pStyle w:val="Normal6"/>
              <w:rPr>
                <w:szCs w:val="24"/>
              </w:rPr>
            </w:pPr>
            <w:r w:rsidRPr="002D433B">
              <w:t>(8)</w:t>
            </w:r>
            <w:r w:rsidRPr="002D433B">
              <w:tab/>
            </w:r>
            <w:r w:rsidRPr="002D433B">
              <w:rPr>
                <w:b/>
                <w:i/>
              </w:rPr>
              <w:t>Laatiessaan kriisinratkaisusuunnitelmia ja arvioidessaan</w:t>
            </w:r>
            <w:r w:rsidRPr="002D433B">
              <w:t xml:space="preserve"> kriisinratkaisun kohteena </w:t>
            </w:r>
            <w:r w:rsidRPr="002D433B">
              <w:rPr>
                <w:b/>
                <w:i/>
              </w:rPr>
              <w:t>olevien konsernien purkamismahdollisuuksia kriisinratkaisuviranomaiset voivat katsoa, että konserniyhteisöä</w:t>
            </w:r>
            <w:r w:rsidRPr="002D433B">
              <w:t xml:space="preserve"> voidaan pitää likvidoitavana yhteisönä, </w:t>
            </w:r>
            <w:r w:rsidRPr="002D433B">
              <w:rPr>
                <w:b/>
                <w:i/>
              </w:rPr>
              <w:t>koska alaskirjau</w:t>
            </w:r>
            <w:r w:rsidRPr="002D433B">
              <w:rPr>
                <w:b/>
                <w:i/>
              </w:rPr>
              <w:t>s- ja muuntamisvaltuuksien käyttöä</w:t>
            </w:r>
            <w:r w:rsidRPr="002D433B">
              <w:t xml:space="preserve"> ei </w:t>
            </w:r>
            <w:r w:rsidRPr="002D433B">
              <w:rPr>
                <w:b/>
                <w:i/>
              </w:rPr>
              <w:t xml:space="preserve">ole suunniteltu kyseisen yhteisön osalta. </w:t>
            </w:r>
            <w:r w:rsidRPr="002D433B">
              <w:rPr>
                <w:b/>
                <w:i/>
              </w:rPr>
              <w:t>Jos näin on, konserniyhteisöllä ei välttämättä tarvitse olla</w:t>
            </w:r>
            <w:r w:rsidRPr="002D433B">
              <w:rPr>
                <w:b/>
                <w:i/>
              </w:rPr>
              <w:t xml:space="preserve"> omia varoja </w:t>
            </w:r>
            <w:r w:rsidRPr="002D433B">
              <w:rPr>
                <w:b/>
                <w:i/>
              </w:rPr>
              <w:t>ja hyväksyttäviä</w:t>
            </w:r>
            <w:r w:rsidRPr="002D433B">
              <w:rPr>
                <w:b/>
                <w:i/>
              </w:rPr>
              <w:t xml:space="preserve"> velkoja</w:t>
            </w:r>
            <w:r w:rsidRPr="002D433B">
              <w:rPr>
                <w:b/>
                <w:i/>
              </w:rPr>
              <w:t xml:space="preserve"> omien varojen vaatimustensa lisäksi.</w:t>
            </w:r>
            <w:r w:rsidRPr="002D433B">
              <w:rPr>
                <w:b/>
                <w:i/>
              </w:rPr>
              <w:t xml:space="preserve"> Näissä olosuhteissa väliyhtiönä toimivia </w:t>
            </w:r>
            <w:r w:rsidRPr="002D433B">
              <w:rPr>
                <w:b/>
                <w:i/>
              </w:rPr>
              <w:t>yhteisöjä olisi vaadittava vähentämään sisäisen MREL-vähimmäisvaatimuksen kattamiseen tarvittavasta kapasiteetistaan hallussaan olevat sellaisten likvidoitavien yhteisöjen liikkeelle laskemat omat varat, joihin ei sovelleta MREL-päätöstä. Niitä ei kuitenka</w:t>
            </w:r>
            <w:r w:rsidRPr="002D433B">
              <w:rPr>
                <w:b/>
                <w:i/>
              </w:rPr>
              <w:t>an pitäisi vaatia vähentämään velkoja, jotka täyttäisivät sisäisen MREL-vähimmäisvaatimuksen noudattamisen edellytykset</w:t>
            </w:r>
            <w:r w:rsidRPr="002D433B">
              <w:t xml:space="preserve">. Kriisinratkaisustrategiassa ei edellytetä, että kriisinratkaisun kohteena oleva yhteisö </w:t>
            </w:r>
            <w:r w:rsidRPr="002D433B">
              <w:rPr>
                <w:b/>
                <w:i/>
              </w:rPr>
              <w:t>vahvistaisi likvidoitavan yhteisön pääomapohjaa</w:t>
            </w:r>
            <w:r w:rsidRPr="002D433B">
              <w:t xml:space="preserve"> kaatumistilanteessa. Tämä tarkoittaa sitä, että</w:t>
            </w:r>
            <w:r w:rsidRPr="002D433B">
              <w:rPr>
                <w:b/>
                <w:i/>
              </w:rPr>
              <w:t xml:space="preserve"> nykyisiä omien varojen vaatimuksia suurempien</w:t>
            </w:r>
            <w:r w:rsidRPr="002D433B">
              <w:t xml:space="preserve"> tappioiden siirtämistä ylöspäin likvidoitavalta yhteisöltä kriisinratkaisun kohteena olevalle yhteisölle väliyhtiönä toimivan yhteisön kautta tai pääoman siirtäm</w:t>
            </w:r>
            <w:r w:rsidRPr="002D433B">
              <w:t xml:space="preserve">istä alaspäin päinvastaiseen suuntaan ei odoteta. Sisäisen MREL-vähimmäisvaatimuksen kattamiseen hyväksyttävien varojen välillisen merkitsemisen yhteydessä vähennettävien hallussa olevien instrumenttien laajuuden mukautus ei näin ollen vaikuttaisi siihen, </w:t>
            </w:r>
            <w:r w:rsidRPr="002D433B">
              <w:t>onko kehys vakavaraisuuden kannalta moitteeton.</w:t>
            </w:r>
          </w:p>
        </w:tc>
      </w:tr>
    </w:tbl>
    <w:p w:rsidR="00932D06" w:rsidRPr="002D433B" w:rsidRDefault="002D433B" w:rsidP="00932D06">
      <w:pPr>
        <w:pStyle w:val="Olang"/>
        <w:rPr>
          <w:sz w:val="24"/>
          <w:szCs w:val="24"/>
        </w:rPr>
      </w:pPr>
      <w:r w:rsidRPr="002D433B">
        <w:rPr>
          <w:sz w:val="24"/>
          <w:szCs w:val="24"/>
        </w:rPr>
        <w:t xml:space="preserve">Or. </w:t>
      </w:r>
      <w:r w:rsidRPr="002D433B">
        <w:rPr>
          <w:rStyle w:val="HideTWBExt"/>
        </w:rPr>
        <w:t>&lt;Original&gt;</w:t>
      </w:r>
      <w:r w:rsidRPr="002D433B">
        <w:rPr>
          <w:rStyle w:val="HideTWBInt"/>
          <w:sz w:val="24"/>
          <w:szCs w:val="24"/>
        </w:rPr>
        <w:t>{EN}</w:t>
      </w:r>
      <w:r w:rsidRPr="002D433B">
        <w:rPr>
          <w:sz w:val="24"/>
          <w:szCs w:val="24"/>
        </w:rPr>
        <w:t>en</w:t>
      </w:r>
      <w:r w:rsidRPr="002D433B">
        <w:rPr>
          <w:rStyle w:val="HideTWBExt"/>
        </w:rPr>
        <w:t>&lt;/Original&gt;</w:t>
      </w:r>
    </w:p>
    <w:p w:rsidR="00932D06" w:rsidRPr="002D433B" w:rsidRDefault="002D433B" w:rsidP="00932D06">
      <w:pPr>
        <w:rPr>
          <w:szCs w:val="24"/>
        </w:rPr>
      </w:pPr>
      <w:r w:rsidRPr="002D433B">
        <w:rPr>
          <w:rStyle w:val="HideTWBExt"/>
        </w:rPr>
        <w:t>&lt;/Amend&gt;</w:t>
      </w:r>
    </w:p>
    <w:p w:rsidR="00932D06" w:rsidRPr="002D433B" w:rsidRDefault="002D433B" w:rsidP="00932D06">
      <w:pPr>
        <w:pStyle w:val="AMNumberTabs0"/>
        <w:keepNext/>
      </w:pPr>
      <w:r w:rsidRPr="002D433B">
        <w:rPr>
          <w:rStyle w:val="HideTWBExt"/>
          <w:b w:val="0"/>
        </w:rPr>
        <w:t>&lt;Amend&gt;</w:t>
      </w:r>
      <w:r w:rsidRPr="002D433B">
        <w:t>Tarkistus</w:t>
      </w:r>
      <w:r w:rsidRPr="002D433B">
        <w:tab/>
      </w:r>
      <w:r w:rsidRPr="002D433B">
        <w:tab/>
      </w:r>
      <w:r w:rsidRPr="002D433B">
        <w:rPr>
          <w:rStyle w:val="HideTWBExt"/>
          <w:b w:val="0"/>
        </w:rPr>
        <w:t>&lt;NumAm&gt;</w:t>
      </w:r>
      <w:r w:rsidRPr="002D433B">
        <w:t>7</w:t>
      </w:r>
      <w:r w:rsidRPr="002D433B">
        <w:rPr>
          <w:rStyle w:val="HideTWBExt"/>
          <w:b w:val="0"/>
        </w:rPr>
        <w:t>&lt;/NumAm&gt;</w:t>
      </w:r>
    </w:p>
    <w:p w:rsidR="00932D06" w:rsidRPr="002D433B" w:rsidRDefault="002D433B" w:rsidP="00932D06">
      <w:pPr>
        <w:pStyle w:val="NormalBold12b"/>
        <w:keepNext/>
      </w:pPr>
      <w:r w:rsidRPr="002D433B">
        <w:rPr>
          <w:rStyle w:val="HideTWBExt"/>
          <w:b w:val="0"/>
        </w:rPr>
        <w:t>&lt;DocAmend&gt;</w:t>
      </w:r>
      <w:r w:rsidRPr="002D433B">
        <w:t>Ehdotus direktiiviksi</w:t>
      </w:r>
      <w:r w:rsidRPr="002D433B">
        <w:rPr>
          <w:rStyle w:val="HideTWBExt"/>
          <w:b w:val="0"/>
        </w:rPr>
        <w:t>&lt;/DocAmend&gt;</w:t>
      </w:r>
    </w:p>
    <w:p w:rsidR="00932D06" w:rsidRPr="002D433B" w:rsidRDefault="002D433B" w:rsidP="00932D06">
      <w:pPr>
        <w:pStyle w:val="NormalBold"/>
      </w:pPr>
      <w:r w:rsidRPr="002D433B">
        <w:rPr>
          <w:rStyle w:val="HideTWBExt"/>
          <w:b w:val="0"/>
        </w:rPr>
        <w:t>&lt;Article&gt;</w:t>
      </w:r>
      <w:r w:rsidRPr="002D433B">
        <w:t>Johdanto-osan 9 kappale</w:t>
      </w:r>
      <w:r w:rsidRPr="002D433B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94E1F" w:rsidRPr="002D433B" w:rsidTr="00932D06">
        <w:trPr>
          <w:jc w:val="center"/>
        </w:trPr>
        <w:tc>
          <w:tcPr>
            <w:tcW w:w="9752" w:type="dxa"/>
            <w:gridSpan w:val="2"/>
          </w:tcPr>
          <w:p w:rsidR="00932D06" w:rsidRPr="002D433B" w:rsidRDefault="00932D06">
            <w:pPr>
              <w:keepNext/>
            </w:pPr>
          </w:p>
        </w:tc>
      </w:tr>
      <w:tr w:rsidR="00E94E1F" w:rsidRPr="002D433B" w:rsidTr="00932D06">
        <w:trPr>
          <w:jc w:val="center"/>
        </w:trPr>
        <w:tc>
          <w:tcPr>
            <w:tcW w:w="4876" w:type="dxa"/>
            <w:hideMark/>
          </w:tcPr>
          <w:p w:rsidR="00932D06" w:rsidRPr="002D433B" w:rsidRDefault="002D433B">
            <w:pPr>
              <w:pStyle w:val="ColumnHeading"/>
              <w:keepNext/>
            </w:pPr>
            <w:r w:rsidRPr="002D433B">
              <w:t>Komission teksti</w:t>
            </w:r>
          </w:p>
        </w:tc>
        <w:tc>
          <w:tcPr>
            <w:tcW w:w="4876" w:type="dxa"/>
            <w:hideMark/>
          </w:tcPr>
          <w:p w:rsidR="00932D06" w:rsidRPr="002D433B" w:rsidRDefault="002D433B">
            <w:pPr>
              <w:pStyle w:val="ColumnHeading"/>
              <w:keepNext/>
            </w:pPr>
            <w:r w:rsidRPr="002D433B">
              <w:t>Tarkistus</w:t>
            </w:r>
          </w:p>
        </w:tc>
      </w:tr>
      <w:tr w:rsidR="00E94E1F" w:rsidRPr="002D433B" w:rsidTr="00932D06">
        <w:trPr>
          <w:jc w:val="center"/>
        </w:trPr>
        <w:tc>
          <w:tcPr>
            <w:tcW w:w="4876" w:type="dxa"/>
            <w:hideMark/>
          </w:tcPr>
          <w:p w:rsidR="00932D06" w:rsidRPr="002D433B" w:rsidRDefault="002D433B">
            <w:pPr>
              <w:pStyle w:val="Normal6"/>
            </w:pPr>
            <w:r w:rsidRPr="002D433B">
              <w:t>(9)</w:t>
            </w:r>
            <w:r w:rsidRPr="002D433B">
              <w:tab/>
            </w:r>
            <w:r w:rsidRPr="002D433B">
              <w:t>Asetuksen (EU) N:o 575/2013 77 artiklan 2 kohdassa ja 78 a artiklassa säädetyn hyväksyttävien velkojen instrumenttien vähentämistä koskevan lupajärjestelmän – jota sovelletaan myös MREL-vähimmäisvaatimuksen soveltamisalaan kuuluviin laitoksiin ja yhteisöih</w:t>
            </w:r>
            <w:r w:rsidRPr="002D433B">
              <w:t>in sekä MREL-vähimmäisvaatimuksen noudattamiseksi liikkeeseen laskettuihin velkoihin – päätavoitteena on antaa kriisinratkaisuviranomaisille mahdollisuus valvoa toimia, jotka johtavat hyväksyttävien velkojen määrän vähenemiseen, ja kieltää kaikki toimet, j</w:t>
            </w:r>
            <w:r w:rsidRPr="002D433B">
              <w:t>otka johtavat määrän vähenemiseen kriisinratkaisuviranomaisten riittäväksi katsoman tason alle. Jos kriisinratkaisuviranomainen ei ole tehnyt laitoksen tai yhteisön osalta päätöstä MREL-vähimmäisvaatimuksen määrittämisestä, tämä tavoite ei ole merkityksell</w:t>
            </w:r>
            <w:r w:rsidRPr="002D433B">
              <w:t xml:space="preserve">inen. </w:t>
            </w:r>
            <w:r w:rsidRPr="002D433B">
              <w:rPr>
                <w:b/>
                <w:i/>
              </w:rPr>
              <w:t>Laitoksilla tai yhteisöillä, joihin ei sovelleta päätöstä MREL-vähimmäisvaatimuksen määrittämisestä, ei myöskään ole hyväksyttäviä velkoja taseessaan.</w:t>
            </w:r>
            <w:r w:rsidRPr="002D433B">
              <w:t xml:space="preserve"> Laitoksilta tai yhteisöiltä, joiden osalta ei ole tehty päätöksiä MREL-vähimmäisvaatimuksen määritt</w:t>
            </w:r>
            <w:r w:rsidRPr="002D433B">
              <w:t>ämisestä, ei sen vuoksi tulisi edellyttää kriisinratkaisuviranomaisen myöntämää ennakkolupaa sellaisten velkojen osto-option, lunastuksen, takaisinmaksun tai takaisinoston toteuttamiseksi, jotka täyttäisivät MREL-vähimmäisvaatimusta koskevat hyväksyttävyys</w:t>
            </w:r>
            <w:r w:rsidRPr="002D433B">
              <w:t>vaatimukset.</w:t>
            </w:r>
          </w:p>
        </w:tc>
        <w:tc>
          <w:tcPr>
            <w:tcW w:w="4876" w:type="dxa"/>
            <w:hideMark/>
          </w:tcPr>
          <w:p w:rsidR="00932D06" w:rsidRPr="002D433B" w:rsidRDefault="002D433B">
            <w:pPr>
              <w:pStyle w:val="Normal6"/>
              <w:rPr>
                <w:szCs w:val="24"/>
              </w:rPr>
            </w:pPr>
            <w:r w:rsidRPr="002D433B">
              <w:t>(9)</w:t>
            </w:r>
            <w:r w:rsidRPr="002D433B">
              <w:tab/>
            </w:r>
            <w:r w:rsidRPr="002D433B">
              <w:t>Asetuksen (EU) N:o 575/2013 77 artiklan 2 kohdassa ja 78 a artiklassa säädetyn hyväksyttävien velkojen instrumenttien vähentämistä koskevan lupajärjestelmän – jota sovelletaan myös MREL-vähimmäisvaatimuksen soveltamisalaan kuuluviin laitoksiin ja yhteisöih</w:t>
            </w:r>
            <w:r w:rsidRPr="002D433B">
              <w:t>in sekä MREL-vähimmäisvaatimuksen noudattamiseksi liikkeeseen laskettuihin velkoihin – päätavoitteena on antaa kriisinratkaisuviranomaisille mahdollisuus valvoa toimia, jotka johtavat hyväksyttävien velkojen määrän vähenemiseen, ja kieltää kaikki toimet, j</w:t>
            </w:r>
            <w:r w:rsidRPr="002D433B">
              <w:t>otka johtavat määrän vähenemiseen kriisinratkaisuviranomaisten riittäväksi katsoman tason alle. Jos kriisinratkaisuviranomainen ei ole tehnyt laitoksen tai yhteisön osalta päätöstä MREL-vähimmäisvaatimuksen määrittämisestä, tämä tavoite ei ole merkityksell</w:t>
            </w:r>
            <w:r w:rsidRPr="002D433B">
              <w:t>inen. Laitoksilta tai yhteisöiltä, joiden osalta ei ole tehty päätöksiä MREL-vähimmäisvaatimuksen määrittämisestä, ei sen vuoksi tulisi edellyttää kriisinratkaisuviranomaisen myöntämää ennakkolupaa sellaisten velkojen osto-option, lunastuksen, takaisinmaks</w:t>
            </w:r>
            <w:r w:rsidRPr="002D433B">
              <w:t>un tai takaisinoston toteuttamiseksi, jotka täyttäisivät MREL-vähimmäisvaatimusta koskevat hyväksyttävyysvaatimukset.</w:t>
            </w:r>
          </w:p>
        </w:tc>
      </w:tr>
    </w:tbl>
    <w:p w:rsidR="00932D06" w:rsidRPr="002D433B" w:rsidRDefault="002D433B" w:rsidP="00932D06">
      <w:pPr>
        <w:pStyle w:val="Olang"/>
        <w:rPr>
          <w:sz w:val="24"/>
          <w:szCs w:val="24"/>
        </w:rPr>
      </w:pPr>
      <w:r w:rsidRPr="002D433B">
        <w:rPr>
          <w:sz w:val="24"/>
          <w:szCs w:val="24"/>
        </w:rPr>
        <w:t xml:space="preserve">Or. </w:t>
      </w:r>
      <w:r w:rsidRPr="002D433B">
        <w:rPr>
          <w:rStyle w:val="HideTWBExt"/>
        </w:rPr>
        <w:t>&lt;Original&gt;</w:t>
      </w:r>
      <w:r w:rsidRPr="002D433B">
        <w:rPr>
          <w:rStyle w:val="HideTWBInt"/>
          <w:sz w:val="24"/>
          <w:szCs w:val="24"/>
        </w:rPr>
        <w:t>{EN}</w:t>
      </w:r>
      <w:r w:rsidRPr="002D433B">
        <w:rPr>
          <w:sz w:val="24"/>
          <w:szCs w:val="24"/>
        </w:rPr>
        <w:t>en</w:t>
      </w:r>
      <w:r w:rsidRPr="002D433B">
        <w:rPr>
          <w:rStyle w:val="HideTWBExt"/>
        </w:rPr>
        <w:t>&lt;/Original&gt;</w:t>
      </w:r>
    </w:p>
    <w:p w:rsidR="00932D06" w:rsidRPr="002D433B" w:rsidRDefault="002D433B" w:rsidP="00932D06">
      <w:pPr>
        <w:rPr>
          <w:szCs w:val="24"/>
        </w:rPr>
      </w:pPr>
      <w:r w:rsidRPr="002D433B">
        <w:rPr>
          <w:rStyle w:val="HideTWBExt"/>
        </w:rPr>
        <w:t>&lt;/Amend&gt;</w:t>
      </w:r>
    </w:p>
    <w:p w:rsidR="00932D06" w:rsidRPr="002D433B" w:rsidRDefault="002D433B" w:rsidP="00932D06">
      <w:pPr>
        <w:pStyle w:val="AMNumberTabs0"/>
        <w:keepNext/>
      </w:pPr>
      <w:r w:rsidRPr="002D433B">
        <w:rPr>
          <w:rStyle w:val="HideTWBExt"/>
          <w:b w:val="0"/>
        </w:rPr>
        <w:t>&lt;Amend&gt;</w:t>
      </w:r>
      <w:r w:rsidRPr="002D433B">
        <w:t>Tarkistus</w:t>
      </w:r>
      <w:r w:rsidRPr="002D433B">
        <w:tab/>
      </w:r>
      <w:r w:rsidRPr="002D433B">
        <w:tab/>
      </w:r>
      <w:r w:rsidRPr="002D433B">
        <w:rPr>
          <w:rStyle w:val="HideTWBExt"/>
          <w:b w:val="0"/>
        </w:rPr>
        <w:t>&lt;NumAm&gt;</w:t>
      </w:r>
      <w:r w:rsidRPr="002D433B">
        <w:t>8</w:t>
      </w:r>
      <w:r w:rsidRPr="002D433B">
        <w:rPr>
          <w:rStyle w:val="HideTWBExt"/>
          <w:b w:val="0"/>
        </w:rPr>
        <w:t>&lt;/NumAm&gt;</w:t>
      </w:r>
    </w:p>
    <w:p w:rsidR="00932D06" w:rsidRPr="002D433B" w:rsidRDefault="002D433B" w:rsidP="00932D06">
      <w:pPr>
        <w:pStyle w:val="NormalBold12b"/>
        <w:keepNext/>
      </w:pPr>
      <w:r w:rsidRPr="002D433B">
        <w:rPr>
          <w:rStyle w:val="HideTWBExt"/>
          <w:b w:val="0"/>
        </w:rPr>
        <w:t>&lt;DocAmend&gt;</w:t>
      </w:r>
      <w:r w:rsidRPr="002D433B">
        <w:t>Ehdotus direktiiviksi</w:t>
      </w:r>
      <w:r w:rsidRPr="002D433B">
        <w:rPr>
          <w:rStyle w:val="HideTWBExt"/>
          <w:b w:val="0"/>
        </w:rPr>
        <w:t>&lt;/DocAmend&gt;</w:t>
      </w:r>
    </w:p>
    <w:p w:rsidR="00932D06" w:rsidRPr="002D433B" w:rsidRDefault="002D433B" w:rsidP="00932D06">
      <w:pPr>
        <w:pStyle w:val="NormalBold"/>
      </w:pPr>
      <w:r w:rsidRPr="002D433B">
        <w:rPr>
          <w:rStyle w:val="HideTWBExt"/>
          <w:b w:val="0"/>
        </w:rPr>
        <w:t>&lt;Article&gt;</w:t>
      </w:r>
      <w:r w:rsidRPr="002D433B">
        <w:t>Johdanto-</w:t>
      </w:r>
      <w:r w:rsidRPr="002D433B">
        <w:t>osan 10 kappale</w:t>
      </w:r>
      <w:r w:rsidRPr="002D433B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94E1F" w:rsidRPr="002D433B" w:rsidTr="00932D06">
        <w:trPr>
          <w:jc w:val="center"/>
        </w:trPr>
        <w:tc>
          <w:tcPr>
            <w:tcW w:w="9752" w:type="dxa"/>
            <w:gridSpan w:val="2"/>
          </w:tcPr>
          <w:p w:rsidR="00932D06" w:rsidRPr="002D433B" w:rsidRDefault="00932D06">
            <w:pPr>
              <w:keepNext/>
            </w:pPr>
          </w:p>
        </w:tc>
      </w:tr>
      <w:tr w:rsidR="00E94E1F" w:rsidRPr="002D433B" w:rsidTr="00932D06">
        <w:trPr>
          <w:jc w:val="center"/>
        </w:trPr>
        <w:tc>
          <w:tcPr>
            <w:tcW w:w="4876" w:type="dxa"/>
            <w:hideMark/>
          </w:tcPr>
          <w:p w:rsidR="00932D06" w:rsidRPr="002D433B" w:rsidRDefault="002D433B">
            <w:pPr>
              <w:pStyle w:val="ColumnHeading"/>
              <w:keepNext/>
            </w:pPr>
            <w:r w:rsidRPr="002D433B">
              <w:t>Komission teksti</w:t>
            </w:r>
          </w:p>
        </w:tc>
        <w:tc>
          <w:tcPr>
            <w:tcW w:w="4876" w:type="dxa"/>
            <w:hideMark/>
          </w:tcPr>
          <w:p w:rsidR="00932D06" w:rsidRPr="002D433B" w:rsidRDefault="002D433B">
            <w:pPr>
              <w:pStyle w:val="ColumnHeading"/>
              <w:keepNext/>
            </w:pPr>
            <w:r w:rsidRPr="002D433B">
              <w:t>Tarkistus</w:t>
            </w:r>
          </w:p>
        </w:tc>
      </w:tr>
      <w:tr w:rsidR="00E94E1F" w:rsidRPr="002D433B" w:rsidTr="00932D06">
        <w:trPr>
          <w:jc w:val="center"/>
        </w:trPr>
        <w:tc>
          <w:tcPr>
            <w:tcW w:w="4876" w:type="dxa"/>
            <w:hideMark/>
          </w:tcPr>
          <w:p w:rsidR="00932D06" w:rsidRPr="002D433B" w:rsidRDefault="002D433B">
            <w:pPr>
              <w:pStyle w:val="Normal6"/>
            </w:pPr>
            <w:r w:rsidRPr="002D433B">
              <w:t>(10)</w:t>
            </w:r>
            <w:r w:rsidRPr="002D433B">
              <w:tab/>
              <w:t xml:space="preserve">Joidenkin likvidoitavien yhteisöjen osalta </w:t>
            </w:r>
            <w:r w:rsidRPr="002D433B">
              <w:rPr>
                <w:b/>
                <w:i/>
              </w:rPr>
              <w:t xml:space="preserve">MREL-vähimmäisvaatimus on suurempi kuin omien varojen vaatimusten määrä, ja tällaisessa tapauksessa kriisinratkaisuviranomaisten olisi voitava asettaa MREL-vähimmäisvaatimus. Tämän </w:t>
            </w:r>
            <w:r w:rsidRPr="002D433B">
              <w:t xml:space="preserve">MREL-vähimmäisvaatimuksen </w:t>
            </w:r>
            <w:r w:rsidRPr="002D433B">
              <w:rPr>
                <w:b/>
                <w:i/>
              </w:rPr>
              <w:t xml:space="preserve">määrän </w:t>
            </w:r>
            <w:r w:rsidRPr="002D433B">
              <w:t>olisi oltava suurempi kuin tappionkattamis</w:t>
            </w:r>
            <w:r w:rsidRPr="002D433B">
              <w:t>määrä, jos kriisinratkaisuviranomaiset katsovat, että tällainen määrä on tarpeen rahoitusvakauden suojelemiseksi tai rahoitusjärjestelmää koskevien häiriöiden leviämisen riskin vähentämiseksi. Näissä tilanteissa likvidoitavan yhteisön olisi noudatettava MR</w:t>
            </w:r>
            <w:r w:rsidRPr="002D433B">
              <w:t>EL-vähimmäisvaatimusta, eikä sitä pitäisi vapauttaa asetuksen (EU) N:o 575/2013 77 artiklan 2 kohdassa ja 78 a artiklassa säädetystä ennakkolupajärjestelmästä. Kaikki väliyhtiönä toimivat yhteisöt, jotka kuuluvat samaan kriisinratkaisun kohteena olevaan ko</w:t>
            </w:r>
            <w:r w:rsidRPr="002D433B">
              <w:t>nserniin kuin asianomainen likvidoitava yhteisö, olisi edelleen velvoitettava vähentämään sisäisen MREL-vähimmäisvaatimuksen kattamiseen tarvittavasta kapasiteetistaan hallussaan olevat kyseisen likvidoitavan yhteisön liikkeeseen laskemat sisäisen MREL-väh</w:t>
            </w:r>
            <w:r w:rsidRPr="002D433B">
              <w:t xml:space="preserve">immäisvaatimuksen kattamiseen hyväksyttävät varat. Koska likvidaatiomenettely toteutetaan oikeushenkilön tasolla, likvidoitavien yhteisöjen, joihin edelleen sovelletaan MREL-vähimmäisvaatimusta, olisi noudatettava vaatimusta ainoastaan yhteisökohtaisesti. </w:t>
            </w:r>
            <w:r w:rsidRPr="002D433B">
              <w:t xml:space="preserve">Lisäksi, koska </w:t>
            </w:r>
            <w:r w:rsidRPr="002D433B">
              <w:rPr>
                <w:b/>
                <w:i/>
              </w:rPr>
              <w:t>ei ole tarpeen varmistaa tappioiden ja pääoman siirtämistä likvidoitavalta yhteisöltä kriisinratkaisun kohteena olevalle yhteisölle</w:t>
            </w:r>
            <w:r w:rsidRPr="002D433B">
              <w:t>, tietyt asianomaisen velan omistajuuteen liittyvät hyväksyttävyysvaatimukset eivät ole merkityksellisiä, eikä</w:t>
            </w:r>
            <w:r w:rsidRPr="002D433B">
              <w:t xml:space="preserve"> niitä näin ollen tulisi soveltaa.</w:t>
            </w:r>
          </w:p>
        </w:tc>
        <w:tc>
          <w:tcPr>
            <w:tcW w:w="4876" w:type="dxa"/>
            <w:hideMark/>
          </w:tcPr>
          <w:p w:rsidR="00932D06" w:rsidRPr="002D433B" w:rsidRDefault="002D433B" w:rsidP="000A7B09">
            <w:pPr>
              <w:pStyle w:val="Normal6"/>
              <w:rPr>
                <w:szCs w:val="24"/>
              </w:rPr>
            </w:pPr>
            <w:r w:rsidRPr="002D433B">
              <w:t>(10)</w:t>
            </w:r>
            <w:r w:rsidRPr="002D433B">
              <w:tab/>
              <w:t>Joidenkin likvidoitavien yhteisöjen osalta MREL-vähimmäisvaatimuksen olisi oltava suurempi kuin tappionkattamismäärä</w:t>
            </w:r>
            <w:r w:rsidRPr="002D433B">
              <w:rPr>
                <w:b/>
                <w:i/>
              </w:rPr>
              <w:t>. Näin on</w:t>
            </w:r>
            <w:r w:rsidRPr="002D433B">
              <w:t xml:space="preserve">, jos kriisinratkaisuviranomaiset katsovat, että tällainen </w:t>
            </w:r>
            <w:r w:rsidRPr="002D433B">
              <w:rPr>
                <w:b/>
                <w:i/>
              </w:rPr>
              <w:t xml:space="preserve">suurempi </w:t>
            </w:r>
            <w:r w:rsidRPr="002D433B">
              <w:t>määrä on tarpeen rahoit</w:t>
            </w:r>
            <w:r w:rsidRPr="002D433B">
              <w:t>usvakauden suojelemiseksi tai rahoitusjärjestelmää koskevien häiriöiden leviämisen riskin vähentämiseksi. Näissä tilanteissa</w:t>
            </w:r>
            <w:r w:rsidRPr="002D433B">
              <w:rPr>
                <w:b/>
                <w:i/>
              </w:rPr>
              <w:t xml:space="preserve"> kriisinratkaisuviranomaisten olisi määritettävä likvidoitavalle yhteisölle MREL-vähimmäisvaatimus, joka koostuu määrästä, joka riit</w:t>
            </w:r>
            <w:r w:rsidRPr="002D433B">
              <w:rPr>
                <w:b/>
                <w:i/>
              </w:rPr>
              <w:t>tää kattamaan tappiot, korotettuna määrällä, joka on tarpeen kriisinratkaisuviranomaisten yksilöimien mahdollisten riskien asianmukaiseksi torjumiseksi.</w:t>
            </w:r>
            <w:r w:rsidRPr="002D433B">
              <w:t xml:space="preserve"> Likvidoitavan yhteisön olisi noudatettava MREL-vähimmäisvaatimusta, eikä sitä pitäisi vapauttaa asetuks</w:t>
            </w:r>
            <w:r w:rsidRPr="002D433B">
              <w:t>en (EU) N:o 575/2013 77 artiklan 2 kohdassa ja 78 a artiklassa säädetystä ennakkolupajärjestelmästä. Kaikki väliyhtiönä toimivat yhteisöt, jotka kuuluvat samaan kriisinratkaisun kohteena olevaan konserniin kuin asianomainen likvidoitava yhteisö, olisi edel</w:t>
            </w:r>
            <w:r w:rsidRPr="002D433B">
              <w:t>leen velvoitettava vähentämään sisäisen MREL-vähimmäisvaatimuksen kattamiseen tarvittavasta kapasiteetistaan hallussaan olevat kyseisen likvidoitavan yhteisön liikkeeseen laskemat sisäisen MREL-vähimmäisvaatimuksen kattamiseen hyväksyttävät varat. Koska li</w:t>
            </w:r>
            <w:r w:rsidRPr="002D433B">
              <w:t xml:space="preserve">kvidaatiomenettely toteutetaan oikeushenkilön tasolla, likvidoitavien yhteisöjen, joihin edelleen sovelletaan MREL-vähimmäisvaatimusta, olisi noudatettava vaatimusta ainoastaan yhteisökohtaisesti. Lisäksi, koska </w:t>
            </w:r>
            <w:r w:rsidRPr="002D433B">
              <w:rPr>
                <w:b/>
                <w:i/>
              </w:rPr>
              <w:t>ilman alaskirjaus- ja muuntamisvaltuuksien k</w:t>
            </w:r>
            <w:r w:rsidRPr="002D433B">
              <w:rPr>
                <w:b/>
                <w:i/>
              </w:rPr>
              <w:t>äyttöä kriisinratkaisun kohteena olevan yhteisön määräysvallan säilyminen tytäryrityksessä ei olisi tarpeen</w:t>
            </w:r>
            <w:r w:rsidRPr="002D433B">
              <w:t>, tietyt asianomaisen velan omistajuuteen liittyvät hyväksyttävyysvaatimukset eivät ole merkityksellisiä, eikä niitä näin ollen tulisi soveltaa.</w:t>
            </w:r>
          </w:p>
        </w:tc>
      </w:tr>
    </w:tbl>
    <w:p w:rsidR="00932D06" w:rsidRPr="002D433B" w:rsidRDefault="002D433B" w:rsidP="00932D06">
      <w:pPr>
        <w:pStyle w:val="Olang"/>
        <w:rPr>
          <w:sz w:val="24"/>
          <w:szCs w:val="24"/>
        </w:rPr>
      </w:pPr>
      <w:r w:rsidRPr="002D433B">
        <w:rPr>
          <w:sz w:val="24"/>
          <w:szCs w:val="24"/>
        </w:rPr>
        <w:t>Or.</w:t>
      </w:r>
      <w:r w:rsidRPr="002D433B">
        <w:rPr>
          <w:sz w:val="24"/>
          <w:szCs w:val="24"/>
        </w:rPr>
        <w:t xml:space="preserve"> </w:t>
      </w:r>
      <w:r w:rsidRPr="002D433B">
        <w:rPr>
          <w:rStyle w:val="HideTWBExt"/>
        </w:rPr>
        <w:t>&lt;Original&gt;</w:t>
      </w:r>
      <w:r w:rsidRPr="002D433B">
        <w:rPr>
          <w:rStyle w:val="HideTWBInt"/>
          <w:sz w:val="24"/>
          <w:szCs w:val="24"/>
        </w:rPr>
        <w:t>{EN}</w:t>
      </w:r>
      <w:r w:rsidRPr="002D433B">
        <w:rPr>
          <w:sz w:val="24"/>
          <w:szCs w:val="24"/>
        </w:rPr>
        <w:t>en</w:t>
      </w:r>
      <w:r w:rsidRPr="002D433B">
        <w:rPr>
          <w:rStyle w:val="HideTWBExt"/>
        </w:rPr>
        <w:t>&lt;/Original&gt;</w:t>
      </w:r>
    </w:p>
    <w:p w:rsidR="00932D06" w:rsidRPr="002D433B" w:rsidRDefault="002D433B" w:rsidP="00932D06">
      <w:pPr>
        <w:rPr>
          <w:szCs w:val="24"/>
        </w:rPr>
      </w:pPr>
      <w:r w:rsidRPr="002D433B">
        <w:rPr>
          <w:rStyle w:val="HideTWBExt"/>
        </w:rPr>
        <w:t>&lt;/Amend&gt;</w:t>
      </w:r>
    </w:p>
    <w:p w:rsidR="00932D06" w:rsidRPr="002D433B" w:rsidRDefault="002D433B" w:rsidP="00932D06">
      <w:pPr>
        <w:pStyle w:val="AMNumberTabs0"/>
        <w:keepNext/>
      </w:pPr>
      <w:r w:rsidRPr="002D433B">
        <w:rPr>
          <w:rStyle w:val="HideTWBExt"/>
          <w:b w:val="0"/>
        </w:rPr>
        <w:t>&lt;Amend&gt;</w:t>
      </w:r>
      <w:r w:rsidRPr="002D433B">
        <w:t>Tarkistus</w:t>
      </w:r>
      <w:r w:rsidRPr="002D433B">
        <w:tab/>
      </w:r>
      <w:r w:rsidRPr="002D433B">
        <w:tab/>
      </w:r>
      <w:r w:rsidRPr="002D433B">
        <w:rPr>
          <w:rStyle w:val="HideTWBExt"/>
          <w:b w:val="0"/>
        </w:rPr>
        <w:t>&lt;NumAm&gt;</w:t>
      </w:r>
      <w:r w:rsidRPr="002D433B">
        <w:t>9</w:t>
      </w:r>
      <w:r w:rsidRPr="002D433B">
        <w:rPr>
          <w:rStyle w:val="HideTWBExt"/>
          <w:b w:val="0"/>
        </w:rPr>
        <w:t>&lt;/NumAm&gt;</w:t>
      </w:r>
    </w:p>
    <w:p w:rsidR="00932D06" w:rsidRPr="002D433B" w:rsidRDefault="002D433B" w:rsidP="00932D06">
      <w:pPr>
        <w:pStyle w:val="NormalBold12b"/>
        <w:keepNext/>
      </w:pPr>
      <w:r w:rsidRPr="002D433B">
        <w:rPr>
          <w:rStyle w:val="HideTWBExt"/>
          <w:b w:val="0"/>
        </w:rPr>
        <w:t>&lt;DocAmend&gt;</w:t>
      </w:r>
      <w:r w:rsidRPr="002D433B">
        <w:t>Ehdotus direktiiviksi</w:t>
      </w:r>
      <w:r w:rsidRPr="002D433B">
        <w:rPr>
          <w:rStyle w:val="HideTWBExt"/>
          <w:b w:val="0"/>
        </w:rPr>
        <w:t>&lt;/DocAmend&gt;</w:t>
      </w:r>
    </w:p>
    <w:p w:rsidR="00932D06" w:rsidRPr="002D433B" w:rsidRDefault="002D433B" w:rsidP="00932D06">
      <w:pPr>
        <w:pStyle w:val="NormalBold"/>
      </w:pPr>
      <w:r w:rsidRPr="002D433B">
        <w:rPr>
          <w:rStyle w:val="HideTWBExt"/>
          <w:b w:val="0"/>
        </w:rPr>
        <w:t>&lt;Article&gt;</w:t>
      </w:r>
      <w:r w:rsidRPr="002D433B">
        <w:t>Johdanto-osan 14 kappale</w:t>
      </w:r>
      <w:r w:rsidRPr="002D433B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94E1F" w:rsidRPr="002D433B" w:rsidTr="00932D06">
        <w:trPr>
          <w:jc w:val="center"/>
        </w:trPr>
        <w:tc>
          <w:tcPr>
            <w:tcW w:w="9752" w:type="dxa"/>
            <w:gridSpan w:val="2"/>
          </w:tcPr>
          <w:p w:rsidR="00932D06" w:rsidRPr="002D433B" w:rsidRDefault="00932D06">
            <w:pPr>
              <w:keepNext/>
            </w:pPr>
          </w:p>
        </w:tc>
      </w:tr>
      <w:tr w:rsidR="00E94E1F" w:rsidRPr="002D433B" w:rsidTr="00932D06">
        <w:trPr>
          <w:jc w:val="center"/>
        </w:trPr>
        <w:tc>
          <w:tcPr>
            <w:tcW w:w="4876" w:type="dxa"/>
            <w:hideMark/>
          </w:tcPr>
          <w:p w:rsidR="00932D06" w:rsidRPr="002D433B" w:rsidRDefault="002D433B">
            <w:pPr>
              <w:pStyle w:val="ColumnHeading"/>
              <w:keepNext/>
            </w:pPr>
            <w:r w:rsidRPr="002D433B">
              <w:t>Komission teksti</w:t>
            </w:r>
          </w:p>
        </w:tc>
        <w:tc>
          <w:tcPr>
            <w:tcW w:w="4876" w:type="dxa"/>
            <w:hideMark/>
          </w:tcPr>
          <w:p w:rsidR="00932D06" w:rsidRPr="002D433B" w:rsidRDefault="002D433B">
            <w:pPr>
              <w:pStyle w:val="ColumnHeading"/>
              <w:keepNext/>
            </w:pPr>
            <w:r w:rsidRPr="002D433B">
              <w:t>Tarkistus</w:t>
            </w:r>
          </w:p>
        </w:tc>
      </w:tr>
      <w:tr w:rsidR="00E94E1F" w:rsidRPr="002D433B" w:rsidTr="00932D06">
        <w:trPr>
          <w:jc w:val="center"/>
        </w:trPr>
        <w:tc>
          <w:tcPr>
            <w:tcW w:w="4876" w:type="dxa"/>
            <w:hideMark/>
          </w:tcPr>
          <w:p w:rsidR="00932D06" w:rsidRPr="002D433B" w:rsidRDefault="002D433B">
            <w:pPr>
              <w:pStyle w:val="Normal6"/>
            </w:pPr>
            <w:r w:rsidRPr="002D433B">
              <w:t>(14)</w:t>
            </w:r>
            <w:r w:rsidRPr="002D433B">
              <w:tab/>
            </w:r>
            <w:r w:rsidRPr="002D433B">
              <w:t xml:space="preserve">Koska jäsenvaltiot eivät voi riittävällä tavalla saavuttaa tämän direktiivin tavoitteita, eli mukauttaa likvidoitavien yhteisöjen kohtelua MREL-kehyksessä ja </w:t>
            </w:r>
            <w:r w:rsidRPr="002D433B">
              <w:rPr>
                <w:b/>
                <w:i/>
              </w:rPr>
              <w:t>mahdollisuuksia noudattaa sisäistä MREL-vähimmäisvaatimusta</w:t>
            </w:r>
            <w:r w:rsidRPr="002D433B">
              <w:t xml:space="preserve"> konsolidoinnin perusteella, vaan ne vo</w:t>
            </w:r>
            <w:r w:rsidRPr="002D433B">
              <w:t>idaan saavuttaa paremmin unionin tasolla muuttamalla unionin tasolla jo vahvistettuja sääntöjä, unioni voi toteuttaa toimenpiteitä Euroopan unionista tehdyn sopimuksen 5 artiklassa vahvistetun toissijaisuusperiaatteen mukaisesti. Mainitussa artiklassa vahv</w:t>
            </w:r>
            <w:r w:rsidRPr="002D433B">
              <w:t>istetun suhteellisuusperiaatteen mukaisesti tässä direktiivissä ei ylitetä sitä, mikä on tarpeen kyseisten tavoitteiden saavuttamiseksi,</w:t>
            </w:r>
          </w:p>
        </w:tc>
        <w:tc>
          <w:tcPr>
            <w:tcW w:w="4876" w:type="dxa"/>
            <w:hideMark/>
          </w:tcPr>
          <w:p w:rsidR="00932D06" w:rsidRPr="002D433B" w:rsidRDefault="002D433B">
            <w:pPr>
              <w:pStyle w:val="Normal6"/>
              <w:rPr>
                <w:szCs w:val="24"/>
              </w:rPr>
            </w:pPr>
            <w:r w:rsidRPr="002D433B">
              <w:t>(14)</w:t>
            </w:r>
            <w:r w:rsidRPr="002D433B">
              <w:tab/>
              <w:t>Koska jäsenvaltiot eivät voi riittävällä tavalla saavuttaa tämän direktiivin tavoitteita, eli mukauttaa likvidoita</w:t>
            </w:r>
            <w:r w:rsidRPr="002D433B">
              <w:t xml:space="preserve">vien yhteisöjen kohtelua MREL-kehyksessä ja </w:t>
            </w:r>
            <w:r w:rsidRPr="002D433B">
              <w:rPr>
                <w:b/>
                <w:i/>
              </w:rPr>
              <w:t>kriisinratkaisuviranomaisten mahdollisuutta määrittää sisäinen MREL-vähimmäisvaatimus</w:t>
            </w:r>
            <w:r w:rsidRPr="002D433B">
              <w:t xml:space="preserve"> konsolidoinnin perusteella, vaan ne voidaan saavuttaa paremmin unionin tasolla muuttamalla unionin tasolla jo vahvistettuja sä</w:t>
            </w:r>
            <w:r w:rsidRPr="002D433B">
              <w:t>äntöjä, unioni voi toteuttaa toimenpiteitä Euroopan unionista tehdyn sopimuksen 5 artiklassa vahvistetun toissijaisuusperiaatteen mukaisesti. Mainitussa artiklassa vahvistetun suhteellisuusperiaatteen mukaisesti tässä direktiivissä ei ylitetä sitä, mikä on</w:t>
            </w:r>
            <w:r w:rsidRPr="002D433B">
              <w:t xml:space="preserve"> tarpeen kyseisten tavoitteiden saavuttamiseksi,</w:t>
            </w:r>
          </w:p>
        </w:tc>
      </w:tr>
    </w:tbl>
    <w:p w:rsidR="00932D06" w:rsidRPr="002D433B" w:rsidRDefault="002D433B" w:rsidP="00932D06">
      <w:pPr>
        <w:pStyle w:val="Olang"/>
        <w:rPr>
          <w:sz w:val="24"/>
          <w:szCs w:val="24"/>
        </w:rPr>
      </w:pPr>
      <w:r w:rsidRPr="002D433B">
        <w:rPr>
          <w:sz w:val="24"/>
          <w:szCs w:val="24"/>
        </w:rPr>
        <w:t xml:space="preserve">Or. </w:t>
      </w:r>
      <w:r w:rsidRPr="002D433B">
        <w:rPr>
          <w:rStyle w:val="HideTWBExt"/>
        </w:rPr>
        <w:t>&lt;Original&gt;</w:t>
      </w:r>
      <w:r w:rsidRPr="002D433B">
        <w:rPr>
          <w:rStyle w:val="HideTWBInt"/>
          <w:sz w:val="24"/>
          <w:szCs w:val="24"/>
        </w:rPr>
        <w:t>{EN}</w:t>
      </w:r>
      <w:r w:rsidRPr="002D433B">
        <w:rPr>
          <w:sz w:val="24"/>
          <w:szCs w:val="24"/>
        </w:rPr>
        <w:t>en</w:t>
      </w:r>
      <w:r w:rsidRPr="002D433B">
        <w:rPr>
          <w:rStyle w:val="HideTWBExt"/>
        </w:rPr>
        <w:t>&lt;/Original&gt;</w:t>
      </w:r>
    </w:p>
    <w:p w:rsidR="00932D06" w:rsidRPr="002D433B" w:rsidRDefault="002D433B" w:rsidP="00932D06">
      <w:pPr>
        <w:rPr>
          <w:szCs w:val="24"/>
        </w:rPr>
      </w:pPr>
      <w:r w:rsidRPr="002D433B">
        <w:rPr>
          <w:rStyle w:val="HideTWBExt"/>
        </w:rPr>
        <w:t>&lt;/Amend&gt;</w:t>
      </w:r>
    </w:p>
    <w:p w:rsidR="00932D06" w:rsidRPr="002D433B" w:rsidRDefault="002D433B" w:rsidP="00932D06">
      <w:pPr>
        <w:pStyle w:val="AMNumberTabs0"/>
        <w:keepNext/>
      </w:pPr>
      <w:r w:rsidRPr="002D433B">
        <w:rPr>
          <w:rStyle w:val="HideTWBExt"/>
          <w:b w:val="0"/>
        </w:rPr>
        <w:t>&lt;Amend&gt;</w:t>
      </w:r>
      <w:r w:rsidRPr="002D433B">
        <w:t>Tarkistus</w:t>
      </w:r>
      <w:r w:rsidRPr="002D433B">
        <w:tab/>
      </w:r>
      <w:r w:rsidRPr="002D433B">
        <w:tab/>
      </w:r>
      <w:r w:rsidRPr="002D433B">
        <w:rPr>
          <w:rStyle w:val="HideTWBExt"/>
          <w:b w:val="0"/>
        </w:rPr>
        <w:t>&lt;NumAm&gt;</w:t>
      </w:r>
      <w:r w:rsidRPr="002D433B">
        <w:t>10</w:t>
      </w:r>
      <w:r w:rsidRPr="002D433B">
        <w:rPr>
          <w:rStyle w:val="HideTWBExt"/>
          <w:b w:val="0"/>
        </w:rPr>
        <w:t>&lt;/NumAm&gt;</w:t>
      </w:r>
    </w:p>
    <w:p w:rsidR="00932D06" w:rsidRPr="002D433B" w:rsidRDefault="002D433B" w:rsidP="00932D06">
      <w:pPr>
        <w:pStyle w:val="NormalBold12b"/>
        <w:keepNext/>
      </w:pPr>
      <w:r w:rsidRPr="002D433B">
        <w:rPr>
          <w:rStyle w:val="HideTWBExt"/>
          <w:b w:val="0"/>
        </w:rPr>
        <w:t>&lt;DocAmend&gt;</w:t>
      </w:r>
      <w:r w:rsidRPr="002D433B">
        <w:t>Ehdotus direktiiviksi</w:t>
      </w:r>
      <w:r w:rsidRPr="002D433B">
        <w:rPr>
          <w:rStyle w:val="HideTWBExt"/>
          <w:b w:val="0"/>
        </w:rPr>
        <w:t>&lt;/DocAmend&gt;</w:t>
      </w:r>
    </w:p>
    <w:p w:rsidR="00932D06" w:rsidRPr="002D433B" w:rsidRDefault="002D433B" w:rsidP="00932D06">
      <w:pPr>
        <w:pStyle w:val="NormalBold"/>
      </w:pPr>
      <w:r w:rsidRPr="002D433B">
        <w:rPr>
          <w:rStyle w:val="HideTWBExt"/>
          <w:b w:val="0"/>
        </w:rPr>
        <w:t>&lt;Article&gt;</w:t>
      </w:r>
      <w:r w:rsidRPr="002D433B">
        <w:t>1 artikla – 1 kohta – 1 alakohta</w:t>
      </w:r>
      <w:r w:rsidRPr="002D433B">
        <w:rPr>
          <w:rStyle w:val="HideTWBExt"/>
          <w:b w:val="0"/>
        </w:rPr>
        <w:t>&lt;/Article&gt;</w:t>
      </w:r>
    </w:p>
    <w:p w:rsidR="00932D06" w:rsidRPr="002D433B" w:rsidRDefault="002D433B" w:rsidP="00932D06">
      <w:pPr>
        <w:keepNext/>
      </w:pPr>
      <w:r w:rsidRPr="002D433B">
        <w:rPr>
          <w:rStyle w:val="HideTWBExt"/>
        </w:rPr>
        <w:t>&lt;DocAmend2&gt;</w:t>
      </w:r>
      <w:r w:rsidRPr="002D433B">
        <w:t>Direktiivi 2014/59/EU</w:t>
      </w:r>
      <w:r w:rsidRPr="002D433B">
        <w:rPr>
          <w:rStyle w:val="HideTWBExt"/>
        </w:rPr>
        <w:t>&lt;/DocAmend2&gt;</w:t>
      </w:r>
    </w:p>
    <w:p w:rsidR="00932D06" w:rsidRPr="002D433B" w:rsidRDefault="002D433B" w:rsidP="00932D06">
      <w:r w:rsidRPr="002D433B">
        <w:rPr>
          <w:rStyle w:val="HideTWBExt"/>
          <w:lang w:val="fr-BE"/>
        </w:rPr>
        <w:t>&lt;Article2&gt;</w:t>
      </w:r>
      <w:r w:rsidRPr="002D433B">
        <w:t>2 artikla – 1 kohta – 83 aa alakohta</w:t>
      </w:r>
      <w:r w:rsidRPr="002D433B">
        <w:rPr>
          <w:rStyle w:val="HideTWBExt"/>
          <w:lang w:val="fr-BE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94E1F" w:rsidRPr="002D433B" w:rsidTr="00932D06">
        <w:trPr>
          <w:jc w:val="center"/>
        </w:trPr>
        <w:tc>
          <w:tcPr>
            <w:tcW w:w="9752" w:type="dxa"/>
            <w:gridSpan w:val="2"/>
          </w:tcPr>
          <w:p w:rsidR="00932D06" w:rsidRPr="002D433B" w:rsidRDefault="00932D06">
            <w:pPr>
              <w:keepNext/>
              <w:rPr>
                <w:lang w:val="fr-BE"/>
              </w:rPr>
            </w:pPr>
          </w:p>
        </w:tc>
      </w:tr>
      <w:tr w:rsidR="00E94E1F" w:rsidRPr="002D433B" w:rsidTr="00932D06">
        <w:trPr>
          <w:jc w:val="center"/>
        </w:trPr>
        <w:tc>
          <w:tcPr>
            <w:tcW w:w="4876" w:type="dxa"/>
            <w:hideMark/>
          </w:tcPr>
          <w:p w:rsidR="00932D06" w:rsidRPr="002D433B" w:rsidRDefault="002D433B">
            <w:pPr>
              <w:pStyle w:val="ColumnHeading"/>
              <w:keepNext/>
            </w:pPr>
            <w:r w:rsidRPr="002D433B">
              <w:t>Komission teksti</w:t>
            </w:r>
          </w:p>
        </w:tc>
        <w:tc>
          <w:tcPr>
            <w:tcW w:w="4876" w:type="dxa"/>
            <w:hideMark/>
          </w:tcPr>
          <w:p w:rsidR="00932D06" w:rsidRPr="002D433B" w:rsidRDefault="002D433B">
            <w:pPr>
              <w:pStyle w:val="ColumnHeading"/>
              <w:keepNext/>
            </w:pPr>
            <w:r w:rsidRPr="002D433B">
              <w:t>Tarkistus</w:t>
            </w:r>
          </w:p>
        </w:tc>
      </w:tr>
      <w:tr w:rsidR="00E94E1F" w:rsidRPr="002D433B" w:rsidTr="00932D06">
        <w:trPr>
          <w:jc w:val="center"/>
        </w:trPr>
        <w:tc>
          <w:tcPr>
            <w:tcW w:w="4876" w:type="dxa"/>
            <w:hideMark/>
          </w:tcPr>
          <w:p w:rsidR="00932D06" w:rsidRPr="002D433B" w:rsidRDefault="002D433B">
            <w:pPr>
              <w:pStyle w:val="Normal6"/>
            </w:pPr>
            <w:r w:rsidRPr="002D433B">
              <w:t>83</w:t>
            </w:r>
            <w:r w:rsidRPr="002D433B">
              <w:rPr>
                <w:b/>
                <w:i/>
              </w:rPr>
              <w:t xml:space="preserve"> </w:t>
            </w:r>
            <w:r w:rsidRPr="002D433B">
              <w:t>aa)</w:t>
            </w:r>
            <w:r w:rsidRPr="002D433B">
              <w:tab/>
            </w:r>
            <w:r w:rsidRPr="002D433B">
              <w:t xml:space="preserve">”’likvidoitavalla yhteisöllä’ unioniin sijoittautunutta oikeushenkilöä, jonka osalta konsernin kriisinratkaisusuunnitelmassa tai konserniin kuulumattomien yhteisöjen tapauksessa kriisinratkaisusuunnitelmassa edellytetään, että yhteisö likvidoidaan </w:t>
            </w:r>
            <w:r w:rsidRPr="002D433B">
              <w:rPr>
                <w:b/>
                <w:i/>
              </w:rPr>
              <w:t>asianmuk</w:t>
            </w:r>
            <w:r w:rsidRPr="002D433B">
              <w:rPr>
                <w:b/>
                <w:i/>
              </w:rPr>
              <w:t>aisesti sovellettavan kansallisen lainsäädännön mukaisesti</w:t>
            </w:r>
            <w:r w:rsidRPr="002D433B">
              <w:t>;”</w:t>
            </w:r>
          </w:p>
        </w:tc>
        <w:tc>
          <w:tcPr>
            <w:tcW w:w="4876" w:type="dxa"/>
            <w:hideMark/>
          </w:tcPr>
          <w:p w:rsidR="00932D06" w:rsidRPr="002D433B" w:rsidRDefault="002D433B" w:rsidP="000A7B09">
            <w:pPr>
              <w:pStyle w:val="Normal6"/>
              <w:rPr>
                <w:szCs w:val="24"/>
              </w:rPr>
            </w:pPr>
            <w:r w:rsidRPr="002D433B">
              <w:t>83</w:t>
            </w:r>
            <w:r w:rsidRPr="002D433B">
              <w:rPr>
                <w:b/>
                <w:i/>
              </w:rPr>
              <w:t> </w:t>
            </w:r>
            <w:r w:rsidRPr="002D433B">
              <w:t>aa)</w:t>
            </w:r>
            <w:r w:rsidRPr="002D433B">
              <w:tab/>
              <w:t>”’likvidoitavalla yhteisöllä’ unioniin sijoittautunutta oikeushenkilöä, jonka osalta konsernin kriisinratkaisusuunnitelmassa tai konserniin kuulumattomien yhteisöjen tapauksessa kriisinrat</w:t>
            </w:r>
            <w:r w:rsidRPr="002D433B">
              <w:t xml:space="preserve">kaisusuunnitelmassa edellytetään, että yhteisö likvidoidaan </w:t>
            </w:r>
            <w:r w:rsidRPr="002D433B">
              <w:rPr>
                <w:b/>
                <w:i/>
              </w:rPr>
              <w:t>tavanomaisissa maksukyvyttömyysmenettelyissä, tai alaskirjaus- ja muuntamisvaltuuksien käyttöä ei ole suunniteltu kyseisen yhteisön osalta</w:t>
            </w:r>
            <w:r w:rsidRPr="002D433B">
              <w:t>;”</w:t>
            </w:r>
          </w:p>
        </w:tc>
      </w:tr>
    </w:tbl>
    <w:p w:rsidR="00932D06" w:rsidRPr="002D433B" w:rsidRDefault="002D433B" w:rsidP="00932D06">
      <w:pPr>
        <w:pStyle w:val="Olang"/>
        <w:rPr>
          <w:sz w:val="24"/>
          <w:szCs w:val="24"/>
        </w:rPr>
      </w:pPr>
      <w:r w:rsidRPr="002D433B">
        <w:rPr>
          <w:sz w:val="24"/>
          <w:szCs w:val="24"/>
        </w:rPr>
        <w:t xml:space="preserve">Or. </w:t>
      </w:r>
      <w:r w:rsidRPr="002D433B">
        <w:rPr>
          <w:rStyle w:val="HideTWBExt"/>
        </w:rPr>
        <w:t>&lt;Original&gt;</w:t>
      </w:r>
      <w:r w:rsidRPr="002D433B">
        <w:rPr>
          <w:rStyle w:val="HideTWBInt"/>
          <w:sz w:val="24"/>
          <w:szCs w:val="24"/>
        </w:rPr>
        <w:t>{EN}</w:t>
      </w:r>
      <w:r w:rsidRPr="002D433B">
        <w:rPr>
          <w:sz w:val="24"/>
          <w:szCs w:val="24"/>
        </w:rPr>
        <w:t>en</w:t>
      </w:r>
      <w:r w:rsidRPr="002D433B">
        <w:rPr>
          <w:rStyle w:val="HideTWBExt"/>
        </w:rPr>
        <w:t>&lt;/Original&gt;</w:t>
      </w:r>
    </w:p>
    <w:p w:rsidR="00932D06" w:rsidRPr="002D433B" w:rsidRDefault="002D433B" w:rsidP="00932D06">
      <w:pPr>
        <w:rPr>
          <w:szCs w:val="24"/>
        </w:rPr>
      </w:pPr>
      <w:r w:rsidRPr="002D433B">
        <w:rPr>
          <w:rStyle w:val="HideTWBExt"/>
        </w:rPr>
        <w:t>&lt;/Amend&gt;</w:t>
      </w:r>
    </w:p>
    <w:p w:rsidR="00932D06" w:rsidRPr="002D433B" w:rsidRDefault="002D433B" w:rsidP="00932D06">
      <w:pPr>
        <w:pStyle w:val="AMNumberTabs0"/>
        <w:keepNext/>
      </w:pPr>
      <w:r w:rsidRPr="002D433B">
        <w:rPr>
          <w:rStyle w:val="HideTWBExt"/>
          <w:b w:val="0"/>
        </w:rPr>
        <w:t>&lt;Amend&gt;</w:t>
      </w:r>
      <w:r w:rsidRPr="002D433B">
        <w:t>Tarkistus</w:t>
      </w:r>
      <w:r w:rsidRPr="002D433B">
        <w:tab/>
      </w:r>
      <w:r w:rsidRPr="002D433B">
        <w:tab/>
      </w:r>
      <w:r w:rsidRPr="002D433B">
        <w:rPr>
          <w:rStyle w:val="HideTWBExt"/>
          <w:b w:val="0"/>
        </w:rPr>
        <w:t>&lt;NumAm&gt;</w:t>
      </w:r>
      <w:r w:rsidRPr="002D433B">
        <w:t>11</w:t>
      </w:r>
      <w:r w:rsidRPr="002D433B">
        <w:rPr>
          <w:rStyle w:val="HideTWBExt"/>
          <w:b w:val="0"/>
        </w:rPr>
        <w:t>&lt;/NumAm&gt;</w:t>
      </w:r>
    </w:p>
    <w:p w:rsidR="00932D06" w:rsidRPr="002D433B" w:rsidRDefault="002D433B" w:rsidP="00932D06">
      <w:pPr>
        <w:pStyle w:val="NormalBold12b"/>
        <w:keepNext/>
      </w:pPr>
      <w:r w:rsidRPr="002D433B">
        <w:rPr>
          <w:rStyle w:val="HideTWBExt"/>
          <w:b w:val="0"/>
        </w:rPr>
        <w:t>&lt;DocAmend&gt;</w:t>
      </w:r>
      <w:r w:rsidRPr="002D433B">
        <w:t>Ehdotus direktiiviksi</w:t>
      </w:r>
      <w:r w:rsidRPr="002D433B">
        <w:rPr>
          <w:rStyle w:val="HideTWBExt"/>
          <w:b w:val="0"/>
        </w:rPr>
        <w:t>&lt;/DocAmend&gt;</w:t>
      </w:r>
    </w:p>
    <w:p w:rsidR="00932D06" w:rsidRPr="002D433B" w:rsidRDefault="002D433B" w:rsidP="00932D06">
      <w:pPr>
        <w:pStyle w:val="NormalBold"/>
      </w:pPr>
      <w:r w:rsidRPr="002D433B">
        <w:rPr>
          <w:rStyle w:val="HideTWBExt"/>
          <w:b w:val="0"/>
        </w:rPr>
        <w:t>&lt;Article&gt;</w:t>
      </w:r>
      <w:r w:rsidRPr="002D433B">
        <w:t>1 artikla – 1 kohta – 2 alakohta – b alakohta</w:t>
      </w:r>
      <w:r w:rsidRPr="002D433B">
        <w:rPr>
          <w:rStyle w:val="HideTWBExt"/>
          <w:b w:val="0"/>
        </w:rPr>
        <w:t>&lt;/Article&gt;</w:t>
      </w:r>
    </w:p>
    <w:p w:rsidR="00932D06" w:rsidRPr="002D433B" w:rsidRDefault="002D433B" w:rsidP="00932D06">
      <w:pPr>
        <w:keepNext/>
      </w:pPr>
      <w:r w:rsidRPr="002D433B">
        <w:rPr>
          <w:rStyle w:val="HideTWBExt"/>
        </w:rPr>
        <w:t>&lt;DocAmend2&gt;</w:t>
      </w:r>
      <w:r w:rsidRPr="002D433B">
        <w:t>Direktiivi 2014/59/EU</w:t>
      </w:r>
      <w:r w:rsidRPr="002D433B">
        <w:rPr>
          <w:rStyle w:val="HideTWBExt"/>
        </w:rPr>
        <w:t>&lt;/DocAmend2&gt;</w:t>
      </w:r>
    </w:p>
    <w:p w:rsidR="00932D06" w:rsidRPr="002D433B" w:rsidRDefault="002D433B" w:rsidP="00932D06">
      <w:r w:rsidRPr="002D433B">
        <w:rPr>
          <w:rStyle w:val="HideTWBExt"/>
        </w:rPr>
        <w:t>&lt;Article2&gt;</w:t>
      </w:r>
      <w:r w:rsidRPr="002D433B">
        <w:t>45 c artikla – 2 a kohta – 2 alakohta</w:t>
      </w:r>
      <w:r w:rsidRPr="002D433B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94E1F" w:rsidRPr="002D433B" w:rsidTr="00932D06">
        <w:trPr>
          <w:jc w:val="center"/>
        </w:trPr>
        <w:tc>
          <w:tcPr>
            <w:tcW w:w="9752" w:type="dxa"/>
            <w:gridSpan w:val="2"/>
          </w:tcPr>
          <w:p w:rsidR="00932D06" w:rsidRPr="002D433B" w:rsidRDefault="00932D06">
            <w:pPr>
              <w:keepNext/>
            </w:pPr>
          </w:p>
        </w:tc>
      </w:tr>
      <w:tr w:rsidR="00E94E1F" w:rsidRPr="002D433B" w:rsidTr="00932D06">
        <w:trPr>
          <w:jc w:val="center"/>
        </w:trPr>
        <w:tc>
          <w:tcPr>
            <w:tcW w:w="4876" w:type="dxa"/>
            <w:hideMark/>
          </w:tcPr>
          <w:p w:rsidR="00932D06" w:rsidRPr="002D433B" w:rsidRDefault="002D433B">
            <w:pPr>
              <w:pStyle w:val="ColumnHeading"/>
              <w:keepNext/>
            </w:pPr>
            <w:r w:rsidRPr="002D433B">
              <w:t>Komission teksti</w:t>
            </w:r>
          </w:p>
        </w:tc>
        <w:tc>
          <w:tcPr>
            <w:tcW w:w="4876" w:type="dxa"/>
            <w:hideMark/>
          </w:tcPr>
          <w:p w:rsidR="00932D06" w:rsidRPr="002D433B" w:rsidRDefault="002D433B">
            <w:pPr>
              <w:pStyle w:val="ColumnHeading"/>
              <w:keepNext/>
            </w:pPr>
            <w:r w:rsidRPr="002D433B">
              <w:t>Tarkistus</w:t>
            </w:r>
          </w:p>
        </w:tc>
      </w:tr>
      <w:tr w:rsidR="00E94E1F" w:rsidRPr="002D433B" w:rsidTr="00932D06">
        <w:trPr>
          <w:jc w:val="center"/>
        </w:trPr>
        <w:tc>
          <w:tcPr>
            <w:tcW w:w="4876" w:type="dxa"/>
            <w:hideMark/>
          </w:tcPr>
          <w:p w:rsidR="00932D06" w:rsidRPr="002D433B" w:rsidRDefault="002D433B">
            <w:pPr>
              <w:pStyle w:val="Normal6"/>
            </w:pPr>
            <w:r w:rsidRPr="002D433B">
              <w:t xml:space="preserve">Poiketen siitä, mitä ensimmäisessä alakohdassa säädetään, </w:t>
            </w:r>
            <w:r w:rsidRPr="002D433B">
              <w:rPr>
                <w:b/>
                <w:i/>
              </w:rPr>
              <w:t>ja jos se</w:t>
            </w:r>
            <w:r w:rsidRPr="002D433B">
              <w:t xml:space="preserve"> on </w:t>
            </w:r>
            <w:r w:rsidRPr="002D433B">
              <w:rPr>
                <w:b/>
                <w:i/>
              </w:rPr>
              <w:t>tarpeen rahoitusvakauden suojelemista tai rahoitusjärjestelmää koskevien häiriöiden mahdollisen leviämisen rajoittamista koskevien tavoitteiden saavuttamisek</w:t>
            </w:r>
            <w:r w:rsidRPr="002D433B">
              <w:rPr>
                <w:b/>
                <w:i/>
              </w:rPr>
              <w:t>si</w:t>
            </w:r>
            <w:r w:rsidRPr="002D433B">
              <w:t xml:space="preserve">, </w:t>
            </w:r>
            <w:r w:rsidRPr="002D433B">
              <w:rPr>
                <w:b/>
                <w:i/>
              </w:rPr>
              <w:t>kriisinratkaisuviranomaiset voivat poikkeuksellisesti</w:t>
            </w:r>
            <w:r w:rsidRPr="002D433B">
              <w:t xml:space="preserve"> määrittää 45 artiklan 1 kohdassa </w:t>
            </w:r>
            <w:r w:rsidRPr="002D433B">
              <w:rPr>
                <w:b/>
                <w:i/>
              </w:rPr>
              <w:t>tarkoitetun vaatimuksen</w:t>
            </w:r>
            <w:r w:rsidRPr="002D433B">
              <w:t xml:space="preserve"> likvidoitaville yhteisöille yhteisökohtaisesti siten, että sen määrä tämän artiklan 2 kohdan a alakohdan mukaisesti riittää kattamaan tappiot</w:t>
            </w:r>
            <w:r w:rsidRPr="002D433B">
              <w:rPr>
                <w:b/>
                <w:i/>
              </w:rPr>
              <w:t xml:space="preserve"> ja että se korotetaan määrään</w:t>
            </w:r>
            <w:r w:rsidRPr="002D433B">
              <w:t xml:space="preserve">, </w:t>
            </w:r>
            <w:r w:rsidRPr="002D433B">
              <w:rPr>
                <w:b/>
                <w:i/>
              </w:rPr>
              <w:t>joka</w:t>
            </w:r>
            <w:r w:rsidRPr="002D433B">
              <w:t xml:space="preserve"> on </w:t>
            </w:r>
            <w:r w:rsidRPr="002D433B">
              <w:rPr>
                <w:b/>
                <w:i/>
              </w:rPr>
              <w:t>tarpeen näiden tavoitteiden saavuttamiseksi</w:t>
            </w:r>
            <w:r w:rsidRPr="002D433B">
              <w:t>. Likvidoitavien yhteisöjen on tällaisissa tapauksissa täytettävä 45 artiklan 1 kohdassa tarkoitettu vaatimus käyttämällä yhtä tai useampaa seuraavista:</w:t>
            </w:r>
          </w:p>
        </w:tc>
        <w:tc>
          <w:tcPr>
            <w:tcW w:w="4876" w:type="dxa"/>
            <w:hideMark/>
          </w:tcPr>
          <w:p w:rsidR="00932D06" w:rsidRPr="002D433B" w:rsidRDefault="002D433B">
            <w:pPr>
              <w:pStyle w:val="Normal6"/>
              <w:rPr>
                <w:szCs w:val="24"/>
              </w:rPr>
            </w:pPr>
            <w:r w:rsidRPr="002D433B">
              <w:t xml:space="preserve">Poiketen siitä, mitä ensimmäisessä alakohdassa säädetään, </w:t>
            </w:r>
            <w:r w:rsidRPr="002D433B">
              <w:rPr>
                <w:b/>
                <w:i/>
              </w:rPr>
              <w:t>kriisinratkaisuviranomaisen</w:t>
            </w:r>
            <w:r w:rsidRPr="002D433B">
              <w:t xml:space="preserve"> on </w:t>
            </w:r>
            <w:r w:rsidRPr="002D433B">
              <w:rPr>
                <w:b/>
                <w:i/>
              </w:rPr>
              <w:t>arvioitava</w:t>
            </w:r>
            <w:r w:rsidRPr="002D433B">
              <w:t xml:space="preserve">, </w:t>
            </w:r>
            <w:r w:rsidRPr="002D433B">
              <w:rPr>
                <w:b/>
                <w:i/>
              </w:rPr>
              <w:t>onko perusteltua</w:t>
            </w:r>
            <w:r w:rsidRPr="002D433B">
              <w:t xml:space="preserve"> määrittää 45 artiklan 1 kohdassa </w:t>
            </w:r>
            <w:r w:rsidRPr="002D433B">
              <w:rPr>
                <w:b/>
                <w:i/>
              </w:rPr>
              <w:t>tarkoitettu vaatimus</w:t>
            </w:r>
            <w:r w:rsidRPr="002D433B">
              <w:t xml:space="preserve"> likvidoitaville yhteisöille yhteisökohtaisesti siten, että sen määrä </w:t>
            </w:r>
            <w:r w:rsidRPr="002D433B">
              <w:rPr>
                <w:b/>
                <w:i/>
              </w:rPr>
              <w:t>ylittää määrän,</w:t>
            </w:r>
            <w:r w:rsidRPr="002D433B">
              <w:rPr>
                <w:b/>
                <w:i/>
              </w:rPr>
              <w:t xml:space="preserve"> joka </w:t>
            </w:r>
            <w:r w:rsidRPr="002D433B">
              <w:t>tämän artiklan 2 kohdan a alakohdan mukaisesti riittää kattamaan tappiot</w:t>
            </w:r>
            <w:r w:rsidRPr="002D433B">
              <w:rPr>
                <w:b/>
                <w:i/>
              </w:rPr>
              <w:t xml:space="preserve">. Kriisinratkaisuviranomaisen arvioinnissa on otettava huomioon asianomaisen likvidoitavan yhteisön konkurssin </w:t>
            </w:r>
            <w:r w:rsidRPr="002D433B">
              <w:rPr>
                <w:b/>
                <w:i/>
              </w:rPr>
              <w:t>mahdolliset seuraukset</w:t>
            </w:r>
            <w:r w:rsidRPr="002D433B">
              <w:rPr>
                <w:b/>
                <w:i/>
              </w:rPr>
              <w:t>, ja siinä</w:t>
            </w:r>
            <w:r w:rsidRPr="002D433B">
              <w:t xml:space="preserve"> on </w:t>
            </w:r>
            <w:r w:rsidRPr="002D433B">
              <w:rPr>
                <w:b/>
                <w:i/>
              </w:rPr>
              <w:t>erityisesti otettava huomioon m</w:t>
            </w:r>
            <w:r w:rsidRPr="002D433B">
              <w:rPr>
                <w:b/>
                <w:i/>
              </w:rPr>
              <w:t>ahdolliset vaikutukset rahoitusvakauteen ja rahoitusjärjestelmää koskevien häiriöiden leviämisen riskiin</w:t>
            </w:r>
            <w:r w:rsidRPr="002D433B">
              <w:t>. Likvidoitavien yhteisöjen on tällaisissa tapauksissa täytettävä 45 artiklan 1 kohdassa tarkoitettu vaatimus käyttämällä yhtä tai useampaa seuraavista:</w:t>
            </w:r>
          </w:p>
        </w:tc>
      </w:tr>
    </w:tbl>
    <w:p w:rsidR="00932D06" w:rsidRPr="002D433B" w:rsidRDefault="002D433B" w:rsidP="00932D06">
      <w:pPr>
        <w:pStyle w:val="Olang"/>
        <w:rPr>
          <w:sz w:val="24"/>
          <w:szCs w:val="24"/>
        </w:rPr>
      </w:pPr>
      <w:r w:rsidRPr="002D433B">
        <w:rPr>
          <w:sz w:val="24"/>
          <w:szCs w:val="24"/>
        </w:rPr>
        <w:t xml:space="preserve">Or. </w:t>
      </w:r>
      <w:r w:rsidRPr="002D433B">
        <w:rPr>
          <w:rStyle w:val="HideTWBExt"/>
        </w:rPr>
        <w:t>&lt;Original&gt;</w:t>
      </w:r>
      <w:r w:rsidRPr="002D433B">
        <w:rPr>
          <w:rStyle w:val="HideTWBInt"/>
          <w:sz w:val="24"/>
          <w:szCs w:val="24"/>
        </w:rPr>
        <w:t>{EN}</w:t>
      </w:r>
      <w:r w:rsidRPr="002D433B">
        <w:rPr>
          <w:sz w:val="24"/>
          <w:szCs w:val="24"/>
        </w:rPr>
        <w:t>en</w:t>
      </w:r>
      <w:r w:rsidRPr="002D433B">
        <w:rPr>
          <w:rStyle w:val="HideTWBExt"/>
        </w:rPr>
        <w:t>&lt;/Original&gt;</w:t>
      </w:r>
    </w:p>
    <w:p w:rsidR="00932D06" w:rsidRPr="002D433B" w:rsidRDefault="002D433B" w:rsidP="00932D06">
      <w:pPr>
        <w:rPr>
          <w:szCs w:val="24"/>
        </w:rPr>
      </w:pPr>
      <w:r w:rsidRPr="002D433B">
        <w:rPr>
          <w:rStyle w:val="HideTWBExt"/>
        </w:rPr>
        <w:t>&lt;/Amend&gt;</w:t>
      </w:r>
    </w:p>
    <w:p w:rsidR="00932D06" w:rsidRPr="002D433B" w:rsidRDefault="002D433B" w:rsidP="00932D06">
      <w:pPr>
        <w:pStyle w:val="AMNumberTabs0"/>
        <w:keepNext/>
      </w:pPr>
      <w:r w:rsidRPr="002D433B">
        <w:rPr>
          <w:rStyle w:val="HideTWBExt"/>
          <w:b w:val="0"/>
        </w:rPr>
        <w:t>&lt;Amend&gt;</w:t>
      </w:r>
      <w:r w:rsidRPr="002D433B">
        <w:t>Tarkistus</w:t>
      </w:r>
      <w:r w:rsidRPr="002D433B">
        <w:tab/>
      </w:r>
      <w:r w:rsidRPr="002D433B">
        <w:tab/>
      </w:r>
      <w:r w:rsidRPr="002D433B">
        <w:rPr>
          <w:rStyle w:val="HideTWBExt"/>
          <w:b w:val="0"/>
        </w:rPr>
        <w:t>&lt;NumAm&gt;</w:t>
      </w:r>
      <w:r w:rsidRPr="002D433B">
        <w:t>12</w:t>
      </w:r>
      <w:r w:rsidRPr="002D433B">
        <w:rPr>
          <w:rStyle w:val="HideTWBExt"/>
          <w:b w:val="0"/>
        </w:rPr>
        <w:t>&lt;/NumAm&gt;</w:t>
      </w:r>
    </w:p>
    <w:p w:rsidR="00932D06" w:rsidRPr="002D433B" w:rsidRDefault="002D433B" w:rsidP="00932D06">
      <w:pPr>
        <w:pStyle w:val="NormalBold12b"/>
        <w:keepNext/>
      </w:pPr>
      <w:r w:rsidRPr="002D433B">
        <w:rPr>
          <w:rStyle w:val="HideTWBExt"/>
          <w:b w:val="0"/>
        </w:rPr>
        <w:t>&lt;DocAmend&gt;</w:t>
      </w:r>
      <w:r w:rsidRPr="002D433B">
        <w:t>Ehdotus direktiiviksi</w:t>
      </w:r>
      <w:r w:rsidRPr="002D433B">
        <w:rPr>
          <w:rStyle w:val="HideTWBExt"/>
          <w:b w:val="0"/>
        </w:rPr>
        <w:t>&lt;/DocAmend&gt;</w:t>
      </w:r>
    </w:p>
    <w:p w:rsidR="00932D06" w:rsidRPr="002D433B" w:rsidRDefault="002D433B" w:rsidP="00932D06">
      <w:pPr>
        <w:pStyle w:val="NormalBold"/>
      </w:pPr>
      <w:r w:rsidRPr="002D433B">
        <w:rPr>
          <w:rStyle w:val="HideTWBExt"/>
          <w:b w:val="0"/>
        </w:rPr>
        <w:t>&lt;Article&gt;</w:t>
      </w:r>
      <w:r w:rsidRPr="002D433B">
        <w:t>1 artikla – 1 kohta – 2 alakohta – b alakohta</w:t>
      </w:r>
      <w:r w:rsidRPr="002D433B">
        <w:rPr>
          <w:rStyle w:val="HideTWBExt"/>
          <w:b w:val="0"/>
        </w:rPr>
        <w:t>&lt;/Article&gt;</w:t>
      </w:r>
    </w:p>
    <w:p w:rsidR="00932D06" w:rsidRPr="002D433B" w:rsidRDefault="002D433B" w:rsidP="00932D06">
      <w:pPr>
        <w:keepNext/>
      </w:pPr>
      <w:r w:rsidRPr="002D433B">
        <w:rPr>
          <w:rStyle w:val="HideTWBExt"/>
        </w:rPr>
        <w:t>&lt;DocAmend2&gt;</w:t>
      </w:r>
      <w:r w:rsidRPr="002D433B">
        <w:t>Direktiivi 2014/59/EU</w:t>
      </w:r>
      <w:r w:rsidRPr="002D433B">
        <w:rPr>
          <w:rStyle w:val="HideTWBExt"/>
        </w:rPr>
        <w:t>&lt;/DocAmend2&gt;</w:t>
      </w:r>
    </w:p>
    <w:p w:rsidR="00932D06" w:rsidRPr="002D433B" w:rsidRDefault="002D433B" w:rsidP="00932D06">
      <w:r w:rsidRPr="002D433B">
        <w:rPr>
          <w:rStyle w:val="HideTWBExt"/>
        </w:rPr>
        <w:t>&lt;Article2&gt;</w:t>
      </w:r>
      <w:r w:rsidRPr="002D433B">
        <w:t>45 c artikla – 2 a kohta – 4 alakohta</w:t>
      </w:r>
      <w:r w:rsidRPr="002D433B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94E1F" w:rsidRPr="002D433B" w:rsidTr="00932D06">
        <w:trPr>
          <w:jc w:val="center"/>
        </w:trPr>
        <w:tc>
          <w:tcPr>
            <w:tcW w:w="9752" w:type="dxa"/>
            <w:gridSpan w:val="2"/>
          </w:tcPr>
          <w:p w:rsidR="00932D06" w:rsidRPr="002D433B" w:rsidRDefault="00932D06">
            <w:pPr>
              <w:keepNext/>
            </w:pPr>
          </w:p>
        </w:tc>
      </w:tr>
      <w:tr w:rsidR="00E94E1F" w:rsidRPr="002D433B" w:rsidTr="00932D06">
        <w:trPr>
          <w:jc w:val="center"/>
        </w:trPr>
        <w:tc>
          <w:tcPr>
            <w:tcW w:w="4876" w:type="dxa"/>
            <w:hideMark/>
          </w:tcPr>
          <w:p w:rsidR="00932D06" w:rsidRPr="002D433B" w:rsidRDefault="002D433B">
            <w:pPr>
              <w:pStyle w:val="ColumnHeading"/>
              <w:keepNext/>
            </w:pPr>
            <w:r w:rsidRPr="002D433B">
              <w:t>Komission teksti</w:t>
            </w:r>
          </w:p>
        </w:tc>
        <w:tc>
          <w:tcPr>
            <w:tcW w:w="4876" w:type="dxa"/>
            <w:hideMark/>
          </w:tcPr>
          <w:p w:rsidR="00932D06" w:rsidRPr="002D433B" w:rsidRDefault="002D433B">
            <w:pPr>
              <w:pStyle w:val="ColumnHeading"/>
              <w:keepNext/>
            </w:pPr>
            <w:r w:rsidRPr="002D433B">
              <w:t>Tarkistus</w:t>
            </w:r>
          </w:p>
        </w:tc>
      </w:tr>
      <w:tr w:rsidR="00E94E1F" w:rsidRPr="002D433B" w:rsidTr="00932D06">
        <w:trPr>
          <w:jc w:val="center"/>
        </w:trPr>
        <w:tc>
          <w:tcPr>
            <w:tcW w:w="4876" w:type="dxa"/>
            <w:hideMark/>
          </w:tcPr>
          <w:p w:rsidR="00932D06" w:rsidRPr="002D433B" w:rsidRDefault="002D433B">
            <w:pPr>
              <w:pStyle w:val="Normal6"/>
            </w:pPr>
            <w:r w:rsidRPr="002D433B">
              <w:t xml:space="preserve">Omistusosuuksia tytäryritysten liikkeeseen </w:t>
            </w:r>
            <w:r w:rsidRPr="002D433B">
              <w:rPr>
                <w:b/>
                <w:i/>
              </w:rPr>
              <w:t>laskemista</w:t>
            </w:r>
            <w:r w:rsidRPr="002D433B">
              <w:t xml:space="preserve"> omien varojen </w:t>
            </w:r>
            <w:r w:rsidRPr="002D433B">
              <w:rPr>
                <w:b/>
                <w:i/>
              </w:rPr>
              <w:t>instrumenteista tai veloista</w:t>
            </w:r>
            <w:r w:rsidRPr="002D433B">
              <w:t xml:space="preserve"> ei vähennetä asetuksen (EU) N:o 575/2013 72 e artiklan 5 kohdan nojalla, jos kyseiset tytäryritykset ovat likvidoitavia yhteisöjä, joille kriisinratkaisuviranomainen ei ole määrittänyt 45 artiklan 1 kohdassa tarkoitettua vaatimusta.”</w:t>
            </w:r>
          </w:p>
        </w:tc>
        <w:tc>
          <w:tcPr>
            <w:tcW w:w="4876" w:type="dxa"/>
            <w:hideMark/>
          </w:tcPr>
          <w:p w:rsidR="00932D06" w:rsidRPr="002D433B" w:rsidRDefault="002D433B">
            <w:pPr>
              <w:pStyle w:val="Normal6"/>
              <w:rPr>
                <w:szCs w:val="24"/>
              </w:rPr>
            </w:pPr>
            <w:r w:rsidRPr="002D433B">
              <w:t xml:space="preserve">Omistusosuuksia </w:t>
            </w:r>
            <w:r w:rsidRPr="002D433B">
              <w:rPr>
                <w:b/>
                <w:i/>
              </w:rPr>
              <w:t>veloi</w:t>
            </w:r>
            <w:r w:rsidRPr="002D433B">
              <w:rPr>
                <w:b/>
                <w:i/>
              </w:rPr>
              <w:t xml:space="preserve">sta, joita ei hyväksytä </w:t>
            </w:r>
            <w:r w:rsidRPr="002D433B">
              <w:t xml:space="preserve">tytäryritysten liikkeeseen </w:t>
            </w:r>
            <w:r w:rsidRPr="002D433B">
              <w:rPr>
                <w:b/>
                <w:i/>
              </w:rPr>
              <w:t>laskemiksi</w:t>
            </w:r>
            <w:r w:rsidRPr="002D433B">
              <w:t xml:space="preserve"> omien varojen </w:t>
            </w:r>
            <w:r w:rsidRPr="002D433B">
              <w:rPr>
                <w:b/>
                <w:i/>
              </w:rPr>
              <w:t>instrumenteiksi,</w:t>
            </w:r>
            <w:r w:rsidRPr="002D433B">
              <w:t xml:space="preserve"> ei vähennetä asetuksen (EU) N:o 575/2013 72 e artiklan 5 kohdan nojalla, jos kyseiset tytäryritykset ovat likvidoitavia yhteisöjä, joille kriisinratkaisuviranomain</w:t>
            </w:r>
            <w:r w:rsidRPr="002D433B">
              <w:t>en ei ole määrittänyt 45 artiklan 1 kohdassa tarkoitettua vaatimusta.”</w:t>
            </w:r>
          </w:p>
        </w:tc>
      </w:tr>
    </w:tbl>
    <w:p w:rsidR="00932D06" w:rsidRPr="002D433B" w:rsidRDefault="002D433B" w:rsidP="00932D06">
      <w:pPr>
        <w:pStyle w:val="Olang"/>
        <w:rPr>
          <w:sz w:val="24"/>
          <w:szCs w:val="24"/>
        </w:rPr>
      </w:pPr>
      <w:r w:rsidRPr="002D433B">
        <w:rPr>
          <w:sz w:val="24"/>
          <w:szCs w:val="24"/>
        </w:rPr>
        <w:t xml:space="preserve">Or. </w:t>
      </w:r>
      <w:r w:rsidRPr="002D433B">
        <w:rPr>
          <w:rStyle w:val="HideTWBExt"/>
        </w:rPr>
        <w:t>&lt;Original&gt;</w:t>
      </w:r>
      <w:r w:rsidRPr="002D433B">
        <w:rPr>
          <w:rStyle w:val="HideTWBInt"/>
          <w:sz w:val="24"/>
          <w:szCs w:val="24"/>
        </w:rPr>
        <w:t>{EN}</w:t>
      </w:r>
      <w:r w:rsidRPr="002D433B">
        <w:rPr>
          <w:sz w:val="24"/>
          <w:szCs w:val="24"/>
        </w:rPr>
        <w:t>en</w:t>
      </w:r>
      <w:r w:rsidRPr="002D433B">
        <w:rPr>
          <w:rStyle w:val="HideTWBExt"/>
        </w:rPr>
        <w:t>&lt;/Original&gt;</w:t>
      </w:r>
    </w:p>
    <w:p w:rsidR="00932D06" w:rsidRPr="002D433B" w:rsidRDefault="002D433B" w:rsidP="00932D06">
      <w:pPr>
        <w:rPr>
          <w:szCs w:val="24"/>
        </w:rPr>
      </w:pPr>
      <w:r w:rsidRPr="002D433B">
        <w:rPr>
          <w:rStyle w:val="HideTWBExt"/>
        </w:rPr>
        <w:t>&lt;/Amend&gt;</w:t>
      </w:r>
    </w:p>
    <w:p w:rsidR="00932D06" w:rsidRPr="002D433B" w:rsidRDefault="002D433B" w:rsidP="00932D06">
      <w:pPr>
        <w:pStyle w:val="AMNumberTabs0"/>
        <w:keepNext/>
      </w:pPr>
      <w:r w:rsidRPr="002D433B">
        <w:rPr>
          <w:rStyle w:val="HideTWBExt"/>
          <w:b w:val="0"/>
        </w:rPr>
        <w:t>&lt;Amend&gt;</w:t>
      </w:r>
      <w:r w:rsidRPr="002D433B">
        <w:t>Tarkistus</w:t>
      </w:r>
      <w:r w:rsidRPr="002D433B">
        <w:tab/>
      </w:r>
      <w:r w:rsidRPr="002D433B">
        <w:tab/>
      </w:r>
      <w:r w:rsidRPr="002D433B">
        <w:rPr>
          <w:rStyle w:val="HideTWBExt"/>
          <w:b w:val="0"/>
        </w:rPr>
        <w:t>&lt;NumAm&gt;</w:t>
      </w:r>
      <w:r w:rsidRPr="002D433B">
        <w:t>13</w:t>
      </w:r>
      <w:r w:rsidRPr="002D433B">
        <w:rPr>
          <w:rStyle w:val="HideTWBExt"/>
          <w:b w:val="0"/>
        </w:rPr>
        <w:t>&lt;/NumAm&gt;</w:t>
      </w:r>
    </w:p>
    <w:p w:rsidR="00932D06" w:rsidRPr="002D433B" w:rsidRDefault="002D433B" w:rsidP="00932D06">
      <w:pPr>
        <w:pStyle w:val="NormalBold12b"/>
        <w:keepNext/>
      </w:pPr>
      <w:r w:rsidRPr="002D433B">
        <w:rPr>
          <w:rStyle w:val="HideTWBExt"/>
          <w:b w:val="0"/>
        </w:rPr>
        <w:t>&lt;DocAmend&gt;</w:t>
      </w:r>
      <w:r w:rsidRPr="002D433B">
        <w:t>Ehdotus direktiiviksi</w:t>
      </w:r>
      <w:r w:rsidRPr="002D433B">
        <w:rPr>
          <w:rStyle w:val="HideTWBExt"/>
          <w:b w:val="0"/>
        </w:rPr>
        <w:t>&lt;/DocAmend&gt;</w:t>
      </w:r>
    </w:p>
    <w:p w:rsidR="00932D06" w:rsidRPr="002D433B" w:rsidRDefault="002D433B" w:rsidP="00932D06">
      <w:pPr>
        <w:pStyle w:val="NormalBold"/>
      </w:pPr>
      <w:r w:rsidRPr="002D433B">
        <w:rPr>
          <w:rStyle w:val="HideTWBExt"/>
          <w:b w:val="0"/>
        </w:rPr>
        <w:t>&lt;Article&gt;</w:t>
      </w:r>
      <w:r w:rsidRPr="002D433B">
        <w:t>1 artikla – 1 kohta – 3 alakohta – a alakohta</w:t>
      </w:r>
      <w:r w:rsidRPr="002D433B">
        <w:rPr>
          <w:rStyle w:val="HideTWBExt"/>
          <w:b w:val="0"/>
        </w:rPr>
        <w:t>&lt;/Article&gt;</w:t>
      </w:r>
    </w:p>
    <w:p w:rsidR="00932D06" w:rsidRPr="002D433B" w:rsidRDefault="002D433B" w:rsidP="00932D06">
      <w:pPr>
        <w:keepNext/>
      </w:pPr>
      <w:r w:rsidRPr="002D433B">
        <w:rPr>
          <w:rStyle w:val="HideTWBExt"/>
        </w:rPr>
        <w:t>&lt;DocAmend2&gt;</w:t>
      </w:r>
      <w:r w:rsidRPr="002D433B">
        <w:t>Direktiivi 2014/59/EU</w:t>
      </w:r>
      <w:r w:rsidRPr="002D433B">
        <w:rPr>
          <w:rStyle w:val="HideTWBExt"/>
        </w:rPr>
        <w:t>&lt;/DocAmend2&gt;</w:t>
      </w:r>
    </w:p>
    <w:p w:rsidR="00932D06" w:rsidRPr="002D433B" w:rsidRDefault="002D433B" w:rsidP="00932D06">
      <w:r w:rsidRPr="002D433B">
        <w:rPr>
          <w:rStyle w:val="HideTWBExt"/>
        </w:rPr>
        <w:t>&lt;Article2&gt;</w:t>
      </w:r>
      <w:r w:rsidRPr="002D433B">
        <w:t>45 f artikla – 1 kohta – 3 a alakohta – a alakohta – ii alakohta</w:t>
      </w:r>
      <w:r w:rsidRPr="002D433B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94E1F" w:rsidRPr="002D433B" w:rsidTr="00932D06">
        <w:trPr>
          <w:jc w:val="center"/>
        </w:trPr>
        <w:tc>
          <w:tcPr>
            <w:tcW w:w="9752" w:type="dxa"/>
            <w:gridSpan w:val="2"/>
          </w:tcPr>
          <w:p w:rsidR="00932D06" w:rsidRPr="002D433B" w:rsidRDefault="00932D06">
            <w:pPr>
              <w:keepNext/>
            </w:pPr>
          </w:p>
        </w:tc>
      </w:tr>
      <w:tr w:rsidR="00E94E1F" w:rsidRPr="002D433B" w:rsidTr="00932D06">
        <w:trPr>
          <w:jc w:val="center"/>
        </w:trPr>
        <w:tc>
          <w:tcPr>
            <w:tcW w:w="4876" w:type="dxa"/>
            <w:hideMark/>
          </w:tcPr>
          <w:p w:rsidR="00932D06" w:rsidRPr="002D433B" w:rsidRDefault="002D433B">
            <w:pPr>
              <w:pStyle w:val="ColumnHeading"/>
              <w:keepNext/>
            </w:pPr>
            <w:r w:rsidRPr="002D433B">
              <w:t>Komission teksti</w:t>
            </w:r>
          </w:p>
        </w:tc>
        <w:tc>
          <w:tcPr>
            <w:tcW w:w="4876" w:type="dxa"/>
            <w:hideMark/>
          </w:tcPr>
          <w:p w:rsidR="00932D06" w:rsidRPr="002D433B" w:rsidRDefault="002D433B">
            <w:pPr>
              <w:pStyle w:val="ColumnHeading"/>
              <w:keepNext/>
            </w:pPr>
            <w:r w:rsidRPr="002D433B">
              <w:t>Tarkistus</w:t>
            </w:r>
          </w:p>
        </w:tc>
      </w:tr>
      <w:tr w:rsidR="00E94E1F" w:rsidRPr="002D433B" w:rsidTr="00932D06">
        <w:trPr>
          <w:jc w:val="center"/>
        </w:trPr>
        <w:tc>
          <w:tcPr>
            <w:tcW w:w="4876" w:type="dxa"/>
            <w:hideMark/>
          </w:tcPr>
          <w:p w:rsidR="00932D06" w:rsidRPr="002D433B" w:rsidRDefault="002D433B">
            <w:pPr>
              <w:pStyle w:val="Normal6"/>
            </w:pPr>
            <w:r w:rsidRPr="002D433B">
              <w:t>ii)</w:t>
            </w:r>
            <w:r w:rsidRPr="002D433B">
              <w:tab/>
            </w:r>
            <w:r w:rsidRPr="002D433B">
              <w:t xml:space="preserve">tytäryritykseen sovelletaan direktiivin 2013/36/EU 104 a artiklassa tarkoitettua vaatimusta </w:t>
            </w:r>
            <w:r w:rsidRPr="002D433B">
              <w:rPr>
                <w:b/>
                <w:i/>
              </w:rPr>
              <w:t>tai yhteenlaskettua puskurivaatimusta</w:t>
            </w:r>
            <w:r w:rsidRPr="002D433B">
              <w:t xml:space="preserve"> konsolidoinnin perusteella;</w:t>
            </w:r>
          </w:p>
        </w:tc>
        <w:tc>
          <w:tcPr>
            <w:tcW w:w="4876" w:type="dxa"/>
            <w:hideMark/>
          </w:tcPr>
          <w:p w:rsidR="00932D06" w:rsidRPr="002D433B" w:rsidRDefault="002D433B">
            <w:pPr>
              <w:pStyle w:val="Normal6"/>
              <w:rPr>
                <w:szCs w:val="24"/>
              </w:rPr>
            </w:pPr>
            <w:r w:rsidRPr="002D433B">
              <w:t>ii)</w:t>
            </w:r>
            <w:r w:rsidRPr="002D433B">
              <w:tab/>
              <w:t xml:space="preserve">tytäryritykseen sovelletaan direktiivin 2013/36/EU 104 a artiklassa tarkoitettua vaatimusta </w:t>
            </w:r>
            <w:r w:rsidRPr="002D433B">
              <w:rPr>
                <w:b/>
                <w:i/>
              </w:rPr>
              <w:t>ai</w:t>
            </w:r>
            <w:r w:rsidRPr="002D433B">
              <w:rPr>
                <w:b/>
                <w:i/>
              </w:rPr>
              <w:t>noastaan</w:t>
            </w:r>
            <w:r w:rsidRPr="002D433B">
              <w:t xml:space="preserve"> konsolidoinnin perusteella;</w:t>
            </w:r>
          </w:p>
        </w:tc>
      </w:tr>
    </w:tbl>
    <w:p w:rsidR="00932D06" w:rsidRPr="002D433B" w:rsidRDefault="002D433B" w:rsidP="00932D06">
      <w:pPr>
        <w:pStyle w:val="Olang"/>
        <w:rPr>
          <w:sz w:val="24"/>
          <w:szCs w:val="24"/>
        </w:rPr>
      </w:pPr>
      <w:r w:rsidRPr="002D433B">
        <w:rPr>
          <w:sz w:val="24"/>
          <w:szCs w:val="24"/>
        </w:rPr>
        <w:t xml:space="preserve">Or. </w:t>
      </w:r>
      <w:r w:rsidRPr="002D433B">
        <w:rPr>
          <w:rStyle w:val="HideTWBExt"/>
        </w:rPr>
        <w:t>&lt;Original&gt;</w:t>
      </w:r>
      <w:r w:rsidRPr="002D433B">
        <w:rPr>
          <w:rStyle w:val="HideTWBInt"/>
          <w:sz w:val="24"/>
          <w:szCs w:val="24"/>
        </w:rPr>
        <w:t>{EN}</w:t>
      </w:r>
      <w:r w:rsidRPr="002D433B">
        <w:rPr>
          <w:sz w:val="24"/>
          <w:szCs w:val="24"/>
        </w:rPr>
        <w:t>en</w:t>
      </w:r>
      <w:r w:rsidRPr="002D433B">
        <w:rPr>
          <w:rStyle w:val="HideTWBExt"/>
        </w:rPr>
        <w:t>&lt;/Original&gt;</w:t>
      </w:r>
    </w:p>
    <w:p w:rsidR="00932D06" w:rsidRPr="002D433B" w:rsidRDefault="002D433B" w:rsidP="00932D06">
      <w:pPr>
        <w:rPr>
          <w:szCs w:val="24"/>
        </w:rPr>
      </w:pPr>
      <w:r w:rsidRPr="002D433B">
        <w:rPr>
          <w:rStyle w:val="HideTWBExt"/>
        </w:rPr>
        <w:t>&lt;/Amend&gt;</w:t>
      </w:r>
    </w:p>
    <w:p w:rsidR="00932D06" w:rsidRPr="002D433B" w:rsidRDefault="002D433B" w:rsidP="00932D06">
      <w:pPr>
        <w:pStyle w:val="AMNumberTabs0"/>
        <w:keepNext/>
      </w:pPr>
      <w:r w:rsidRPr="002D433B">
        <w:rPr>
          <w:rStyle w:val="HideTWBExt"/>
          <w:b w:val="0"/>
        </w:rPr>
        <w:t>&lt;Amend&gt;</w:t>
      </w:r>
      <w:r w:rsidRPr="002D433B">
        <w:t>Tarkistus</w:t>
      </w:r>
      <w:r w:rsidRPr="002D433B">
        <w:tab/>
      </w:r>
      <w:r w:rsidRPr="002D433B">
        <w:tab/>
      </w:r>
      <w:r w:rsidRPr="002D433B">
        <w:rPr>
          <w:rStyle w:val="HideTWBExt"/>
          <w:b w:val="0"/>
        </w:rPr>
        <w:t>&lt;NumAm&gt;</w:t>
      </w:r>
      <w:r w:rsidRPr="002D433B">
        <w:t>14</w:t>
      </w:r>
      <w:r w:rsidRPr="002D433B">
        <w:rPr>
          <w:rStyle w:val="HideTWBExt"/>
          <w:b w:val="0"/>
        </w:rPr>
        <w:t>&lt;/NumAm&gt;</w:t>
      </w:r>
    </w:p>
    <w:p w:rsidR="00932D06" w:rsidRPr="002D433B" w:rsidRDefault="002D433B" w:rsidP="00932D06">
      <w:pPr>
        <w:pStyle w:val="NormalBold12b"/>
        <w:keepNext/>
      </w:pPr>
      <w:r w:rsidRPr="002D433B">
        <w:rPr>
          <w:rStyle w:val="HideTWBExt"/>
          <w:b w:val="0"/>
        </w:rPr>
        <w:t>&lt;DocAmend&gt;</w:t>
      </w:r>
      <w:r w:rsidRPr="002D433B">
        <w:t>Ehdotus direktiiviksi</w:t>
      </w:r>
      <w:r w:rsidRPr="002D433B">
        <w:rPr>
          <w:rStyle w:val="HideTWBExt"/>
          <w:b w:val="0"/>
        </w:rPr>
        <w:t>&lt;/DocAmend&gt;</w:t>
      </w:r>
    </w:p>
    <w:p w:rsidR="00932D06" w:rsidRPr="002D433B" w:rsidRDefault="002D433B" w:rsidP="00932D06">
      <w:pPr>
        <w:pStyle w:val="NormalBold"/>
      </w:pPr>
      <w:r w:rsidRPr="002D433B">
        <w:rPr>
          <w:rStyle w:val="HideTWBExt"/>
          <w:b w:val="0"/>
        </w:rPr>
        <w:t>&lt;Article&gt;</w:t>
      </w:r>
      <w:r w:rsidRPr="002D433B">
        <w:t>1 artikla – 1 kohta – 3 alakohta – a alakohta</w:t>
      </w:r>
      <w:r w:rsidRPr="002D433B">
        <w:rPr>
          <w:rStyle w:val="HideTWBExt"/>
          <w:b w:val="0"/>
        </w:rPr>
        <w:t>&lt;/Article&gt;</w:t>
      </w:r>
    </w:p>
    <w:p w:rsidR="00932D06" w:rsidRPr="002D433B" w:rsidRDefault="002D433B" w:rsidP="00932D06">
      <w:pPr>
        <w:keepNext/>
      </w:pPr>
      <w:r w:rsidRPr="002D433B">
        <w:rPr>
          <w:rStyle w:val="HideTWBExt"/>
        </w:rPr>
        <w:t>&lt;DocAmend2&gt;</w:t>
      </w:r>
      <w:r w:rsidRPr="002D433B">
        <w:t>Direktiivi 2014/59/EU</w:t>
      </w:r>
      <w:r w:rsidRPr="002D433B">
        <w:rPr>
          <w:rStyle w:val="HideTWBExt"/>
        </w:rPr>
        <w:t>&lt;</w:t>
      </w:r>
      <w:r w:rsidRPr="002D433B">
        <w:rPr>
          <w:rStyle w:val="HideTWBExt"/>
        </w:rPr>
        <w:t>/DocAmend2&gt;</w:t>
      </w:r>
    </w:p>
    <w:p w:rsidR="00932D06" w:rsidRPr="002D433B" w:rsidRDefault="002D433B" w:rsidP="00932D06">
      <w:r w:rsidRPr="002D433B">
        <w:rPr>
          <w:rStyle w:val="HideTWBExt"/>
        </w:rPr>
        <w:t>&lt;Article2&gt;</w:t>
      </w:r>
      <w:r w:rsidRPr="002D433B">
        <w:t>45 f artikla – 1 kohta – 3 a alakohta – b alakohta</w:t>
      </w:r>
      <w:r w:rsidRPr="002D433B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94E1F" w:rsidRPr="002D433B" w:rsidTr="00932D06">
        <w:trPr>
          <w:jc w:val="center"/>
        </w:trPr>
        <w:tc>
          <w:tcPr>
            <w:tcW w:w="9752" w:type="dxa"/>
            <w:gridSpan w:val="2"/>
          </w:tcPr>
          <w:p w:rsidR="00932D06" w:rsidRPr="002D433B" w:rsidRDefault="00932D06">
            <w:pPr>
              <w:keepNext/>
            </w:pPr>
          </w:p>
        </w:tc>
      </w:tr>
      <w:tr w:rsidR="00E94E1F" w:rsidRPr="002D433B" w:rsidTr="00932D06">
        <w:trPr>
          <w:jc w:val="center"/>
        </w:trPr>
        <w:tc>
          <w:tcPr>
            <w:tcW w:w="4876" w:type="dxa"/>
            <w:hideMark/>
          </w:tcPr>
          <w:p w:rsidR="00932D06" w:rsidRPr="002D433B" w:rsidRDefault="002D433B">
            <w:pPr>
              <w:pStyle w:val="ColumnHeading"/>
              <w:keepNext/>
            </w:pPr>
            <w:r w:rsidRPr="002D433B">
              <w:t>Komission teksti</w:t>
            </w:r>
          </w:p>
        </w:tc>
        <w:tc>
          <w:tcPr>
            <w:tcW w:w="4876" w:type="dxa"/>
            <w:hideMark/>
          </w:tcPr>
          <w:p w:rsidR="00932D06" w:rsidRPr="002D433B" w:rsidRDefault="002D433B">
            <w:pPr>
              <w:pStyle w:val="ColumnHeading"/>
              <w:keepNext/>
            </w:pPr>
            <w:r w:rsidRPr="002D433B">
              <w:t>Tarkistus</w:t>
            </w:r>
          </w:p>
        </w:tc>
      </w:tr>
      <w:tr w:rsidR="00E94E1F" w:rsidRPr="002D433B" w:rsidTr="00932D06">
        <w:trPr>
          <w:jc w:val="center"/>
        </w:trPr>
        <w:tc>
          <w:tcPr>
            <w:tcW w:w="4876" w:type="dxa"/>
            <w:hideMark/>
          </w:tcPr>
          <w:p w:rsidR="00932D06" w:rsidRPr="002D433B" w:rsidRDefault="002D433B">
            <w:pPr>
              <w:pStyle w:val="Normal6"/>
            </w:pPr>
            <w:r w:rsidRPr="002D433B">
              <w:t>b)</w:t>
            </w:r>
            <w:r w:rsidRPr="002D433B">
              <w:tab/>
              <w:t xml:space="preserve">45 c artiklassa säädetyn vaatimuksen noudattamisesta konsolidoinnin perusteella ei aiheudu </w:t>
            </w:r>
            <w:r w:rsidRPr="002D433B">
              <w:rPr>
                <w:b/>
                <w:i/>
              </w:rPr>
              <w:t xml:space="preserve">merkittäviä </w:t>
            </w:r>
            <w:r w:rsidRPr="002D433B">
              <w:t>kielteisiä vaikutuksia kriisinratkaisun kohteena olevan konsernin purkamismahdollisuuteen tai asianomaisen tytäryrityksen tai muiden kriisinratkaisun kohteena olevaan konserniin kuuluvien yhteisöjen kyseeseen tulevien pääomainstrumenttien ja hyväksyttävien</w:t>
            </w:r>
            <w:r w:rsidRPr="002D433B">
              <w:t xml:space="preserve"> velkojen 59 artiklassa tarkoitettuun alaskirjaukseen tai muuntamiseen.”</w:t>
            </w:r>
          </w:p>
        </w:tc>
        <w:tc>
          <w:tcPr>
            <w:tcW w:w="4876" w:type="dxa"/>
            <w:hideMark/>
          </w:tcPr>
          <w:p w:rsidR="00932D06" w:rsidRPr="002D433B" w:rsidRDefault="002D433B">
            <w:pPr>
              <w:pStyle w:val="Normal6"/>
              <w:rPr>
                <w:szCs w:val="24"/>
              </w:rPr>
            </w:pPr>
            <w:r w:rsidRPr="002D433B">
              <w:t>b)</w:t>
            </w:r>
            <w:r w:rsidRPr="002D433B">
              <w:tab/>
              <w:t>45 c artiklassa säädetyn vaatimuksen noudattamisesta konsolidoinnin perusteella ei aiheudu kielteisiä vaikutuksia kriisinratkaisun kohteena olevan konsernin purkamismahdollisuuteen</w:t>
            </w:r>
            <w:r w:rsidRPr="002D433B">
              <w:t xml:space="preserve"> tai asianomaisen tytäryrityksen tai muiden kriisinratkaisun kohteena olevaan konserniin kuuluvien yhteisöjen kyseeseen tulevien pääomainstrumenttien ja hyväksyttävien velkojen 59 artiklassa tarkoitettuun alaskirjaukseen tai muuntamiseen.”</w:t>
            </w:r>
          </w:p>
        </w:tc>
      </w:tr>
    </w:tbl>
    <w:p w:rsidR="00932D06" w:rsidRPr="002D433B" w:rsidRDefault="002D433B" w:rsidP="00932D06">
      <w:pPr>
        <w:pStyle w:val="Olang"/>
        <w:rPr>
          <w:sz w:val="24"/>
          <w:szCs w:val="24"/>
        </w:rPr>
      </w:pPr>
      <w:r w:rsidRPr="002D433B">
        <w:rPr>
          <w:sz w:val="24"/>
          <w:szCs w:val="24"/>
        </w:rPr>
        <w:t xml:space="preserve">Or. </w:t>
      </w:r>
      <w:r w:rsidRPr="002D433B">
        <w:rPr>
          <w:rStyle w:val="HideTWBExt"/>
        </w:rPr>
        <w:t>&lt;Original&gt;</w:t>
      </w:r>
      <w:r w:rsidRPr="002D433B">
        <w:rPr>
          <w:rStyle w:val="HideTWBInt"/>
          <w:sz w:val="24"/>
          <w:szCs w:val="24"/>
        </w:rPr>
        <w:t>{</w:t>
      </w:r>
      <w:r w:rsidRPr="002D433B">
        <w:rPr>
          <w:rStyle w:val="HideTWBInt"/>
          <w:sz w:val="24"/>
          <w:szCs w:val="24"/>
        </w:rPr>
        <w:t>EN}</w:t>
      </w:r>
      <w:r w:rsidRPr="002D433B">
        <w:rPr>
          <w:sz w:val="24"/>
          <w:szCs w:val="24"/>
        </w:rPr>
        <w:t>en</w:t>
      </w:r>
      <w:r w:rsidRPr="002D433B">
        <w:rPr>
          <w:rStyle w:val="HideTWBExt"/>
        </w:rPr>
        <w:t>&lt;/Original&gt;</w:t>
      </w:r>
    </w:p>
    <w:p w:rsidR="00932D06" w:rsidRPr="002D433B" w:rsidRDefault="002D433B" w:rsidP="00932D06">
      <w:pPr>
        <w:rPr>
          <w:szCs w:val="24"/>
        </w:rPr>
      </w:pPr>
      <w:r w:rsidRPr="002D433B">
        <w:rPr>
          <w:rStyle w:val="HideTWBExt"/>
        </w:rPr>
        <w:t>&lt;/Amend&gt;</w:t>
      </w:r>
    </w:p>
    <w:p w:rsidR="00932D06" w:rsidRPr="002D433B" w:rsidRDefault="002D433B" w:rsidP="00932D06">
      <w:pPr>
        <w:pStyle w:val="AMNumberTabs0"/>
        <w:keepNext/>
      </w:pPr>
      <w:r w:rsidRPr="002D433B">
        <w:rPr>
          <w:rStyle w:val="HideTWBExt"/>
          <w:b w:val="0"/>
        </w:rPr>
        <w:t>&lt;Amend&gt;</w:t>
      </w:r>
      <w:r w:rsidRPr="002D433B">
        <w:t>Tarkistus</w:t>
      </w:r>
      <w:r w:rsidRPr="002D433B">
        <w:tab/>
      </w:r>
      <w:r w:rsidRPr="002D433B">
        <w:tab/>
      </w:r>
      <w:r w:rsidRPr="002D433B">
        <w:rPr>
          <w:rStyle w:val="HideTWBExt"/>
          <w:b w:val="0"/>
        </w:rPr>
        <w:t>&lt;NumAm&gt;</w:t>
      </w:r>
      <w:r w:rsidRPr="002D433B">
        <w:t>15</w:t>
      </w:r>
      <w:r w:rsidRPr="002D433B">
        <w:rPr>
          <w:rStyle w:val="HideTWBExt"/>
          <w:b w:val="0"/>
        </w:rPr>
        <w:t>&lt;/NumAm&gt;</w:t>
      </w:r>
    </w:p>
    <w:p w:rsidR="00932D06" w:rsidRPr="002D433B" w:rsidRDefault="002D433B" w:rsidP="00932D06">
      <w:pPr>
        <w:pStyle w:val="NormalBold12b"/>
        <w:keepNext/>
      </w:pPr>
      <w:r w:rsidRPr="002D433B">
        <w:rPr>
          <w:rStyle w:val="HideTWBExt"/>
          <w:b w:val="0"/>
        </w:rPr>
        <w:t>&lt;DocAmend&gt;</w:t>
      </w:r>
      <w:r w:rsidRPr="002D433B">
        <w:t>Ehdotus direktiiviksi</w:t>
      </w:r>
      <w:r w:rsidRPr="002D433B">
        <w:rPr>
          <w:rStyle w:val="HideTWBExt"/>
          <w:b w:val="0"/>
        </w:rPr>
        <w:t>&lt;/DocAmend&gt;</w:t>
      </w:r>
    </w:p>
    <w:p w:rsidR="00932D06" w:rsidRPr="002D433B" w:rsidRDefault="002D433B" w:rsidP="00932D06">
      <w:pPr>
        <w:pStyle w:val="NormalBold"/>
      </w:pPr>
      <w:r w:rsidRPr="002D433B">
        <w:rPr>
          <w:rStyle w:val="HideTWBExt"/>
          <w:b w:val="0"/>
        </w:rPr>
        <w:t>&lt;Article&gt;</w:t>
      </w:r>
      <w:r w:rsidRPr="002D433B">
        <w:t>2 artikla – 1 kohta – 2 alakohta – b alakohta</w:t>
      </w:r>
      <w:r w:rsidRPr="002D433B">
        <w:rPr>
          <w:rStyle w:val="HideTWBExt"/>
          <w:b w:val="0"/>
        </w:rPr>
        <w:t>&lt;/Article&gt;</w:t>
      </w:r>
    </w:p>
    <w:p w:rsidR="00932D06" w:rsidRPr="002D433B" w:rsidRDefault="002D433B" w:rsidP="00932D06">
      <w:pPr>
        <w:keepNext/>
      </w:pPr>
      <w:r w:rsidRPr="002D433B">
        <w:rPr>
          <w:rStyle w:val="HideTWBExt"/>
          <w:lang w:val="pt-PT"/>
        </w:rPr>
        <w:t>&lt;DocAmend2&gt;</w:t>
      </w:r>
      <w:r w:rsidRPr="002D433B">
        <w:t>Asetus (EU) N:o 806/2014</w:t>
      </w:r>
      <w:r w:rsidRPr="002D433B">
        <w:rPr>
          <w:rStyle w:val="HideTWBExt"/>
          <w:lang w:val="pt-PT"/>
        </w:rPr>
        <w:t>&lt;/DocAmend2&gt;</w:t>
      </w:r>
    </w:p>
    <w:p w:rsidR="00932D06" w:rsidRPr="002D433B" w:rsidRDefault="002D433B" w:rsidP="00932D06">
      <w:r w:rsidRPr="002D433B">
        <w:rPr>
          <w:rStyle w:val="HideTWBExt"/>
          <w:lang w:val="fr-BE"/>
        </w:rPr>
        <w:t>&lt;Article2&gt;</w:t>
      </w:r>
      <w:r w:rsidRPr="002D433B">
        <w:t>12 d artikla – 2 a kohta – 2</w:t>
      </w:r>
      <w:r w:rsidRPr="002D433B">
        <w:t xml:space="preserve"> alakohta</w:t>
      </w:r>
      <w:r w:rsidRPr="002D433B">
        <w:rPr>
          <w:rStyle w:val="HideTWBExt"/>
          <w:lang w:val="fr-BE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94E1F" w:rsidRPr="002D433B" w:rsidTr="00932D06">
        <w:trPr>
          <w:jc w:val="center"/>
        </w:trPr>
        <w:tc>
          <w:tcPr>
            <w:tcW w:w="9752" w:type="dxa"/>
            <w:gridSpan w:val="2"/>
          </w:tcPr>
          <w:p w:rsidR="00932D06" w:rsidRPr="002D433B" w:rsidRDefault="00932D06">
            <w:pPr>
              <w:keepNext/>
              <w:rPr>
                <w:lang w:val="fr-BE"/>
              </w:rPr>
            </w:pPr>
          </w:p>
        </w:tc>
      </w:tr>
      <w:tr w:rsidR="00E94E1F" w:rsidRPr="002D433B" w:rsidTr="00932D06">
        <w:trPr>
          <w:jc w:val="center"/>
        </w:trPr>
        <w:tc>
          <w:tcPr>
            <w:tcW w:w="4876" w:type="dxa"/>
            <w:hideMark/>
          </w:tcPr>
          <w:p w:rsidR="00932D06" w:rsidRPr="002D433B" w:rsidRDefault="002D433B">
            <w:pPr>
              <w:pStyle w:val="ColumnHeading"/>
              <w:keepNext/>
            </w:pPr>
            <w:r w:rsidRPr="002D433B">
              <w:t>Komission teksti</w:t>
            </w:r>
          </w:p>
        </w:tc>
        <w:tc>
          <w:tcPr>
            <w:tcW w:w="4876" w:type="dxa"/>
            <w:hideMark/>
          </w:tcPr>
          <w:p w:rsidR="00932D06" w:rsidRPr="002D433B" w:rsidRDefault="002D433B">
            <w:pPr>
              <w:pStyle w:val="ColumnHeading"/>
              <w:keepNext/>
            </w:pPr>
            <w:r w:rsidRPr="002D433B">
              <w:t>Tarkistus</w:t>
            </w:r>
          </w:p>
        </w:tc>
      </w:tr>
      <w:tr w:rsidR="00E94E1F" w:rsidRPr="002D433B" w:rsidTr="00932D06">
        <w:trPr>
          <w:jc w:val="center"/>
        </w:trPr>
        <w:tc>
          <w:tcPr>
            <w:tcW w:w="4876" w:type="dxa"/>
            <w:hideMark/>
          </w:tcPr>
          <w:p w:rsidR="00932D06" w:rsidRPr="002D433B" w:rsidRDefault="002D433B">
            <w:pPr>
              <w:pStyle w:val="Normal6"/>
            </w:pPr>
            <w:r w:rsidRPr="002D433B">
              <w:t xml:space="preserve">Poiketen siitä, mitä ensimmäisessä alakohdassa säädetään, </w:t>
            </w:r>
            <w:r w:rsidRPr="002D433B">
              <w:rPr>
                <w:b/>
                <w:i/>
              </w:rPr>
              <w:t>ja jos se</w:t>
            </w:r>
            <w:r w:rsidRPr="002D433B">
              <w:t xml:space="preserve"> on </w:t>
            </w:r>
            <w:r w:rsidRPr="002D433B">
              <w:rPr>
                <w:b/>
                <w:i/>
              </w:rPr>
              <w:t>tarpeen rahoitusvakauden suojelemista tai rahoitusjärjestelmää koskevien häiriöiden mahdollisen leviämisen rajoittamista koskevien tavoitteiden saavuttamiseksi</w:t>
            </w:r>
            <w:r w:rsidRPr="002D433B">
              <w:t xml:space="preserve">, </w:t>
            </w:r>
            <w:r w:rsidRPr="002D433B">
              <w:rPr>
                <w:b/>
                <w:i/>
              </w:rPr>
              <w:t>kriisinratkaisuneuvosto voi poikkeuksellisesti</w:t>
            </w:r>
            <w:r w:rsidRPr="002D433B">
              <w:t xml:space="preserve"> määrittää 12 a artiklan 1 kohdassa </w:t>
            </w:r>
            <w:r w:rsidRPr="002D433B">
              <w:rPr>
                <w:b/>
                <w:i/>
              </w:rPr>
              <w:t>tarkoitetun v</w:t>
            </w:r>
            <w:r w:rsidRPr="002D433B">
              <w:rPr>
                <w:b/>
                <w:i/>
              </w:rPr>
              <w:t>aatimuksen</w:t>
            </w:r>
            <w:r w:rsidRPr="002D433B">
              <w:t xml:space="preserve"> likvidoitaville yhteisöille yhteisökohtaisesti siten, että sen määrä tämän artiklan 2 kohdan a alakohdan mukaisesti riittää kattamaan tappiot</w:t>
            </w:r>
            <w:r w:rsidRPr="002D433B">
              <w:rPr>
                <w:b/>
                <w:i/>
              </w:rPr>
              <w:t xml:space="preserve"> ja että se korotetaan määrään</w:t>
            </w:r>
            <w:r w:rsidRPr="002D433B">
              <w:t xml:space="preserve">, </w:t>
            </w:r>
            <w:r w:rsidRPr="002D433B">
              <w:rPr>
                <w:b/>
                <w:i/>
              </w:rPr>
              <w:t>joka</w:t>
            </w:r>
            <w:r w:rsidRPr="002D433B">
              <w:t xml:space="preserve"> on </w:t>
            </w:r>
            <w:r w:rsidRPr="002D433B">
              <w:rPr>
                <w:b/>
                <w:i/>
              </w:rPr>
              <w:t>tarpeen näiden tavoitteiden saavuttamiseksi</w:t>
            </w:r>
            <w:r w:rsidRPr="002D433B">
              <w:t>. Likvidoitavien yhte</w:t>
            </w:r>
            <w:r w:rsidRPr="002D433B">
              <w:t>isöjen on tällaisissa tapauksissa täytettävä 12 a artiklan 1 kohdassa tarkoitettu vaatimus käyttämällä yhtä tai useampaa seuraavista:</w:t>
            </w:r>
          </w:p>
        </w:tc>
        <w:tc>
          <w:tcPr>
            <w:tcW w:w="4876" w:type="dxa"/>
            <w:hideMark/>
          </w:tcPr>
          <w:p w:rsidR="00932D06" w:rsidRPr="002D433B" w:rsidRDefault="002D433B">
            <w:pPr>
              <w:pStyle w:val="Normal6"/>
              <w:rPr>
                <w:szCs w:val="24"/>
              </w:rPr>
            </w:pPr>
            <w:r w:rsidRPr="002D433B">
              <w:t xml:space="preserve">Poiketen siitä, mitä ensimmäisessä alakohdassa säädetään, </w:t>
            </w:r>
            <w:r w:rsidRPr="002D433B">
              <w:rPr>
                <w:b/>
                <w:i/>
              </w:rPr>
              <w:t>kriisinratkaisuneuvoston</w:t>
            </w:r>
            <w:r w:rsidRPr="002D433B">
              <w:t xml:space="preserve"> on </w:t>
            </w:r>
            <w:r w:rsidRPr="002D433B">
              <w:rPr>
                <w:b/>
                <w:i/>
              </w:rPr>
              <w:t>arvioitava</w:t>
            </w:r>
            <w:r w:rsidRPr="002D433B">
              <w:t xml:space="preserve">, </w:t>
            </w:r>
            <w:r w:rsidRPr="002D433B">
              <w:rPr>
                <w:b/>
                <w:i/>
              </w:rPr>
              <w:t>onko perusteltua</w:t>
            </w:r>
            <w:r w:rsidRPr="002D433B">
              <w:t xml:space="preserve"> määritt</w:t>
            </w:r>
            <w:r w:rsidRPr="002D433B">
              <w:t xml:space="preserve">ää 12 a artiklan 1 kohdassa </w:t>
            </w:r>
            <w:r w:rsidRPr="002D433B">
              <w:rPr>
                <w:b/>
                <w:i/>
              </w:rPr>
              <w:t>tarkoitettu vaatimus</w:t>
            </w:r>
            <w:r w:rsidRPr="002D433B">
              <w:t xml:space="preserve"> likvidoitaville yhteisöille yhteisökohtaisesti siten, että sen määrä </w:t>
            </w:r>
            <w:r w:rsidRPr="002D433B">
              <w:rPr>
                <w:b/>
                <w:i/>
              </w:rPr>
              <w:t xml:space="preserve">ylittää määrän, joka </w:t>
            </w:r>
            <w:r w:rsidRPr="002D433B">
              <w:t>tämän artiklan 2 kohdan a alakohdan mukaisesti riittää kattamaan tappiot</w:t>
            </w:r>
            <w:r w:rsidRPr="002D433B">
              <w:rPr>
                <w:b/>
                <w:i/>
              </w:rPr>
              <w:t>. Kriisinratkaisuneuvoston arvioinnissa on ot</w:t>
            </w:r>
            <w:r w:rsidRPr="002D433B">
              <w:rPr>
                <w:b/>
                <w:i/>
              </w:rPr>
              <w:t>ettava huomioon asianomaisen likvidoitavan yhteisön konkurssin mahdolliset seuraukset</w:t>
            </w:r>
            <w:r w:rsidRPr="002D433B">
              <w:t xml:space="preserve">, </w:t>
            </w:r>
            <w:r w:rsidRPr="002D433B">
              <w:rPr>
                <w:b/>
                <w:i/>
              </w:rPr>
              <w:t>ja siinä</w:t>
            </w:r>
            <w:r w:rsidRPr="002D433B">
              <w:t xml:space="preserve"> on </w:t>
            </w:r>
            <w:r w:rsidRPr="002D433B">
              <w:rPr>
                <w:b/>
                <w:i/>
              </w:rPr>
              <w:t>erityisesti otettava huomioon mahdolliset vaikutukset rahoitusvakauteen ja rahoitusjärjestelmää koskevien häiriöiden leviämisen riskiin</w:t>
            </w:r>
            <w:r w:rsidRPr="002D433B">
              <w:t>. Likvidoitavien yhtei</w:t>
            </w:r>
            <w:r w:rsidRPr="002D433B">
              <w:t>söjen on tällaisissa tapauksissa täytettävä 12 a artiklan 1 kohdassa tarkoitettu vaatimus käyttämällä yhtä tai useampaa seuraavista:</w:t>
            </w:r>
          </w:p>
        </w:tc>
      </w:tr>
    </w:tbl>
    <w:p w:rsidR="00932D06" w:rsidRPr="002D433B" w:rsidRDefault="002D433B" w:rsidP="00932D06">
      <w:pPr>
        <w:pStyle w:val="Olang"/>
        <w:rPr>
          <w:sz w:val="24"/>
          <w:szCs w:val="24"/>
        </w:rPr>
      </w:pPr>
      <w:r w:rsidRPr="002D433B">
        <w:rPr>
          <w:sz w:val="24"/>
          <w:szCs w:val="24"/>
        </w:rPr>
        <w:t xml:space="preserve">Or. </w:t>
      </w:r>
      <w:r w:rsidRPr="002D433B">
        <w:rPr>
          <w:rStyle w:val="HideTWBExt"/>
        </w:rPr>
        <w:t>&lt;Original&gt;</w:t>
      </w:r>
      <w:r w:rsidRPr="002D433B">
        <w:rPr>
          <w:rStyle w:val="HideTWBInt"/>
          <w:sz w:val="24"/>
          <w:szCs w:val="24"/>
        </w:rPr>
        <w:t>{EN}</w:t>
      </w:r>
      <w:r w:rsidRPr="002D433B">
        <w:rPr>
          <w:sz w:val="24"/>
          <w:szCs w:val="24"/>
        </w:rPr>
        <w:t>en</w:t>
      </w:r>
      <w:r w:rsidRPr="002D433B">
        <w:rPr>
          <w:rStyle w:val="HideTWBExt"/>
        </w:rPr>
        <w:t>&lt;/Original&gt;</w:t>
      </w:r>
    </w:p>
    <w:p w:rsidR="00932D06" w:rsidRPr="002D433B" w:rsidRDefault="002D433B" w:rsidP="00932D06">
      <w:pPr>
        <w:rPr>
          <w:szCs w:val="24"/>
        </w:rPr>
      </w:pPr>
      <w:r w:rsidRPr="002D433B">
        <w:rPr>
          <w:rStyle w:val="HideTWBExt"/>
        </w:rPr>
        <w:t>&lt;/Amend&gt;</w:t>
      </w:r>
    </w:p>
    <w:p w:rsidR="00932D06" w:rsidRPr="002D433B" w:rsidRDefault="002D433B" w:rsidP="00932D06">
      <w:pPr>
        <w:pStyle w:val="AMNumberTabs0"/>
        <w:keepNext/>
      </w:pPr>
      <w:r w:rsidRPr="002D433B">
        <w:rPr>
          <w:rStyle w:val="HideTWBExt"/>
          <w:b w:val="0"/>
        </w:rPr>
        <w:t>&lt;Amend&gt;</w:t>
      </w:r>
      <w:r w:rsidRPr="002D433B">
        <w:t>Tarkistus</w:t>
      </w:r>
      <w:r w:rsidRPr="002D433B">
        <w:tab/>
      </w:r>
      <w:r w:rsidRPr="002D433B">
        <w:tab/>
      </w:r>
      <w:r w:rsidRPr="002D433B">
        <w:rPr>
          <w:rStyle w:val="HideTWBExt"/>
          <w:b w:val="0"/>
        </w:rPr>
        <w:t>&lt;NumAm&gt;</w:t>
      </w:r>
      <w:r w:rsidRPr="002D433B">
        <w:t>16</w:t>
      </w:r>
      <w:r w:rsidRPr="002D433B">
        <w:rPr>
          <w:rStyle w:val="HideTWBExt"/>
          <w:b w:val="0"/>
        </w:rPr>
        <w:t>&lt;/NumAm&gt;</w:t>
      </w:r>
    </w:p>
    <w:p w:rsidR="00932D06" w:rsidRPr="002D433B" w:rsidRDefault="002D433B" w:rsidP="00932D06">
      <w:pPr>
        <w:pStyle w:val="NormalBold12b"/>
        <w:keepNext/>
      </w:pPr>
      <w:r w:rsidRPr="002D433B">
        <w:rPr>
          <w:rStyle w:val="HideTWBExt"/>
          <w:b w:val="0"/>
        </w:rPr>
        <w:t>&lt;DocAmend&gt;</w:t>
      </w:r>
      <w:r w:rsidRPr="002D433B">
        <w:t>Ehdotus direktiiviksi</w:t>
      </w:r>
      <w:r w:rsidRPr="002D433B">
        <w:rPr>
          <w:rStyle w:val="HideTWBExt"/>
          <w:b w:val="0"/>
        </w:rPr>
        <w:t>&lt;/DocAmend&gt;</w:t>
      </w:r>
    </w:p>
    <w:p w:rsidR="00932D06" w:rsidRPr="002D433B" w:rsidRDefault="002D433B" w:rsidP="00932D06">
      <w:pPr>
        <w:pStyle w:val="NormalBold"/>
      </w:pPr>
      <w:r w:rsidRPr="002D433B">
        <w:rPr>
          <w:rStyle w:val="HideTWBExt"/>
          <w:b w:val="0"/>
        </w:rPr>
        <w:t>&lt;A</w:t>
      </w:r>
      <w:r w:rsidRPr="002D433B">
        <w:rPr>
          <w:rStyle w:val="HideTWBExt"/>
          <w:b w:val="0"/>
        </w:rPr>
        <w:t>rticle&gt;</w:t>
      </w:r>
      <w:r w:rsidRPr="002D433B">
        <w:t>2 artikla – 1 kohta – 2 alakohta – b alakohta</w:t>
      </w:r>
      <w:r w:rsidRPr="002D433B">
        <w:rPr>
          <w:rStyle w:val="HideTWBExt"/>
          <w:b w:val="0"/>
        </w:rPr>
        <w:t>&lt;/Article&gt;</w:t>
      </w:r>
    </w:p>
    <w:p w:rsidR="00932D06" w:rsidRPr="002D433B" w:rsidRDefault="002D433B" w:rsidP="00932D06">
      <w:pPr>
        <w:keepNext/>
      </w:pPr>
      <w:r w:rsidRPr="002D433B">
        <w:rPr>
          <w:rStyle w:val="HideTWBExt"/>
          <w:lang w:val="pt-PT"/>
        </w:rPr>
        <w:t>&lt;DocAmend2&gt;</w:t>
      </w:r>
      <w:r w:rsidRPr="002D433B">
        <w:t>Asetus (EU) N:o 806/2014</w:t>
      </w:r>
      <w:r w:rsidRPr="002D433B">
        <w:rPr>
          <w:rStyle w:val="HideTWBExt"/>
          <w:lang w:val="pt-PT"/>
        </w:rPr>
        <w:t>&lt;/DocAmend2&gt;</w:t>
      </w:r>
    </w:p>
    <w:p w:rsidR="00932D06" w:rsidRPr="002D433B" w:rsidRDefault="002D433B" w:rsidP="00932D06">
      <w:r w:rsidRPr="002D433B">
        <w:rPr>
          <w:rStyle w:val="HideTWBExt"/>
          <w:lang w:val="fr-BE"/>
        </w:rPr>
        <w:t>&lt;Article2&gt;</w:t>
      </w:r>
      <w:r w:rsidRPr="002D433B">
        <w:t>12 d artikla – 2 a kohta – 4 alakohta</w:t>
      </w:r>
      <w:r w:rsidRPr="002D433B">
        <w:rPr>
          <w:rStyle w:val="HideTWBExt"/>
          <w:lang w:val="fr-BE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94E1F" w:rsidRPr="002D433B" w:rsidTr="00932D06">
        <w:trPr>
          <w:jc w:val="center"/>
        </w:trPr>
        <w:tc>
          <w:tcPr>
            <w:tcW w:w="9752" w:type="dxa"/>
            <w:gridSpan w:val="2"/>
          </w:tcPr>
          <w:p w:rsidR="00932D06" w:rsidRPr="002D433B" w:rsidRDefault="00932D06">
            <w:pPr>
              <w:keepNext/>
              <w:rPr>
                <w:lang w:val="fr-BE"/>
              </w:rPr>
            </w:pPr>
          </w:p>
        </w:tc>
      </w:tr>
      <w:tr w:rsidR="00E94E1F" w:rsidRPr="002D433B" w:rsidTr="00932D06">
        <w:trPr>
          <w:jc w:val="center"/>
        </w:trPr>
        <w:tc>
          <w:tcPr>
            <w:tcW w:w="4876" w:type="dxa"/>
            <w:hideMark/>
          </w:tcPr>
          <w:p w:rsidR="00932D06" w:rsidRPr="002D433B" w:rsidRDefault="002D433B">
            <w:pPr>
              <w:pStyle w:val="ColumnHeading"/>
              <w:keepNext/>
            </w:pPr>
            <w:r w:rsidRPr="002D433B">
              <w:t>Komission teksti</w:t>
            </w:r>
          </w:p>
        </w:tc>
        <w:tc>
          <w:tcPr>
            <w:tcW w:w="4876" w:type="dxa"/>
            <w:hideMark/>
          </w:tcPr>
          <w:p w:rsidR="00932D06" w:rsidRPr="002D433B" w:rsidRDefault="002D433B">
            <w:pPr>
              <w:pStyle w:val="ColumnHeading"/>
              <w:keepNext/>
            </w:pPr>
            <w:r w:rsidRPr="002D433B">
              <w:t>Tarkistus</w:t>
            </w:r>
          </w:p>
        </w:tc>
      </w:tr>
      <w:tr w:rsidR="00E94E1F" w:rsidRPr="002D433B" w:rsidTr="00932D06">
        <w:trPr>
          <w:jc w:val="center"/>
        </w:trPr>
        <w:tc>
          <w:tcPr>
            <w:tcW w:w="4876" w:type="dxa"/>
            <w:hideMark/>
          </w:tcPr>
          <w:p w:rsidR="00932D06" w:rsidRPr="002D433B" w:rsidRDefault="002D433B">
            <w:pPr>
              <w:pStyle w:val="Normal6"/>
            </w:pPr>
            <w:r w:rsidRPr="002D433B">
              <w:t xml:space="preserve">Omistusosuuksia tytäryritysten liikkeeseen </w:t>
            </w:r>
            <w:r w:rsidRPr="002D433B">
              <w:rPr>
                <w:b/>
                <w:i/>
              </w:rPr>
              <w:t>laskemista</w:t>
            </w:r>
            <w:r w:rsidRPr="002D433B">
              <w:t xml:space="preserve"> omien varojen </w:t>
            </w:r>
            <w:r w:rsidRPr="002D433B">
              <w:rPr>
                <w:b/>
                <w:i/>
              </w:rPr>
              <w:t>instrumenteista tai veloista</w:t>
            </w:r>
            <w:r w:rsidRPr="002D433B">
              <w:t xml:space="preserve"> ei vähennetä asetuksen (EU) N:o 575/2013 72 e artiklan 5 kohdan nojalla, jos kyseiset tytäryritykset ovat likvidoitavia yhteisöjä, joille kriisinratkaisuviranomainen ei ole määrittänyt 12 a artiklan 1 kohdassa ta</w:t>
            </w:r>
            <w:r w:rsidRPr="002D433B">
              <w:t>rkoitettua vaatimusta.”</w:t>
            </w:r>
          </w:p>
        </w:tc>
        <w:tc>
          <w:tcPr>
            <w:tcW w:w="4876" w:type="dxa"/>
            <w:hideMark/>
          </w:tcPr>
          <w:p w:rsidR="00932D06" w:rsidRPr="002D433B" w:rsidRDefault="002D433B">
            <w:pPr>
              <w:pStyle w:val="Normal6"/>
              <w:rPr>
                <w:szCs w:val="24"/>
              </w:rPr>
            </w:pPr>
            <w:r w:rsidRPr="002D433B">
              <w:t xml:space="preserve">Omistusosuuksia </w:t>
            </w:r>
            <w:r w:rsidRPr="002D433B">
              <w:rPr>
                <w:b/>
                <w:i/>
              </w:rPr>
              <w:t xml:space="preserve">veloista, joita ei hyväksytä </w:t>
            </w:r>
            <w:r w:rsidRPr="002D433B">
              <w:t xml:space="preserve">tytäryritysten liikkeeseen </w:t>
            </w:r>
            <w:r w:rsidRPr="002D433B">
              <w:rPr>
                <w:b/>
                <w:i/>
              </w:rPr>
              <w:t>laskemiksi</w:t>
            </w:r>
            <w:r w:rsidRPr="002D433B">
              <w:t xml:space="preserve"> omien varojen </w:t>
            </w:r>
            <w:r w:rsidRPr="002D433B">
              <w:rPr>
                <w:b/>
                <w:i/>
              </w:rPr>
              <w:t>instrumenteiksi,</w:t>
            </w:r>
            <w:r w:rsidRPr="002D433B">
              <w:t xml:space="preserve"> ei vähennetä asetuksen (EU) N:o 575/2013 72 e artiklan 5 kohdan nojalla, jos kyseiset tytäryritykset ovat likvidoitavi</w:t>
            </w:r>
            <w:r w:rsidRPr="002D433B">
              <w:t>a yhteisöjä, joille kriisinratkaisuviranomainen ei ole määrittänyt 12 a artiklan 1 kohdassa tarkoitettua vaatimusta.”</w:t>
            </w:r>
          </w:p>
        </w:tc>
      </w:tr>
    </w:tbl>
    <w:p w:rsidR="00932D06" w:rsidRPr="002D433B" w:rsidRDefault="002D433B" w:rsidP="00932D06">
      <w:pPr>
        <w:pStyle w:val="Olang"/>
        <w:rPr>
          <w:sz w:val="24"/>
          <w:szCs w:val="24"/>
        </w:rPr>
      </w:pPr>
      <w:r w:rsidRPr="002D433B">
        <w:rPr>
          <w:sz w:val="24"/>
          <w:szCs w:val="24"/>
        </w:rPr>
        <w:t xml:space="preserve">Or. </w:t>
      </w:r>
      <w:r w:rsidRPr="002D433B">
        <w:rPr>
          <w:rStyle w:val="HideTWBExt"/>
        </w:rPr>
        <w:t>&lt;Original&gt;</w:t>
      </w:r>
      <w:r w:rsidRPr="002D433B">
        <w:rPr>
          <w:rStyle w:val="HideTWBInt"/>
          <w:sz w:val="24"/>
          <w:szCs w:val="24"/>
        </w:rPr>
        <w:t>{EN}</w:t>
      </w:r>
      <w:r w:rsidRPr="002D433B">
        <w:rPr>
          <w:sz w:val="24"/>
          <w:szCs w:val="24"/>
        </w:rPr>
        <w:t>en</w:t>
      </w:r>
      <w:r w:rsidRPr="002D433B">
        <w:rPr>
          <w:rStyle w:val="HideTWBExt"/>
        </w:rPr>
        <w:t>&lt;/Original&gt;</w:t>
      </w:r>
    </w:p>
    <w:p w:rsidR="00932D06" w:rsidRPr="002D433B" w:rsidRDefault="002D433B" w:rsidP="00932D06">
      <w:pPr>
        <w:rPr>
          <w:szCs w:val="24"/>
        </w:rPr>
      </w:pPr>
      <w:r w:rsidRPr="002D433B">
        <w:rPr>
          <w:rStyle w:val="HideTWBExt"/>
        </w:rPr>
        <w:t>&lt;/Amend&gt;</w:t>
      </w:r>
    </w:p>
    <w:p w:rsidR="00932D06" w:rsidRPr="002D433B" w:rsidRDefault="002D433B" w:rsidP="00932D06">
      <w:pPr>
        <w:pStyle w:val="AMNumberTabs0"/>
        <w:keepNext/>
      </w:pPr>
      <w:r w:rsidRPr="002D433B">
        <w:rPr>
          <w:rStyle w:val="HideTWBExt"/>
          <w:b w:val="0"/>
        </w:rPr>
        <w:t>&lt;Amend&gt;</w:t>
      </w:r>
      <w:r w:rsidRPr="002D433B">
        <w:t>Tarkistus</w:t>
      </w:r>
      <w:r w:rsidRPr="002D433B">
        <w:tab/>
      </w:r>
      <w:r w:rsidRPr="002D433B">
        <w:tab/>
      </w:r>
      <w:r w:rsidRPr="002D433B">
        <w:rPr>
          <w:rStyle w:val="HideTWBExt"/>
          <w:b w:val="0"/>
        </w:rPr>
        <w:t>&lt;NumAm&gt;</w:t>
      </w:r>
      <w:r w:rsidRPr="002D433B">
        <w:t>17</w:t>
      </w:r>
      <w:r w:rsidRPr="002D433B">
        <w:rPr>
          <w:rStyle w:val="HideTWBExt"/>
          <w:b w:val="0"/>
        </w:rPr>
        <w:t>&lt;/NumAm&gt;</w:t>
      </w:r>
    </w:p>
    <w:p w:rsidR="00932D06" w:rsidRPr="002D433B" w:rsidRDefault="002D433B" w:rsidP="00932D06">
      <w:pPr>
        <w:pStyle w:val="NormalBold12b"/>
        <w:keepNext/>
      </w:pPr>
      <w:r w:rsidRPr="002D433B">
        <w:rPr>
          <w:rStyle w:val="HideTWBExt"/>
          <w:b w:val="0"/>
        </w:rPr>
        <w:t>&lt;DocAmend&gt;</w:t>
      </w:r>
      <w:r w:rsidRPr="002D433B">
        <w:t>Ehdotus direktiiviksi</w:t>
      </w:r>
      <w:r w:rsidRPr="002D433B">
        <w:rPr>
          <w:rStyle w:val="HideTWBExt"/>
          <w:b w:val="0"/>
        </w:rPr>
        <w:t>&lt;/DocAmend&gt;</w:t>
      </w:r>
    </w:p>
    <w:p w:rsidR="00932D06" w:rsidRPr="002D433B" w:rsidRDefault="002D433B" w:rsidP="00932D06">
      <w:pPr>
        <w:pStyle w:val="NormalBold"/>
      </w:pPr>
      <w:r w:rsidRPr="002D433B">
        <w:rPr>
          <w:rStyle w:val="HideTWBExt"/>
          <w:b w:val="0"/>
        </w:rPr>
        <w:t>&lt;Article&gt;</w:t>
      </w:r>
      <w:r w:rsidRPr="002D433B">
        <w:t>2 artikla – 1 kohta – 3 alakohta – a alakohta</w:t>
      </w:r>
      <w:r w:rsidRPr="002D433B">
        <w:rPr>
          <w:rStyle w:val="HideTWBExt"/>
          <w:b w:val="0"/>
        </w:rPr>
        <w:t>&lt;/Article&gt;</w:t>
      </w:r>
    </w:p>
    <w:p w:rsidR="00932D06" w:rsidRPr="002D433B" w:rsidRDefault="002D433B" w:rsidP="00932D06">
      <w:pPr>
        <w:keepNext/>
      </w:pPr>
      <w:r w:rsidRPr="002D433B">
        <w:rPr>
          <w:rStyle w:val="HideTWBExt"/>
        </w:rPr>
        <w:t>&lt;DocAmend2&gt;</w:t>
      </w:r>
      <w:r w:rsidRPr="002D433B">
        <w:t>Asetus (EU) N:o 806/2014</w:t>
      </w:r>
      <w:r w:rsidRPr="002D433B">
        <w:rPr>
          <w:rStyle w:val="HideTWBExt"/>
        </w:rPr>
        <w:t>&lt;/DocAmend2&gt;</w:t>
      </w:r>
    </w:p>
    <w:p w:rsidR="00932D06" w:rsidRPr="002D433B" w:rsidRDefault="002D433B" w:rsidP="00932D06">
      <w:r w:rsidRPr="002D433B">
        <w:rPr>
          <w:rStyle w:val="HideTWBExt"/>
        </w:rPr>
        <w:t>&lt;Article2&gt;</w:t>
      </w:r>
      <w:r w:rsidRPr="002D433B">
        <w:t>12 g artikla – 1 kohta – 3 a alakohta – a alakohta – ii alakohta</w:t>
      </w:r>
      <w:r w:rsidRPr="002D433B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94E1F" w:rsidRPr="002D433B" w:rsidTr="00932D06">
        <w:trPr>
          <w:jc w:val="center"/>
        </w:trPr>
        <w:tc>
          <w:tcPr>
            <w:tcW w:w="9752" w:type="dxa"/>
            <w:gridSpan w:val="2"/>
          </w:tcPr>
          <w:p w:rsidR="00932D06" w:rsidRPr="002D433B" w:rsidRDefault="00932D06">
            <w:pPr>
              <w:keepNext/>
            </w:pPr>
          </w:p>
        </w:tc>
      </w:tr>
      <w:tr w:rsidR="00E94E1F" w:rsidRPr="002D433B" w:rsidTr="00932D06">
        <w:trPr>
          <w:jc w:val="center"/>
        </w:trPr>
        <w:tc>
          <w:tcPr>
            <w:tcW w:w="4876" w:type="dxa"/>
            <w:hideMark/>
          </w:tcPr>
          <w:p w:rsidR="00932D06" w:rsidRPr="002D433B" w:rsidRDefault="002D433B">
            <w:pPr>
              <w:pStyle w:val="ColumnHeading"/>
              <w:keepNext/>
            </w:pPr>
            <w:r w:rsidRPr="002D433B">
              <w:t>Komission teksti</w:t>
            </w:r>
          </w:p>
        </w:tc>
        <w:tc>
          <w:tcPr>
            <w:tcW w:w="4876" w:type="dxa"/>
            <w:hideMark/>
          </w:tcPr>
          <w:p w:rsidR="00932D06" w:rsidRPr="002D433B" w:rsidRDefault="002D433B">
            <w:pPr>
              <w:pStyle w:val="ColumnHeading"/>
              <w:keepNext/>
            </w:pPr>
            <w:r w:rsidRPr="002D433B">
              <w:t>Tarkistus</w:t>
            </w:r>
          </w:p>
        </w:tc>
      </w:tr>
      <w:tr w:rsidR="00E94E1F" w:rsidRPr="002D433B" w:rsidTr="00932D06">
        <w:trPr>
          <w:jc w:val="center"/>
        </w:trPr>
        <w:tc>
          <w:tcPr>
            <w:tcW w:w="4876" w:type="dxa"/>
            <w:hideMark/>
          </w:tcPr>
          <w:p w:rsidR="00932D06" w:rsidRPr="002D433B" w:rsidRDefault="002D433B">
            <w:pPr>
              <w:pStyle w:val="Normal6"/>
            </w:pPr>
            <w:r w:rsidRPr="002D433B">
              <w:t>ii)</w:t>
            </w:r>
            <w:r w:rsidRPr="002D433B">
              <w:tab/>
              <w:t>tytäryritykseen sovelletaan dire</w:t>
            </w:r>
            <w:r w:rsidRPr="002D433B">
              <w:t xml:space="preserve">ktiivin 2013/36/EU 104 a artiklassa tarkoitettua vaatimusta </w:t>
            </w:r>
            <w:r w:rsidRPr="002D433B">
              <w:rPr>
                <w:b/>
                <w:i/>
              </w:rPr>
              <w:t>tai yhteenlaskettua puskurivaatimusta</w:t>
            </w:r>
            <w:r w:rsidRPr="002D433B">
              <w:t xml:space="preserve"> konsolidoinnin perusteella;</w:t>
            </w:r>
          </w:p>
        </w:tc>
        <w:tc>
          <w:tcPr>
            <w:tcW w:w="4876" w:type="dxa"/>
            <w:hideMark/>
          </w:tcPr>
          <w:p w:rsidR="00932D06" w:rsidRPr="002D433B" w:rsidRDefault="002D433B">
            <w:pPr>
              <w:pStyle w:val="Normal6"/>
              <w:rPr>
                <w:szCs w:val="24"/>
              </w:rPr>
            </w:pPr>
            <w:r w:rsidRPr="002D433B">
              <w:t>ii)</w:t>
            </w:r>
            <w:r w:rsidRPr="002D433B">
              <w:tab/>
              <w:t xml:space="preserve">tytäryritykseen sovelletaan direktiivin 2013/36/EU 104 a artiklassa tarkoitettua vaatimusta </w:t>
            </w:r>
            <w:r w:rsidRPr="002D433B">
              <w:rPr>
                <w:b/>
                <w:i/>
              </w:rPr>
              <w:t>ainoastaan</w:t>
            </w:r>
            <w:r w:rsidRPr="002D433B">
              <w:t xml:space="preserve"> konsolidoinnin perustee</w:t>
            </w:r>
            <w:r w:rsidRPr="002D433B">
              <w:t>lla;</w:t>
            </w:r>
          </w:p>
        </w:tc>
      </w:tr>
    </w:tbl>
    <w:p w:rsidR="00932D06" w:rsidRPr="002D433B" w:rsidRDefault="002D433B" w:rsidP="00932D06">
      <w:pPr>
        <w:pStyle w:val="Olang"/>
        <w:rPr>
          <w:sz w:val="24"/>
          <w:szCs w:val="24"/>
        </w:rPr>
      </w:pPr>
      <w:r w:rsidRPr="002D433B">
        <w:rPr>
          <w:sz w:val="24"/>
          <w:szCs w:val="24"/>
        </w:rPr>
        <w:t xml:space="preserve">Or. </w:t>
      </w:r>
      <w:r w:rsidRPr="002D433B">
        <w:rPr>
          <w:rStyle w:val="HideTWBExt"/>
        </w:rPr>
        <w:t>&lt;Original&gt;</w:t>
      </w:r>
      <w:r w:rsidRPr="002D433B">
        <w:rPr>
          <w:rStyle w:val="HideTWBInt"/>
          <w:sz w:val="24"/>
          <w:szCs w:val="24"/>
        </w:rPr>
        <w:t>{EN}</w:t>
      </w:r>
      <w:r w:rsidRPr="002D433B">
        <w:rPr>
          <w:sz w:val="24"/>
          <w:szCs w:val="24"/>
        </w:rPr>
        <w:t>en</w:t>
      </w:r>
      <w:r w:rsidRPr="002D433B">
        <w:rPr>
          <w:rStyle w:val="HideTWBExt"/>
        </w:rPr>
        <w:t>&lt;/Original&gt;</w:t>
      </w:r>
    </w:p>
    <w:p w:rsidR="00932D06" w:rsidRPr="002D433B" w:rsidRDefault="002D433B" w:rsidP="00932D06">
      <w:pPr>
        <w:rPr>
          <w:szCs w:val="24"/>
        </w:rPr>
      </w:pPr>
      <w:r w:rsidRPr="002D433B">
        <w:rPr>
          <w:rStyle w:val="HideTWBExt"/>
        </w:rPr>
        <w:t>&lt;/Amend&gt;</w:t>
      </w:r>
    </w:p>
    <w:p w:rsidR="00932D06" w:rsidRPr="002D433B" w:rsidRDefault="002D433B" w:rsidP="00932D06">
      <w:pPr>
        <w:pStyle w:val="AMNumberTabs0"/>
        <w:keepNext/>
      </w:pPr>
      <w:r w:rsidRPr="002D433B">
        <w:rPr>
          <w:rStyle w:val="HideTWBExt"/>
          <w:b w:val="0"/>
        </w:rPr>
        <w:t>&lt;Amend&gt;</w:t>
      </w:r>
      <w:r w:rsidRPr="002D433B">
        <w:t>Tarkistus</w:t>
      </w:r>
      <w:r w:rsidRPr="002D433B">
        <w:tab/>
      </w:r>
      <w:r w:rsidRPr="002D433B">
        <w:tab/>
      </w:r>
      <w:r w:rsidRPr="002D433B">
        <w:rPr>
          <w:rStyle w:val="HideTWBExt"/>
          <w:b w:val="0"/>
        </w:rPr>
        <w:t>&lt;NumAm&gt;</w:t>
      </w:r>
      <w:r w:rsidRPr="002D433B">
        <w:t>18</w:t>
      </w:r>
      <w:r w:rsidRPr="002D433B">
        <w:rPr>
          <w:rStyle w:val="HideTWBExt"/>
          <w:b w:val="0"/>
        </w:rPr>
        <w:t>&lt;/NumAm&gt;</w:t>
      </w:r>
    </w:p>
    <w:p w:rsidR="00932D06" w:rsidRPr="002D433B" w:rsidRDefault="002D433B" w:rsidP="00932D06">
      <w:pPr>
        <w:pStyle w:val="NormalBold12b"/>
        <w:keepNext/>
      </w:pPr>
      <w:r w:rsidRPr="002D433B">
        <w:rPr>
          <w:rStyle w:val="HideTWBExt"/>
          <w:b w:val="0"/>
        </w:rPr>
        <w:t>&lt;DocAmend&gt;</w:t>
      </w:r>
      <w:r w:rsidRPr="002D433B">
        <w:t>Ehdotus direktiiviksi</w:t>
      </w:r>
      <w:r w:rsidRPr="002D433B">
        <w:rPr>
          <w:rStyle w:val="HideTWBExt"/>
          <w:b w:val="0"/>
        </w:rPr>
        <w:t>&lt;/DocAmend&gt;</w:t>
      </w:r>
    </w:p>
    <w:p w:rsidR="00932D06" w:rsidRPr="002D433B" w:rsidRDefault="002D433B" w:rsidP="00932D06">
      <w:pPr>
        <w:pStyle w:val="NormalBold"/>
      </w:pPr>
      <w:r w:rsidRPr="002D433B">
        <w:rPr>
          <w:rStyle w:val="HideTWBExt"/>
          <w:b w:val="0"/>
        </w:rPr>
        <w:t>&lt;Article&gt;</w:t>
      </w:r>
      <w:r w:rsidRPr="002D433B">
        <w:t>2 artikla – 1 kohta – 3 alakohta – a alakohta</w:t>
      </w:r>
      <w:r w:rsidRPr="002D433B">
        <w:rPr>
          <w:rStyle w:val="HideTWBExt"/>
          <w:b w:val="0"/>
        </w:rPr>
        <w:t>&lt;/Article&gt;</w:t>
      </w:r>
    </w:p>
    <w:p w:rsidR="00932D06" w:rsidRPr="002D433B" w:rsidRDefault="002D433B" w:rsidP="00932D06">
      <w:pPr>
        <w:keepNext/>
      </w:pPr>
      <w:r w:rsidRPr="002D433B">
        <w:rPr>
          <w:rStyle w:val="HideTWBExt"/>
        </w:rPr>
        <w:t>&lt;DocAmend2&gt;</w:t>
      </w:r>
      <w:r w:rsidRPr="002D433B">
        <w:t>Asetus (EU) N:o 806/2014</w:t>
      </w:r>
      <w:r w:rsidRPr="002D433B">
        <w:rPr>
          <w:rStyle w:val="HideTWBExt"/>
        </w:rPr>
        <w:t>&lt;/DocAmend2&gt;</w:t>
      </w:r>
    </w:p>
    <w:p w:rsidR="00932D06" w:rsidRPr="002D433B" w:rsidRDefault="002D433B" w:rsidP="00932D06">
      <w:r w:rsidRPr="002D433B">
        <w:rPr>
          <w:rStyle w:val="HideTWBExt"/>
        </w:rPr>
        <w:t>&lt;Article2&gt;</w:t>
      </w:r>
      <w:r w:rsidRPr="002D433B">
        <w:t>12 g artikla – 1 kohta – 3 a alakohta – b alakohta</w:t>
      </w:r>
      <w:r w:rsidRPr="002D433B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94E1F" w:rsidRPr="002D433B" w:rsidTr="00932D06">
        <w:trPr>
          <w:jc w:val="center"/>
        </w:trPr>
        <w:tc>
          <w:tcPr>
            <w:tcW w:w="9752" w:type="dxa"/>
            <w:gridSpan w:val="2"/>
          </w:tcPr>
          <w:p w:rsidR="00932D06" w:rsidRPr="002D433B" w:rsidRDefault="00932D06">
            <w:pPr>
              <w:keepNext/>
            </w:pPr>
          </w:p>
        </w:tc>
      </w:tr>
      <w:tr w:rsidR="00E94E1F" w:rsidRPr="002D433B" w:rsidTr="00932D06">
        <w:trPr>
          <w:jc w:val="center"/>
        </w:trPr>
        <w:tc>
          <w:tcPr>
            <w:tcW w:w="4876" w:type="dxa"/>
            <w:hideMark/>
          </w:tcPr>
          <w:p w:rsidR="00932D06" w:rsidRPr="002D433B" w:rsidRDefault="002D433B">
            <w:pPr>
              <w:pStyle w:val="ColumnHeading"/>
              <w:keepNext/>
            </w:pPr>
            <w:r w:rsidRPr="002D433B">
              <w:t>Komission teksti</w:t>
            </w:r>
          </w:p>
        </w:tc>
        <w:tc>
          <w:tcPr>
            <w:tcW w:w="4876" w:type="dxa"/>
            <w:hideMark/>
          </w:tcPr>
          <w:p w:rsidR="00932D06" w:rsidRPr="002D433B" w:rsidRDefault="002D433B">
            <w:pPr>
              <w:pStyle w:val="ColumnHeading"/>
              <w:keepNext/>
            </w:pPr>
            <w:r w:rsidRPr="002D433B">
              <w:t>Tarkistus</w:t>
            </w:r>
          </w:p>
        </w:tc>
      </w:tr>
      <w:tr w:rsidR="00E94E1F" w:rsidRPr="002D433B" w:rsidTr="00932D06">
        <w:trPr>
          <w:jc w:val="center"/>
        </w:trPr>
        <w:tc>
          <w:tcPr>
            <w:tcW w:w="4876" w:type="dxa"/>
            <w:hideMark/>
          </w:tcPr>
          <w:p w:rsidR="00932D06" w:rsidRPr="002D433B" w:rsidRDefault="002D433B">
            <w:pPr>
              <w:pStyle w:val="Normal6"/>
            </w:pPr>
            <w:r w:rsidRPr="002D433B">
              <w:t>b)</w:t>
            </w:r>
            <w:r w:rsidRPr="002D433B">
              <w:tab/>
              <w:t xml:space="preserve">12 d artiklassa säädetyn vaatimuksen noudattamisesta konsolidoinnin perusteella ei aiheudu </w:t>
            </w:r>
            <w:r w:rsidRPr="002D433B">
              <w:rPr>
                <w:b/>
                <w:i/>
              </w:rPr>
              <w:t xml:space="preserve">merkittäviä </w:t>
            </w:r>
            <w:r w:rsidRPr="002D433B">
              <w:t>kielteisiä vaikutuksia kriisinratkaisun kohteena olevan ko</w:t>
            </w:r>
            <w:r w:rsidRPr="002D433B">
              <w:t>nsernin purkamismahdollisuuteen tai asianomaisen laitoksen tai tytäryrityksen tai muiden kriisinratkaisun kohteena olevaan konserniin kuuluvien yhteisöjen kyseeseen tulevien pääomainstrumenttien ja hyväksyttävien velkojen 21 artiklassa tarkoitettuun alaski</w:t>
            </w:r>
            <w:r w:rsidRPr="002D433B">
              <w:t>rjaukseen tai muuntamiseen.”</w:t>
            </w:r>
          </w:p>
        </w:tc>
        <w:tc>
          <w:tcPr>
            <w:tcW w:w="4876" w:type="dxa"/>
            <w:hideMark/>
          </w:tcPr>
          <w:p w:rsidR="00932D06" w:rsidRPr="002D433B" w:rsidRDefault="002D433B">
            <w:pPr>
              <w:pStyle w:val="Normal6"/>
              <w:rPr>
                <w:szCs w:val="24"/>
              </w:rPr>
            </w:pPr>
            <w:r w:rsidRPr="002D433B">
              <w:t>b)</w:t>
            </w:r>
            <w:r w:rsidRPr="002D433B">
              <w:tab/>
              <w:t>12 d artiklassa säädetyn vaatimuksen noudattamisesta konsolidoinnin perusteella ei aiheudu kielteisiä vaikutuksia kriisinratkaisun kohteena olevan konsernin purkamismahdollisuuteen tai asianomaisen laitoksen tai tytäryrityks</w:t>
            </w:r>
            <w:r w:rsidRPr="002D433B">
              <w:t>en tai muiden kriisinratkaisun kohteena olevaan konserniin kuuluvien yhteisöjen kyseeseen tulevien pääomainstrumenttien ja hyväksyttävien velkojen 21 artiklassa tarkoitettuun alaskirjaukseen tai muuntamiseen.”</w:t>
            </w:r>
          </w:p>
        </w:tc>
      </w:tr>
    </w:tbl>
    <w:p w:rsidR="00932D06" w:rsidRPr="002D433B" w:rsidRDefault="002D433B" w:rsidP="00932D06">
      <w:pPr>
        <w:pStyle w:val="Olang"/>
        <w:rPr>
          <w:sz w:val="24"/>
          <w:szCs w:val="24"/>
        </w:rPr>
      </w:pPr>
      <w:r w:rsidRPr="002D433B">
        <w:rPr>
          <w:sz w:val="24"/>
          <w:szCs w:val="24"/>
        </w:rPr>
        <w:t xml:space="preserve">Or. </w:t>
      </w:r>
      <w:r w:rsidRPr="002D433B">
        <w:rPr>
          <w:rStyle w:val="HideTWBExt"/>
        </w:rPr>
        <w:t>&lt;Original&gt;</w:t>
      </w:r>
      <w:r w:rsidRPr="002D433B">
        <w:rPr>
          <w:rStyle w:val="HideTWBInt"/>
          <w:sz w:val="24"/>
          <w:szCs w:val="24"/>
        </w:rPr>
        <w:t>{EN}</w:t>
      </w:r>
      <w:r w:rsidRPr="002D433B">
        <w:rPr>
          <w:sz w:val="24"/>
          <w:szCs w:val="24"/>
        </w:rPr>
        <w:t>en</w:t>
      </w:r>
      <w:r w:rsidRPr="002D433B">
        <w:rPr>
          <w:rStyle w:val="HideTWBExt"/>
        </w:rPr>
        <w:t>&lt;/Original&gt;</w:t>
      </w:r>
    </w:p>
    <w:p w:rsidR="00932D06" w:rsidRPr="002D433B" w:rsidRDefault="002D433B" w:rsidP="00932D06">
      <w:pPr>
        <w:rPr>
          <w:szCs w:val="24"/>
        </w:rPr>
      </w:pPr>
      <w:r w:rsidRPr="002D433B">
        <w:rPr>
          <w:rStyle w:val="HideTWBExt"/>
        </w:rPr>
        <w:t>&lt;/Amend&gt;</w:t>
      </w:r>
    </w:p>
    <w:p w:rsidR="00932D06" w:rsidRPr="002D433B" w:rsidRDefault="002D433B" w:rsidP="00932D06">
      <w:pPr>
        <w:pStyle w:val="AMNumberTabs0"/>
        <w:keepNext/>
      </w:pPr>
      <w:r w:rsidRPr="002D433B">
        <w:rPr>
          <w:rStyle w:val="HideTWBExt"/>
          <w:b w:val="0"/>
        </w:rPr>
        <w:t>&lt;Amend&gt;</w:t>
      </w:r>
      <w:r w:rsidRPr="002D433B">
        <w:t>Tarkistus</w:t>
      </w:r>
      <w:r w:rsidRPr="002D433B">
        <w:tab/>
      </w:r>
      <w:r w:rsidRPr="002D433B">
        <w:tab/>
      </w:r>
      <w:r w:rsidRPr="002D433B">
        <w:rPr>
          <w:rStyle w:val="HideTWBExt"/>
          <w:b w:val="0"/>
        </w:rPr>
        <w:t>&lt;NumAm&gt;</w:t>
      </w:r>
      <w:r w:rsidRPr="002D433B">
        <w:t>19</w:t>
      </w:r>
      <w:r w:rsidRPr="002D433B">
        <w:rPr>
          <w:rStyle w:val="HideTWBExt"/>
          <w:b w:val="0"/>
        </w:rPr>
        <w:t>&lt;/NumAm&gt;</w:t>
      </w:r>
    </w:p>
    <w:p w:rsidR="00932D06" w:rsidRPr="002D433B" w:rsidRDefault="002D433B" w:rsidP="00932D06">
      <w:pPr>
        <w:pStyle w:val="NormalBold12b"/>
        <w:keepNext/>
      </w:pPr>
      <w:r w:rsidRPr="002D433B">
        <w:rPr>
          <w:rStyle w:val="HideTWBExt"/>
          <w:b w:val="0"/>
        </w:rPr>
        <w:t>&lt;DocAmend&gt;</w:t>
      </w:r>
      <w:r w:rsidRPr="002D433B">
        <w:t>Ehdotus direktiiviksi</w:t>
      </w:r>
      <w:r w:rsidRPr="002D433B">
        <w:rPr>
          <w:rStyle w:val="HideTWBExt"/>
          <w:b w:val="0"/>
        </w:rPr>
        <w:t>&lt;/DocAmend&gt;</w:t>
      </w:r>
    </w:p>
    <w:p w:rsidR="00932D06" w:rsidRPr="002D433B" w:rsidRDefault="002D433B" w:rsidP="00932D06">
      <w:pPr>
        <w:pStyle w:val="NormalBold"/>
      </w:pPr>
      <w:r w:rsidRPr="002D433B">
        <w:rPr>
          <w:rStyle w:val="HideTWBExt"/>
          <w:b w:val="0"/>
        </w:rPr>
        <w:t>&lt;Article&gt;</w:t>
      </w:r>
      <w:r w:rsidRPr="002D433B">
        <w:t>2 artikla – 1 kohta – 3 alakohta – b alakohta</w:t>
      </w:r>
      <w:r w:rsidRPr="002D433B">
        <w:rPr>
          <w:rStyle w:val="HideTWBExt"/>
          <w:b w:val="0"/>
        </w:rPr>
        <w:t>&lt;/Article&gt;</w:t>
      </w:r>
    </w:p>
    <w:p w:rsidR="00932D06" w:rsidRPr="002D433B" w:rsidRDefault="002D433B" w:rsidP="00932D06">
      <w:pPr>
        <w:keepNext/>
      </w:pPr>
      <w:r w:rsidRPr="002D433B">
        <w:rPr>
          <w:rStyle w:val="HideTWBExt"/>
        </w:rPr>
        <w:t>&lt;DocAmend2&gt;</w:t>
      </w:r>
      <w:r w:rsidRPr="002D433B">
        <w:t>Asetus (EU) N:o 806/2014</w:t>
      </w:r>
      <w:r w:rsidRPr="002D433B">
        <w:rPr>
          <w:rStyle w:val="HideTWBExt"/>
        </w:rPr>
        <w:t>&lt;/DocAmend2&gt;</w:t>
      </w:r>
    </w:p>
    <w:p w:rsidR="00932D06" w:rsidRPr="002D433B" w:rsidRDefault="002D433B" w:rsidP="00932D06">
      <w:r w:rsidRPr="002D433B">
        <w:rPr>
          <w:rStyle w:val="HideTWBExt"/>
        </w:rPr>
        <w:t>&lt;Article2&gt;</w:t>
      </w:r>
      <w:r w:rsidRPr="002D433B">
        <w:t>12 g artikla – 2 a kohta – 2 alakohta – johdantokappale</w:t>
      </w:r>
      <w:r w:rsidRPr="002D433B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94E1F" w:rsidRPr="002D433B" w:rsidTr="00932D06">
        <w:trPr>
          <w:jc w:val="center"/>
        </w:trPr>
        <w:tc>
          <w:tcPr>
            <w:tcW w:w="9752" w:type="dxa"/>
            <w:gridSpan w:val="2"/>
          </w:tcPr>
          <w:p w:rsidR="00932D06" w:rsidRPr="002D433B" w:rsidRDefault="00932D06">
            <w:pPr>
              <w:keepNext/>
            </w:pPr>
          </w:p>
        </w:tc>
      </w:tr>
      <w:tr w:rsidR="00E94E1F" w:rsidRPr="002D433B" w:rsidTr="00932D06">
        <w:trPr>
          <w:jc w:val="center"/>
        </w:trPr>
        <w:tc>
          <w:tcPr>
            <w:tcW w:w="4876" w:type="dxa"/>
            <w:hideMark/>
          </w:tcPr>
          <w:p w:rsidR="00932D06" w:rsidRPr="002D433B" w:rsidRDefault="002D433B">
            <w:pPr>
              <w:pStyle w:val="ColumnHeading"/>
              <w:keepNext/>
            </w:pPr>
            <w:r w:rsidRPr="002D433B">
              <w:t>Komission teksti</w:t>
            </w:r>
          </w:p>
        </w:tc>
        <w:tc>
          <w:tcPr>
            <w:tcW w:w="4876" w:type="dxa"/>
            <w:hideMark/>
          </w:tcPr>
          <w:p w:rsidR="00932D06" w:rsidRPr="002D433B" w:rsidRDefault="002D433B">
            <w:pPr>
              <w:pStyle w:val="ColumnHeading"/>
              <w:keepNext/>
            </w:pPr>
            <w:r w:rsidRPr="002D433B">
              <w:t>Tarkistus</w:t>
            </w:r>
          </w:p>
        </w:tc>
      </w:tr>
      <w:tr w:rsidR="00E94E1F" w:rsidRPr="002D433B" w:rsidTr="00932D06">
        <w:trPr>
          <w:jc w:val="center"/>
        </w:trPr>
        <w:tc>
          <w:tcPr>
            <w:tcW w:w="4876" w:type="dxa"/>
            <w:hideMark/>
          </w:tcPr>
          <w:p w:rsidR="00932D06" w:rsidRPr="002D433B" w:rsidRDefault="002D433B">
            <w:pPr>
              <w:pStyle w:val="Normal6"/>
            </w:pPr>
            <w:r w:rsidRPr="002D433B">
              <w:t xml:space="preserve">Ensimmäisen alakohdan a ja b alakohdassa tarkoitetut velat eivät saa ylittää määrää, joka saadaan vähentämällä konsolidoinnin piiriin kuuluvaan tytäryritykseen sovellettavan </w:t>
            </w:r>
            <w:r w:rsidRPr="002D433B">
              <w:rPr>
                <w:b/>
                <w:i/>
              </w:rPr>
              <w:t>45</w:t>
            </w:r>
            <w:r w:rsidRPr="002D433B">
              <w:t> artiklan 1 kohdassa tarkoitetun vaatimuksen määrästä seuraavien tekijöiden summ</w:t>
            </w:r>
            <w:r w:rsidRPr="002D433B">
              <w:t>a:</w:t>
            </w:r>
          </w:p>
        </w:tc>
        <w:tc>
          <w:tcPr>
            <w:tcW w:w="4876" w:type="dxa"/>
            <w:hideMark/>
          </w:tcPr>
          <w:p w:rsidR="00932D06" w:rsidRPr="002D433B" w:rsidRDefault="002D433B">
            <w:pPr>
              <w:pStyle w:val="Normal6"/>
              <w:rPr>
                <w:szCs w:val="24"/>
              </w:rPr>
            </w:pPr>
            <w:r w:rsidRPr="002D433B">
              <w:t xml:space="preserve">Ensimmäisen alakohdan a ja b alakohdassa tarkoitetut velat eivät saa ylittää määrää, joka saadaan vähentämällä konsolidoinnin piiriin kuuluvaan tytäryritykseen sovellettavan </w:t>
            </w:r>
            <w:r w:rsidRPr="002D433B">
              <w:rPr>
                <w:b/>
                <w:i/>
              </w:rPr>
              <w:t>12</w:t>
            </w:r>
            <w:r w:rsidRPr="002D433B">
              <w:t> artiklan 1 kohdassa tarkoitetun vaatimuksen määrästä seuraavien tekijöiden s</w:t>
            </w:r>
            <w:r w:rsidRPr="002D433B">
              <w:t>umma:</w:t>
            </w:r>
          </w:p>
        </w:tc>
      </w:tr>
    </w:tbl>
    <w:p w:rsidR="00932D06" w:rsidRPr="002D433B" w:rsidRDefault="002D433B" w:rsidP="00932D06">
      <w:pPr>
        <w:pStyle w:val="Olang"/>
        <w:rPr>
          <w:sz w:val="24"/>
          <w:szCs w:val="24"/>
        </w:rPr>
      </w:pPr>
      <w:r w:rsidRPr="002D433B">
        <w:rPr>
          <w:sz w:val="24"/>
          <w:szCs w:val="24"/>
        </w:rPr>
        <w:t xml:space="preserve">Or. </w:t>
      </w:r>
      <w:r w:rsidRPr="002D433B">
        <w:rPr>
          <w:rStyle w:val="HideTWBExt"/>
        </w:rPr>
        <w:t>&lt;Original&gt;</w:t>
      </w:r>
      <w:r w:rsidRPr="002D433B">
        <w:rPr>
          <w:rStyle w:val="HideTWBInt"/>
          <w:sz w:val="24"/>
          <w:szCs w:val="24"/>
        </w:rPr>
        <w:t>{EN}</w:t>
      </w:r>
      <w:r w:rsidRPr="002D433B">
        <w:rPr>
          <w:sz w:val="24"/>
          <w:szCs w:val="24"/>
        </w:rPr>
        <w:t>en</w:t>
      </w:r>
      <w:r w:rsidRPr="002D433B">
        <w:rPr>
          <w:rStyle w:val="HideTWBExt"/>
        </w:rPr>
        <w:t>&lt;/Original&gt;</w:t>
      </w:r>
    </w:p>
    <w:p w:rsidR="00467F7B" w:rsidRPr="002D433B" w:rsidRDefault="002D433B" w:rsidP="00467F7B">
      <w:r w:rsidRPr="002D433B">
        <w:rPr>
          <w:rStyle w:val="HideTWBExt"/>
        </w:rPr>
        <w:t>&lt;/Amend&gt;</w:t>
      </w:r>
    </w:p>
    <w:p w:rsidR="002669B6" w:rsidRPr="002D433B" w:rsidRDefault="002D433B" w:rsidP="002669B6">
      <w:r w:rsidRPr="002D433B">
        <w:rPr>
          <w:rStyle w:val="HideTWBExt"/>
        </w:rPr>
        <w:t>&lt;/RepeatBlock-Amend&gt;</w:t>
      </w:r>
    </w:p>
    <w:p w:rsidR="002669B6" w:rsidRPr="002D433B" w:rsidRDefault="002669B6" w:rsidP="002669B6"/>
    <w:sectPr w:rsidR="002669B6" w:rsidRPr="002D433B" w:rsidSect="002D433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2D433B">
      <w:r>
        <w:separator/>
      </w:r>
    </w:p>
  </w:endnote>
  <w:endnote w:type="continuationSeparator" w:id="0">
    <w:p w:rsidR="00000000" w:rsidRDefault="002D43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433B" w:rsidRPr="002D433B" w:rsidRDefault="002D433B" w:rsidP="002D433B">
    <w:pPr>
      <w:pStyle w:val="EPFooter"/>
      <w:rPr>
        <w:lang w:val="fr-FR"/>
      </w:rPr>
    </w:pPr>
    <w:r w:rsidRPr="002D433B">
      <w:rPr>
        <w:lang w:val="fr-FR"/>
      </w:rPr>
      <w:t>PE</w:t>
    </w:r>
    <w:r w:rsidRPr="002D433B">
      <w:rPr>
        <w:rStyle w:val="HideTWBExt"/>
        <w:lang w:val="fr-FR"/>
      </w:rPr>
      <w:t>&lt;NoPE&gt;</w:t>
    </w:r>
    <w:r w:rsidRPr="002D433B">
      <w:rPr>
        <w:lang w:val="fr-FR"/>
      </w:rPr>
      <w:t>752.913</w:t>
    </w:r>
    <w:r w:rsidRPr="002D433B">
      <w:rPr>
        <w:rStyle w:val="HideTWBExt"/>
        <w:lang w:val="fr-FR"/>
      </w:rPr>
      <w:t>&lt;/NoPE&gt;&lt;Version&gt;</w:t>
    </w:r>
    <w:r w:rsidRPr="002D433B">
      <w:rPr>
        <w:lang w:val="fr-FR"/>
      </w:rPr>
      <w:t>v01-00</w:t>
    </w:r>
    <w:r w:rsidRPr="002D433B">
      <w:rPr>
        <w:rStyle w:val="HideTWBExt"/>
        <w:lang w:val="fr-FR"/>
      </w:rPr>
      <w:t>&lt;/Version&gt;</w:t>
    </w:r>
    <w:r w:rsidRPr="002D433B">
      <w:rPr>
        <w:lang w:val="fr-FR"/>
      </w:rPr>
      <w:tab/>
    </w:r>
    <w:r>
      <w:fldChar w:fldCharType="begin"/>
    </w:r>
    <w:r w:rsidRPr="002D433B">
      <w:rPr>
        <w:lang w:val="fr-FR"/>
      </w:rPr>
      <w:instrText xml:space="preserve"> PAGE  \* MERGEFORMAT </w:instrText>
    </w:r>
    <w:r>
      <w:fldChar w:fldCharType="separate"/>
    </w:r>
    <w:r>
      <w:rPr>
        <w:noProof/>
        <w:lang w:val="fr-FR"/>
      </w:rPr>
      <w:t>2</w:t>
    </w:r>
    <w:r>
      <w:fldChar w:fldCharType="end"/>
    </w:r>
    <w:r w:rsidRPr="002D433B">
      <w:rPr>
        <w:lang w:val="fr-FR"/>
      </w:rPr>
      <w:t>/</w:t>
    </w:r>
    <w:r>
      <w:fldChar w:fldCharType="begin"/>
    </w:r>
    <w:r w:rsidRPr="002D433B">
      <w:rPr>
        <w:lang w:val="fr-FR"/>
      </w:rPr>
      <w:instrText xml:space="preserve"> NUMPAGES  \* MERGEFORMAT </w:instrText>
    </w:r>
    <w:r>
      <w:fldChar w:fldCharType="separate"/>
    </w:r>
    <w:r>
      <w:rPr>
        <w:noProof/>
        <w:lang w:val="fr-FR"/>
      </w:rPr>
      <w:t>21</w:t>
    </w:r>
    <w:r>
      <w:fldChar w:fldCharType="end"/>
    </w:r>
    <w:r w:rsidRPr="002D433B">
      <w:rPr>
        <w:lang w:val="fr-FR"/>
      </w:rPr>
      <w:tab/>
    </w:r>
    <w:r w:rsidRPr="002D433B">
      <w:rPr>
        <w:rStyle w:val="HideTWBExt"/>
        <w:lang w:val="fr-FR"/>
      </w:rPr>
      <w:t>&lt;PathFdR&gt;</w:t>
    </w:r>
    <w:r w:rsidRPr="002D433B">
      <w:rPr>
        <w:lang w:val="fr-FR"/>
      </w:rPr>
      <w:t>PR\1285454FI.docx</w:t>
    </w:r>
    <w:r w:rsidRPr="002D433B">
      <w:rPr>
        <w:rStyle w:val="HideTWBExt"/>
        <w:lang w:val="fr-FR"/>
      </w:rPr>
      <w:t>&lt;/PathFdR&gt;</w:t>
    </w:r>
  </w:p>
  <w:p w:rsidR="0048211B" w:rsidRPr="0046639E" w:rsidRDefault="002D433B" w:rsidP="002D433B">
    <w:pPr>
      <w:pStyle w:val="EPFooter2"/>
    </w:pPr>
    <w:r>
      <w:t>FI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433B" w:rsidRDefault="002D433B" w:rsidP="002D433B">
    <w:pPr>
      <w:pStyle w:val="EPFooter"/>
    </w:pPr>
    <w:r w:rsidRPr="002D433B">
      <w:rPr>
        <w:rStyle w:val="HideTWBExt"/>
      </w:rPr>
      <w:t>&lt;PathFdR&gt;</w:t>
    </w:r>
    <w:r>
      <w:t>PR\1285454FI.docx</w:t>
    </w:r>
    <w:r w:rsidRPr="002D433B">
      <w:rPr>
        <w:rStyle w:val="HideTWBExt"/>
      </w:rPr>
      <w:t>&lt;/PathFdR&gt;</w:t>
    </w:r>
    <w:r>
      <w:tab/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21</w:t>
    </w:r>
    <w:r>
      <w:fldChar w:fldCharType="end"/>
    </w:r>
    <w:r>
      <w:t>/</w:t>
    </w:r>
    <w:r>
      <w:fldChar w:fldCharType="begin"/>
    </w:r>
    <w:r>
      <w:instrText xml:space="preserve"> NUMPAGES  \* MERGEFORMAT </w:instrText>
    </w:r>
    <w:r>
      <w:fldChar w:fldCharType="separate"/>
    </w:r>
    <w:r>
      <w:rPr>
        <w:noProof/>
      </w:rPr>
      <w:t>21</w:t>
    </w:r>
    <w:r>
      <w:fldChar w:fldCharType="end"/>
    </w:r>
    <w:r>
      <w:tab/>
      <w:t>PE</w:t>
    </w:r>
    <w:r w:rsidRPr="002D433B">
      <w:rPr>
        <w:rStyle w:val="HideTWBExt"/>
      </w:rPr>
      <w:t>&lt;NoPE&gt;</w:t>
    </w:r>
    <w:r>
      <w:t>752.913</w:t>
    </w:r>
    <w:r w:rsidRPr="002D433B">
      <w:rPr>
        <w:rStyle w:val="HideTWBExt"/>
      </w:rPr>
      <w:t>&lt;/NoPE&gt;&lt;Version&gt;</w:t>
    </w:r>
    <w:r>
      <w:t>v01-00</w:t>
    </w:r>
    <w:r w:rsidRPr="002D433B">
      <w:rPr>
        <w:rStyle w:val="HideTWBExt"/>
      </w:rPr>
      <w:t>&lt;/Version&gt;</w:t>
    </w:r>
  </w:p>
  <w:p w:rsidR="0048211B" w:rsidRPr="0046639E" w:rsidRDefault="002D433B" w:rsidP="002D433B">
    <w:pPr>
      <w:pStyle w:val="EPFooter2"/>
    </w:pPr>
    <w:r>
      <w:tab/>
    </w:r>
    <w:r>
      <w:tab/>
      <w:t>FI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433B" w:rsidRDefault="002D433B" w:rsidP="002D433B">
    <w:pPr>
      <w:pStyle w:val="EPFooter"/>
    </w:pPr>
    <w:r w:rsidRPr="002D433B">
      <w:rPr>
        <w:rStyle w:val="HideTWBExt"/>
      </w:rPr>
      <w:t>&lt;PathFdR&gt;</w:t>
    </w:r>
    <w:r>
      <w:t>PR\1285454FI.docx</w:t>
    </w:r>
    <w:r w:rsidRPr="002D433B">
      <w:rPr>
        <w:rStyle w:val="HideTWBExt"/>
      </w:rPr>
      <w:t>&lt;/PathFdR&gt;</w:t>
    </w:r>
    <w:r>
      <w:tab/>
    </w:r>
    <w:r>
      <w:tab/>
      <w:t>PE</w:t>
    </w:r>
    <w:r w:rsidRPr="002D433B">
      <w:rPr>
        <w:rStyle w:val="HideTWBExt"/>
      </w:rPr>
      <w:t>&lt;NoPE&gt;</w:t>
    </w:r>
    <w:r>
      <w:t>752.913</w:t>
    </w:r>
    <w:r w:rsidRPr="002D433B">
      <w:rPr>
        <w:rStyle w:val="HideTWBExt"/>
      </w:rPr>
      <w:t>&lt;/NoPE&gt;&lt;Version&gt;</w:t>
    </w:r>
    <w:r>
      <w:t>v01-00</w:t>
    </w:r>
    <w:r w:rsidRPr="002D433B">
      <w:rPr>
        <w:rStyle w:val="HideTWBExt"/>
      </w:rPr>
      <w:t>&lt;/Version&gt;</w:t>
    </w:r>
  </w:p>
  <w:p w:rsidR="0048211B" w:rsidRPr="0046639E" w:rsidRDefault="002D433B" w:rsidP="002D433B">
    <w:pPr>
      <w:pStyle w:val="EPFooter2"/>
    </w:pPr>
    <w:r>
      <w:t>FI</w:t>
    </w:r>
    <w:r>
      <w:tab/>
    </w:r>
    <w:r w:rsidRPr="002D433B">
      <w:rPr>
        <w:b w:val="0"/>
        <w:i/>
        <w:color w:val="C0C0C0"/>
        <w:sz w:val="22"/>
      </w:rPr>
      <w:t>Moninaisuudessaan yhtenäinen</w:t>
    </w:r>
    <w:r>
      <w:tab/>
      <w:t>FI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211B" w:rsidRPr="0046639E" w:rsidRDefault="002D433B">
      <w:r w:rsidRPr="0046639E">
        <w:separator/>
      </w:r>
    </w:p>
  </w:footnote>
  <w:footnote w:type="continuationSeparator" w:id="0">
    <w:p w:rsidR="0048211B" w:rsidRPr="0046639E" w:rsidRDefault="002D433B">
      <w:r w:rsidRPr="0046639E">
        <w:continuationSeparator/>
      </w:r>
    </w:p>
  </w:footnote>
  <w:footnote w:id="1">
    <w:p w:rsidR="0048211B" w:rsidRPr="0046639E" w:rsidRDefault="002D433B">
      <w:pPr>
        <w:pStyle w:val="FootnoteText"/>
        <w:rPr>
          <w:sz w:val="24"/>
          <w:szCs w:val="24"/>
        </w:rPr>
      </w:pPr>
      <w:r>
        <w:rPr>
          <w:rStyle w:val="FootnoteReference"/>
          <w:sz w:val="24"/>
          <w:szCs w:val="24"/>
        </w:rPr>
        <w:footnoteRef/>
      </w:r>
      <w:r>
        <w:rPr>
          <w:sz w:val="24"/>
        </w:rPr>
        <w:t xml:space="preserve"> </w:t>
      </w:r>
      <w:r>
        <w:rPr>
          <w:sz w:val="24"/>
        </w:rPr>
        <w:tab/>
        <w:t>EUVL C 307, 31.8.2023, s. 19.</w:t>
      </w:r>
    </w:p>
  </w:footnote>
  <w:footnote w:id="2">
    <w:p w:rsidR="0048211B" w:rsidRPr="002D433B" w:rsidRDefault="002D433B">
      <w:pPr>
        <w:pStyle w:val="FootnoteText"/>
        <w:rPr>
          <w:sz w:val="24"/>
          <w:szCs w:val="24"/>
        </w:rPr>
      </w:pPr>
      <w:r>
        <w:rPr>
          <w:rStyle w:val="FootnoteReference"/>
          <w:sz w:val="24"/>
          <w:szCs w:val="24"/>
        </w:rPr>
        <w:footnoteRef/>
      </w:r>
      <w:r>
        <w:t xml:space="preserve"> </w:t>
      </w:r>
      <w:r>
        <w:tab/>
      </w:r>
      <w:r w:rsidRPr="002D433B">
        <w:rPr>
          <w:sz w:val="24"/>
          <w:szCs w:val="24"/>
        </w:rPr>
        <w:t>Ei vielä julkaistu virallisessa lehdessä.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211B" w:rsidRPr="0046639E" w:rsidRDefault="0048211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211B" w:rsidRPr="0046639E" w:rsidRDefault="0048211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211B" w:rsidRPr="0046639E" w:rsidRDefault="0048211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MACTMNU" w:val=" 2"/>
    <w:docVar w:name="CJMNU" w:val="1"/>
    <w:docVar w:name="COMKEY" w:val="ECON"/>
    <w:docVar w:name="CopyToNetwork" w:val="-1"/>
    <w:docVar w:name="CVar" w:val="2"/>
    <w:docVar w:name="DOCMNU" w:val=" 2"/>
    <w:docVar w:name="EPOJMNU" w:val=" 3"/>
    <w:docVar w:name="EPSTATMNU" w:val=" 1"/>
    <w:docVar w:name="EPSTATPLURMNU" w:val=" 1"/>
    <w:docVar w:name="iNoAmend" w:val="2"/>
    <w:docVar w:name="INSTITUTIONSMNU" w:val=" 1"/>
    <w:docVar w:name="JURI1MNU" w:val=" 2"/>
    <w:docVar w:name="JURI2MNU" w:val=" 2"/>
    <w:docVar w:name="LastEditedSection" w:val=" 1"/>
    <w:docVar w:name="ORLANGKEY" w:val="EN"/>
    <w:docVar w:name="ORLANGMNU" w:val=" 1"/>
    <w:docVar w:name="OTHERSTATMNU" w:val=" 4"/>
    <w:docVar w:name="PARLIAMENTSMNU" w:val=" 2"/>
    <w:docVar w:name="RECONSULTMNU" w:val=" 1"/>
    <w:docVar w:name="RepeatBlock-Amend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01\fbidi \froman\fcharset238\fprq2 Times New Roman CE;}{\f302\fbidi \froman\fcharset204\fprq2 Times New Roman Cyr;}_x000d__x000a_{\f304\fbidi \froman\fcharset161\fprq2 Times New Roman Greek;}{\f305\fbidi \froman\fcharset162\fprq2 Times New Roman Tur;}{\f306\fbidi \froman\fcharset177\fprq2 Times New Roman (Hebrew);}{\f307\fbidi \froman\fcharset178\fprq2 Times New Roman (Arabic);}_x000d__x000a_{\f308\fbidi \froman\fcharset186\fprq2 Times New Roman Baltic;}{\f309\fbidi \froman\fcharset163\fprq2 Times New Roman (Vietnamese);}{\f311\fbidi \fswiss\fcharset238\fprq2 Arial CE;}{\f312\fbidi \fswiss\fcharset204\fprq2 Arial Cyr;}_x000d__x000a_{\f314\fbidi \fswiss\fcharset161\fprq2 Arial Greek;}{\f315\fbidi \fswiss\fcharset162\fprq2 Arial Tur;}{\f316\fbidi \fswiss\fcharset177\fprq2 Arial (Hebrew);}{\f317\fbidi \fswiss\fcharset178\fprq2 Arial (Arabic);}_x000d__x000a_{\f318\fbidi \fswiss\fcharset186\fprq2 Arial Baltic;}{\f319\fbidi \fswiss\fcharset163\fprq2 Arial (Vietnamese);}{\f641\fbidi \froman\fcharset238\fprq2 Cambria Math CE;}{\f642\fbidi \froman\fcharset204\fprq2 Cambria Math Cyr;}_x000d__x000a_{\f644\fbidi \froman\fcharset161\fprq2 Cambria Math Greek;}{\f645\fbidi \froman\fcharset162\fprq2 Cambria Math Tur;}{\f648\fbidi \froman\fcharset186\fprq2 Cambria Math Baltic;}{\f649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6658872 HideTWBExt;}{\*\cs18 \additive \v\f1\fs20\cf15 _x000d__x000a_\spriority0 \styrsid16658872 HideTWBInt;}{\s19\ql \li0\ri0\sa120\nowidctlpar\wrapdefault\aspalpha\aspnum\faauto\adjustright\rin0\lin0\itap0 \rtlch\fcs1 \af0\afs20\alang1025 \ltrch\fcs0 \fs24\lang2057\langfe2057\cgrid\langnp2057\langfenp2057 _x000d__x000a_\sbasedon0 \snext19 \spriority0 \styrsid16658872 Normal6a;}{\s20\ql \li0\ri0\nowidctlpar\wrapdefault\aspalpha\aspnum\faauto\adjustright\rin0\lin0\itap0 \rtlch\fcs1 \af0\afs20\alang1025 \ltrch\fcs0 \b\fs24\lang2057\langfe2057\cgrid\langnp2057\langfenp2057 _x000d__x000a_\sbasedon0 \snext20 \spriority0 \styrsid16658872 NormalBold;}{\s21\ql \li0\ri0\sa240\nowidctlpar\wrapdefault\aspalpha\aspnum\faauto\adjustright\rin0\lin0\itap0 \rtlch\fcs1 \af0\afs20\alang1025 \ltrch\fcs0 _x000d__x000a_\i\fs24\lang2057\langfe2057\cgrid\langnp2057\langfenp2057 \sbasedon0 \snext21 \spriority0 \styrsid16658872 AmJustText;}{\s22\qc \li0\ri0\sb240\sa240\nowidctlpar\wrapdefault\aspalpha\aspnum\faauto\adjustright\rin0\lin0\itap0 \rtlch\fcs1 _x000d__x000a_\af0\afs20\alang1025 \ltrch\fcs0 \i\fs24\lang2057\langfe2057\cgrid\langnp2057\langfenp2057 \sbasedon0 \snext22 \spriority0 \styrsid16658872 AmCrossRef;}{_x000d__x000a_\s23\qc \li0\ri0\sb240\sa240\keepn\nowidctlpar\wrapdefault\aspalpha\aspnum\faauto\adjustright\rin0\lin0\itap0 \rtlch\fcs1 \af0\afs20\alang1025 \ltrch\fcs0 \i\fs24\lang2057\langfe2057\cgrid\langnp2057\langfenp2057 _x000d__x000a_\sbasedon0 \snext21 \spriority0 \styrsid16658872 AmJustTitle;}{\s24\qr \li0\ri0\sb240\sa240\nowidctlpar\wrapdefault\aspalpha\aspnum\faauto\adjustright\rin0\lin0\itap0 \rtlch\fcs1 \af0\afs20\alang1025 \ltrch\fcs0 _x000d__x000a_\fs24\lang2057\langfe2057\cgrid\langnp2057\langfenp2057 \sbasedon0 \snext24 \spriority0 \styrsid16658872 AmOrLang;}{\s25\qc \li0\ri0\sa240\nowidctlpar\wrapdefault\aspalpha\aspnum\faauto\adjustright\rin0\lin0\itap0 \rtlch\fcs1 \af0\afs20\alang1025 _x000d__x000a_\ltrch\fcs0 \i\fs24\lang2057\langfe2057\cgrid\langnp2057\langfenp2057 \sbasedon0 \snext25 \spriority0 \styrsid16658872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6 \spriority0 \styrsid16658872 AmNumberTabs;}{\s27\ql \li0\ri0\sb240\nowidctlpar\wrapdefault\aspalpha\aspnum\faauto\adjustright\rin0\lin0\itap0 \rtlch\fcs1 _x000d__x000a_\af0\afs20\alang1025 \ltrch\fcs0 \b\fs24\lang2057\langfe2057\cgrid\langnp2057\langfenp2057 \sbasedon0 \snext27 \spriority0 \styrsid16658872 NormalBold12b;}}{\*\rsidtbl \rsid24658\rsid223860\rsid735077\rsid1718133\rsid2892074\rsid3565327\rsid4666813_x000d__x000a_\rsid6641733\rsid7602181\rsid7823322\rsid9636012\rsid10377208\rsid11215221\rsid11549030\rsid12154954\rsid14382809\rsid14424199\rsid15204470\rsid15285974\rsid15950462\rsid16324206\rsid16658872\rsid16662270}{\mmathPr\mmathFont34\mbrkBin0\mbrkBinSub0_x000d__x000a_\msmallFrac0\mdispDef1\mlMargin0\mrMargin0\mdefJc1\mwrapIndent1440\mintLim0\mnaryLim1}{\info{\author TURLUI Emil-Gabriel}{\operator TURLUI Emil-Gabriel}{\creatim\yr2023\mo9\dy8\hr15\min57}{\revtim\yr2023\mo9\dy8\hr15\min57}{\version1}{\edmins0}_x000d__x000a_{\nofpages1}{\nofwords104}{\nofchars596}{\nofcharsws699}{\vern109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6658872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gturlui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7602181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7602181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7602181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7602181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16658872 \rtlch\fcs1 _x000d__x000a_\af0\afs20\alang1025 \ltrch\fcs0 \b\fs24\lang2057\langfe2057\cgrid\langnp2057\langfenp2057 {\rtlch\fcs1 \af0 \ltrch\fcs0 \cs17\b0\v\fs20\cf9\lang1024\langfe1024\loch\af1\hich\af1\dbch\af31501\noproof\insrsid16658872\charrsid6768093 {\*\bkmkstart restart}_x000d__x000a_\hich\af1\dbch\af31501\loch\f1 &lt;Amend&gt;}{\rtlch\fcs1 \af0 \ltrch\fcs0 \insrsid16658872\charrsid6768093 Amendment\tab \tab }{\rtlch\fcs1 \af0 \ltrch\fcs0 _x000d__x000a_\cs17\b0\v\fs20\cf9\lang1024\langfe1024\loch\af1\hich\af1\dbch\af31501\noproof\insrsid16658872\charrsid6768093 \hich\af1\dbch\af31501\loch\f1 &lt;NumAm&gt;}{\rtlch\fcs1 \af0 \ltrch\fcs0 \insrsid16658872\charrsid6768093 #}{\rtlch\fcs1 \af1 \ltrch\fcs0 _x000d__x000a_\cs18\v\f1\fs20\cf15\insrsid16658872\charrsid6768093 ENMIENDA@NRAM@}{\rtlch\fcs1 \af0 \ltrch\fcs0 \insrsid16658872\charrsid6768093 #}{\rtlch\fcs1 \af0 \ltrch\fcs0 _x000d__x000a_\cs17\b0\v\fs20\cf9\lang1024\langfe1024\loch\af1\hich\af1\dbch\af31501\noproof\insrsid16658872\charrsid6768093 \hich\af1\dbch\af31501\loch\f1 &lt;/NumAm&gt;}{\rtlch\fcs1 \af0 \ltrch\fcs0 \insrsid16658872\charrsid6768093 _x000d__x000a_\par }\pard\plain \ltrpar\s27\ql \li0\ri0\sb240\keepn\nowidctlpar\wrapdefault\aspalpha\aspnum\faauto\adjustright\rin0\lin0\itap0\pararsid16658872 \rtlch\fcs1 \af0\afs20\alang1025 \ltrch\fcs0 \b\fs24\lang2057\langfe2057\cgrid\langnp2057\langfenp2057 {_x000d__x000a_\rtlch\fcs1 \af0 \ltrch\fcs0 \cs17\b0\v\fs20\cf9\lang1024\langfe1024\loch\af1\hich\af1\dbch\af31501\noproof\insrsid16658872\charrsid6768093 \hich\af1\dbch\af31501\loch\f1 &lt;DocAmend&gt;}{\rtlch\fcs1 \af0 \ltrch\fcs0 \insrsid16658872\charrsid6768093 _x000d__x000a_Proposal for a #}{\rtlch\fcs1 \af1 \ltrch\fcs0 \cs18\v\f1\fs20\cf15\insrsid16658872\charrsid6768093 MNU[DOC1][DOC2][DOC3]@DOCMSG@DOCMNU}{\rtlch\fcs1 \af0 \ltrch\fcs0 \insrsid16658872\charrsid6768093 ##}{\rtlch\fcs1 \af1 \ltrch\fcs0 _x000d__x000a_\cs18\v\f1\fs20\cf15\insrsid16658872\charrsid6768093 MNU[AMACTYES][NOTAPP]@CHOICE@AMACTMNU}{\rtlch\fcs1 \af0 \ltrch\fcs0 \insrsid16658872\charrsid6768093 #}{\rtlch\fcs1 \af0 \ltrch\fcs0 _x000d__x000a_\cs17\b0\v\fs20\cf9\lang1024\langfe1024\loch\af1\hich\af1\dbch\af31501\noproof\insrsid16658872\charrsid6768093 \hich\af1\dbch\af31501\loch\f1 &lt;/DocAmend&gt;}{\rtlch\fcs1 \af0 \ltrch\fcs0 \insrsid16658872\charrsid6768093 _x000d__x000a_\par }\pard\plain \ltrpar\s20\ql \li0\ri0\keepn\nowidctlpar\wrapdefault\aspalpha\aspnum\faauto\adjustright\rin0\lin0\itap0\pararsid16658872 \rtlch\fcs1 \af0\afs20\alang1025 \ltrch\fcs0 \b\fs24\lang2057\langfe2057\cgrid\langnp2057\langfenp2057 {\rtlch\fcs1 _x000d__x000a_\af0 \ltrch\fcs0 \cs17\b0\v\fs20\cf9\lang1024\langfe1024\loch\af1\hich\af1\dbch\af31501\noproof\insrsid16658872\charrsid6768093 \hich\af1\dbch\af31501\loch\f1 &lt;Article&gt;}{\rtlch\fcs1 \af0 \ltrch\fcs0 \insrsid16658872\charrsid6768093 #}{\rtlch\fcs1 \af1 _x000d__x000a_\ltrch\fcs0 \cs18\v\f1\fs20\cf15\insrsid16658872\charrsid6768093 MNU[AMACTPARTYES][AMACTPARTNO]@CHOICE@AMACTMNU}{\rtlch\fcs1 \af0 \ltrch\fcs0 \insrsid16658872\charrsid6768093 #}{\rtlch\fcs1 \af0 \ltrch\fcs0 _x000d__x000a_\cs17\b0\v\fs20\cf9\lang1024\langfe1024\loch\af1\hich\af1\dbch\af31501\noproof\insrsid16658872\charrsid6768093 \hich\af1\dbch\af31501\loch\f1 &lt;/Article&gt;}{\rtlch\fcs1 \af0 \ltrch\fcs0 \insrsid16658872\charrsid6768093 _x000d__x000a_\par }\pard\plain \ltrpar\ql \li0\ri0\keepn\widctlpar\wrapdefault\aspalpha\aspnum\faauto\adjustright\rin0\lin0\itap0\pararsid16658872 \rtlch\fcs1 \af0\afs20\alang1025 \ltrch\fcs0 \fs24\lang2057\langfe2057\cgrid\langnp2057\langfenp2057 {\rtlch\fcs1 \af0 _x000d__x000a_\ltrch\fcs0 \cs17\v\fs20\cf9\lang1024\langfe1024\loch\af1\hich\af1\dbch\af31501\noproof\insrsid16658872\charrsid6768093 \hich\af1\dbch\af31501\loch\f1 &lt;DocAmend2&gt;&lt;OptDel&gt;}{\rtlch\fcs1 \af0 \ltrch\fcs0 \insrsid16658872\charrsid6768093 #}{\rtlch\fcs1 \af1 _x000d__x000a_\ltrch\fcs0 \cs18\v\f1\fs20\cf15\insrsid16658872\charrsid6768093 MNU[OPTNRACTYES][NOTAPP]@CHOICE@AMACTMNU}{\rtlch\fcs1 \af0 \ltrch\fcs0 \insrsid16658872\charrsid6768093 #}{\rtlch\fcs1 \af0 \ltrch\fcs0 _x000d__x000a_\cs17\v\fs20\cf9\lang1024\langfe1024\loch\af1\hich\af1\dbch\af31501\noproof\insrsid16658872\charrsid6768093 \hich\af1\dbch\af31501\loch\f1 &lt;/OptDel&gt;&lt;/DocAmend2&gt;}{\rtlch\fcs1 \af0 \ltrch\fcs0 \insrsid16658872\charrsid6768093 _x000d__x000a_\par }\pard \ltrpar\ql \li0\ri0\widctlpar\wrapdefault\aspalpha\aspnum\faauto\adjustright\rin0\lin0\itap0\pararsid16658872 {\rtlch\fcs1 \af0 \ltrch\fcs0 \cs17\v\fs20\cf9\lang1024\langfe1024\loch\af1\hich\af1\dbch\af31501\noproof\insrsid16658872\charrsid6768093 _x000d__x000a_\hich\af1\dbch\af31501\loch\f1 &lt;Article2&gt;&lt;OptDel&gt;}{\rtlch\fcs1 \af0 \ltrch\fcs0 \insrsid16658872\charrsid6768093 #}{\rtlch\fcs1 \af1 \ltrch\fcs0 \cs18\v\f1\fs20\cf15\insrsid16658872\charrsid6768093 MNU[OPTACTPARTYES][NOTAPP]@CHOICE@AMACTMNU}{\rtlch\fcs1 _x000d__x000a_\af0 \ltrch\fcs0 \insrsid16658872\charrsid6768093 #}{\rtlch\fcs1 \af0 \ltrch\fcs0 \cs17\v\fs20\cf9\lang1024\langfe1024\loch\af1\hich\af1\dbch\af31501\noproof\insrsid16658872\charrsid6768093 \hich\af1\dbch\af31501\loch\f1 &lt;/OptDel&gt;&lt;/Article2&gt;}{\rtlch\fcs1 _x000d__x000a_\af0 \ltrch\fcs0 \insrsid16658872\charrsid6768093 _x000d__x000a_\par \ltrrow}\trowd \irow0\irowband0\ltrrow\ts11\trqc\trgaph340\trleft0\trftsWidth3\trwWidth9752\trftsWidthB3\trpaddl340\trpaddr340\trpaddfl3\trpaddft3\trpaddfb3\trpaddfr3\tblrsid2517430\tblind0\tblindtype3 \clvertalt\clbrdrt\brdrtbl \clbrdrl\brdrtbl \clbrdrb_x000d__x000a_\brdrtbl \clbrdrr\brdrtbl \cltxlrtb\clftsWidth3\clwWidth9752\clshdrawnil \cellx9752\pard\plain \ltrpar\ql \li0\ri0\keepn\widctlpar\intbl\wrapdefault\aspalpha\aspnum\faauto\adjustright\rin0\lin0\pararsid14315216 \rtlch\fcs1 \af0\afs20\alang1025 _x000d__x000a_\ltrch\fcs0 \fs24\lang2057\langfe2057\cgrid\langnp2057\langfenp2057 {\rtlch\fcs1 \af0 \ltrch\fcs0 \insrsid16658872\charrsid6768093 \cell }\pard\plain \ltrpar\ql \li0\ri0\widctlpar\intbl\wrapdefault\aspalpha\aspnum\faauto\adjustright\rin0\lin0 \rtlch\fcs1 _x000d__x000a_\af0\afs20\alang1025 \ltrch\fcs0 \fs24\lang2057\langfe2057\cgrid\langnp2057\langfenp2057 {\rtlch\fcs1 \af0 \ltrch\fcs0 \insrsid16658872\charrsid6768093 \trowd \irow0\irowband0\ltrrow_x000d__x000a_\ts11\trqc\trgaph340\trleft0\trftsWidth3\trwWidth9752\trftsWidthB3\trpaddl340\trpaddr340\trpaddfl3\trpaddft3\trpaddfb3\trpaddfr3\tblrsid2517430\tblind0\tblindtype3 \clvertalt\clbrdrt\brdrtbl \clbrdrl\brdrtbl \clbrdrb\brdrtbl \clbrdrr\brdrtbl _x000d__x000a_\cltxlrtb\clftsWidth3\clwWidth9752\clshdrawnil \cellx9752\row \ltrrow}\trowd \irow1\irowband1\ltrrow_x000d__x000a_\ts11\trqc\trgaph340\trleft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pard\plain \ltrpar_x000d__x000a_\s25\qc \li0\ri0\sa240\keepn\nowidctlpar\intbl\wrapdefault\aspalpha\aspnum\faauto\adjustright\rin0\lin0\pararsid14315216 \rtlch\fcs1 \af0\afs20\alang1025 \ltrch\fcs0 \i\fs24\lang2057\langfe2057\cgrid\langnp2057\langfenp2057 {\rtlch\fcs1 \af0 \ltrch\fcs0 _x000d__x000a_\insrsid16658872\charrsid6768093 #}{\rtlch\fcs1 \af1 \ltrch\fcs0 \cs18\v\f1\fs20\cf15\insrsid16658872\charrsid6768093 MNU[OPTLEFTAMACT][LEFTPROP]@CHOICE@AMACTMNU}{\rtlch\fcs1 \af0 \ltrch\fcs0 \insrsid16658872\charrsid6768093 #\cell Amendment\cell _x000d__x000a_}\pard\plain \ltrpar\ql \li0\ri0\widctlpar\intbl\wrapdefault\aspalpha\aspnum\faauto\adjustright\rin0\lin0 \rtlch\fcs1 \af0\afs20\alang1025 \ltrch\fcs0 \fs24\lang2057\langfe2057\cgrid\langnp2057\langfenp2057 {\rtlch\fcs1 \af0 \ltrch\fcs0 _x000d__x000a_\insrsid16658872\charrsid6768093 \trowd \irow1\irowband1\ltrrow\ts11\trqc\trgaph340\trleft0\trftsWidth3\trwWidth9752\trftsWidthB3\trpaddl340\trpaddr340\trpaddfl3\trpaddft3\trpaddfb3\trpaddfr3\tblrsid2517430\tblind0\tblindtype3 \clvertalt\clbrdrt\brdrtbl _x000d__x000a_\clbrdrl\brdrtbl \clbrdrb\brdrtbl \clbrdrr\brdrtbl \cltxlrtb\clftsWidth3\clwWidth4876\clshdrawnil \cellx4876\clvertalt\clbrdrt\brdrtbl \clbrdrl\brdrtbl \clbrdrb\brdrtbl \clbrdrr\brdrtbl \cltxlrtb\clftsWidth3\clwWidth4876\clshdrawnil \cellx9752\row \ltrrow_x000d__x000a_}\pard\plain \ltrpar\s19\ql \li0\ri0\sa120\nowidctlpar\intbl\wrapdefault\aspalpha\aspnum\faauto\adjustright\rin0\lin0\pararsid2517430 \rtlch\fcs1 \af0\afs20\alang1025 \ltrch\fcs0 \fs24\lang2057\langfe2057\cgrid\langnp2057\langfenp2057 {\rtlch\fcs1 \af0 _x000d__x000a_\ltrch\fcs0 \insrsid16658872\charrsid6768093 ##\cell ##}{\rtlch\fcs1 \af0\afs24 \ltrch\fcs0 \insrsid16658872\charrsid6768093 \cell }\pard\plain \ltrpar\ql \li0\ri0\widctlpar\intbl\wrapdefault\aspalpha\aspnum\faauto\adjustright\rin0\lin0 \rtlch\fcs1 _x000d__x000a_\af0\afs20\alang1025 \ltrch\fcs0 \fs24\lang2057\langfe2057\cgrid\langnp2057\langfenp2057 {\rtlch\fcs1 \af0 \ltrch\fcs0 \insrsid16658872\charrsid6768093 \trowd \irow2\irowband2\lastrow \ltrrow_x000d__x000a_\ts11\trqc\trgaph340\trleft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4\qr \li0\ri0\sb240\sa240\nowidctlpar\wrapdefault\aspalpha\aspnum\faauto\adjustright\rin0\lin0\itap0\pararsid16658872 \rtlch\fcs1 \af0\afs20\alang1025 \ltrch\fcs0 \fs24\lang2057\langfe2057\cgrid\langnp2057\langfenp2057 {\rtlch\fcs1 \af0 \ltrch\fcs0 _x000d__x000a_\insrsid16658872\charrsid6768093 Or. }{\rtlch\fcs1 \af0 \ltrch\fcs0 \cs17\v\fs20\cf9\lang1024\langfe1024\loch\af1\hich\af1\dbch\af31501\noproof\insrsid16658872\charrsid6768093 \hich\af1\dbch\af31501\loch\f1 &lt;Original&gt;}{\rtlch\fcs1 \af0 \ltrch\fcs0 _x000d__x000a_\insrsid16658872\charrsid6768093 #}{\rtlch\fcs1 \af1 \ltrch\fcs0 \cs18\v\f1\fs20\cf15\insrsid16658872\charrsid6768093 MNU[ORLANGONE][ORLANGMORE]@CHOICE@ORLANGMNU}{\rtlch\fcs1 \af0 \ltrch\fcs0 \insrsid16658872\charrsid6768093 #}{\rtlch\fcs1 \af0 _x000d__x000a_\ltrch\fcs0 \cs17\v\fs20\cf9\lang1024\langfe1024\loch\af1\hich\af1\dbch\af31501\noproof\insrsid16658872\charrsid6768093 \hich\af1\dbch\af31501\loch\f1 &lt;/Original&gt;}{\rtlch\fcs1 \af0 \ltrch\fcs0 \insrsid16658872\charrsid6768093 _x000d__x000a_\par }\pard\plain \ltrpar\s22\qc \li0\ri0\sb240\sa240\nowidctlpar\wrapdefault\aspalpha\aspnum\faauto\adjustright\rin0\lin0\itap0\pararsid16658872 \rtlch\fcs1 \af0\afs20\alang1025 \ltrch\fcs0 \i\fs24\lang2057\langfe2057\cgrid\langnp2057\langfenp2057 {_x000d__x000a_\rtlch\fcs1 \af0 \ltrch\fcs0 \cs17\i0\v\fs20\cf9\lang1024\langfe1024\loch\af1\hich\af1\dbch\af31501\noproof\insrsid16658872\charrsid6768093 \hich\af1\dbch\af31501\loch\f1 &lt;OptDel&gt;}{\rtlch\fcs1 \af0 \ltrch\fcs0 \insrsid16658872\charrsid6768093 #}{_x000d__x000a_\rtlch\fcs1 \af1 \ltrch\fcs0 \cs18\v\f1\fs20\cf15\insrsid16658872\charrsid6768093 MNU[CROSSREFNO][CROSSREFYES]@CHOICE@}{\rtlch\fcs1 \af0 \ltrch\fcs0 \insrsid16658872\charrsid6768093 #}{\rtlch\fcs1 \af0 \ltrch\fcs0 _x000d__x000a_\cs17\i0\v\fs20\cf9\lang1024\langfe1024\loch\af1\hich\af1\dbch\af31501\noproof\insrsid16658872\charrsid6768093 \hich\af1\dbch\af31501\loch\f1 &lt;/OptDel&gt;}{\rtlch\fcs1 \af0 \ltrch\fcs0 \insrsid16658872\charrsid6768093 _x000d__x000a_\par }\pard\plain \ltrpar\s23\qc \li0\ri0\sb240\sa240\keepn\nowidctlpar\wrapdefault\aspalpha\aspnum\faauto\adjustright\rin0\lin0\itap0\pararsid16658872 \rtlch\fcs1 \af0\afs20\alang1025 \ltrch\fcs0 \i\fs24\lang2057\langfe2057\cgrid\langnp2057\langfenp2057 {_x000d__x000a_\rtlch\fcs1 \af0 \ltrch\fcs0 \cs17\i0\v\fs20\cf9\lang1024\langfe1024\loch\af1\hich\af1\dbch\af31501\noproof\insrsid16658872\charrsid6768093 \hich\af1\dbch\af31501\loch\f1 &lt;TitreJust&gt;}{\rtlch\fcs1 \af0 \ltrch\fcs0 \insrsid16658872\charrsid6768093 _x000d__x000a_Justification}{\rtlch\fcs1 \af0 \ltrch\fcs0 \cs17\i0\v\fs20\cf9\lang1024\langfe1024\loch\af1\hich\af1\dbch\af31501\noproof\insrsid16658872\charrsid6768093 \hich\af1\dbch\af31501\loch\f1 &lt;/TitreJust&gt;}{\rtlch\fcs1 \af0 \ltrch\fcs0 _x000d__x000a_\insrsid16658872\charrsid6768093 _x000d__x000a_\par }\pard\plain \ltrpar\s21\ql \li0\ri0\sa240\nowidctlpar\wrapdefault\aspalpha\aspnum\faauto\adjustright\rin0\lin0\itap0\pararsid16658872 \rtlch\fcs1 \af0\afs20\alang1025 \ltrch\fcs0 \i\fs24\lang2057\langfe2057\cgrid\langnp2057\langfenp2057 {\rtlch\fcs1 _x000d__x000a_\af0 \ltrch\fcs0 \cs17\i0\v\fs20\cf9\lang1024\langfe1024\loch\af1\hich\af1\dbch\af31501\noproof\insrsid16658872\charrsid6768093 \hich\af1\dbch\af31501\loch\f1 &lt;OptDelPrev&gt;}{\rtlch\fcs1 \af0 \ltrch\fcs0 \insrsid16658872\charrsid6768093 #}{\rtlch\fcs1 \af1 _x000d__x000a_\ltrch\fcs0 \cs18\v\f1\fs20\cf15\insrsid16658872\charrsid6768093 MNU[TEXTJUSTYES][TEXTJUSTNO]@CHOICE@}{\rtlch\fcs1 \af0 \ltrch\fcs0 \insrsid16658872\charrsid6768093 #}{\rtlch\fcs1 \af0 \ltrch\fcs0 _x000d__x000a_\cs17\i0\v\fs20\cf9\lang1024\langfe1024\loch\af1\hich\af1\dbch\af31501\noproof\insrsid16658872\charrsid6768093 \hich\af1\dbch\af31501\loch\f1 &lt;/OptDelPrev&gt;}{\rtlch\fcs1 \af0 \ltrch\fcs0 \insrsid16658872\charrsid6768093 _x000d__x000a_\par }\pard\plain \ltrpar\ql \li0\ri0\widctlpar\wrapdefault\aspalpha\aspnum\faauto\adjustright\rin0\lin0\itap0\pararsid16658872 \rtlch\fcs1 \af0\afs20\alang1025 \ltrch\fcs0 \fs24\lang2057\langfe2057\cgrid\langnp2057\langfenp2057 {\rtlch\fcs1 \af0 \ltrch\fcs0 _x000d__x000a_\cs17\v\fs20\cf9\lang1024\langfe1024\loch\af1\hich\af1\dbch\af31501\noproof\insrsid16658872\charrsid6768093 \hich\af1\dbch\af31501\loch\f1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a2_x000d__x000a_bc655ce2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1615661 HideTWBExt;}{\s16\ql \li0\ri0\sa120\nowidctlpar\wrapdefault\aspalpha\aspnum\faauto\adjustright\rin0\lin0\itap0 \rtlch\fcs1 \af0\afs20\alang1025 \ltrch\fcs0 _x000d__x000a_\fs24\lang2057\langfe2057\cgrid\langnp2057\langfenp2057 \sbasedon0 \snext16 \spriority0 \styrsid11615661 Normal6a;}{\s17\ql \li0\ri0\nowidctlpar\wrapdefault\aspalpha\aspnum\faauto\adjustright\rin0\lin0\itap0 \rtlch\fcs1 \af0\afs20\alang1025 \ltrch\fcs0 _x000d__x000a_\b\fs24\lang2057\langfe2057\cgrid\langnp2057\langfenp2057 \sbasedon0 \snext17 \spriority0 \styrsid11615661 NormalBold;}{\s18\ql \li0\ri0\sa240\nowidctlpar\wrapdefault\aspalpha\aspnum\faauto\adjustright\rin0\lin0\itap0 \rtlch\fcs1 \af0\afs20\alang1025 _x000d__x000a_\ltrch\fcs0 \i\fs24\lang2057\langfe2057\cgrid\langnp2057\langfenp2057 \sbasedon0 \snext18 \spriority0 \styrsid11615661 AmJustText;}{\s19\qc \li0\ri0\sb240\sa240\nowidctlpar\wrapdefault\aspalpha\aspnum\faauto\adjustright\rin0\lin0\itap0 \rtlch\fcs1 _x000d__x000a_\af0\afs20\alang1025 \ltrch\fcs0 \i\fs24\lang2057\langfe2057\cgrid\langnp2057\langfenp2057 \sbasedon0 \snext19 \spriority0 \styrsid11615661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11615661 AmJustTitle;}{\s21\qr \li0\ri0\sb240\sa240\nowidctlpar\wrapdefault\aspalpha\aspnum\faauto\adjustright\rin0\lin0\itap0 \rtlch\fcs1 \af0\afs20\alang1025 \ltrch\fcs0 _x000d__x000a_\fs24\lang2057\langfe2057\cgrid\langnp2057\langfenp2057 \sbasedon0 \snext21 \spriority0 \styrsid11615661 AmOrLang;}{\s22\qc \li0\ri0\sa240\nowidctlpar\wrapdefault\aspalpha\aspnum\faauto\adjustright\rin0\lin0\itap0 \rtlch\fcs1 \af0\afs20\alang1025 _x000d__x000a_\ltrch\fcs0 \i\fs24\lang2057\langfe2057\cgrid\langnp2057\langfenp2057 \sbasedon0 \snext22 \spriority0 \styrsid11615661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11615661 AmNumberTabs;}{\s24\ql \li0\ri0\sb240\nowidctlpar\wrapdefault\aspalpha\aspnum\faauto\adjustright\rin0\lin0\itap0 \rtlch\fcs1 _x000d__x000a_\af0\afs20\alang1025 \ltrch\fcs0 \b\fs24\lang2057\langfe2057\cgrid\langnp2057\langfenp2057 \sbasedon0 \snext24 \spriority0 \styrsid11615661 NormalBold12b;}}{\*\rsidtbl \rsid24658\rsid358857\rsid735077\rsid787282\rsid2101837\rsid2892074\rsid3622648_x000d__x000a_\rsid4666813\rsid5708216\rsid6641733\rsid7553164\rsid8465581\rsid8681905\rsid8724649\rsid9636012\rsid9862312\rsid11215221\rsid11370291\rsid11434737\rsid11607138\rsid11615661\rsid11824949\rsid12154954\rsid14424199\rsid15204470\rsid15285974\rsid15535219_x000d__x000a_\rsid15950462\rsid16324206\rsid16662270}{\mmathPr\mmathFont34\mbrkBin0\mbrkBinSub0\msmallFrac0\mdispDef1\mlMargin0\mrMargin0\mdefJc1\mwrapIndent1440\mintLim0\mnaryLim1}{\info{\author FELIX Karina}{\operator FELIX Karina}_x000d__x000a_{\creatim\yr2019\mo7\dy3\hr20\min19}{\revtim\yr2019\mo7\dy3\hr20\min19}{\version1}{\edmins0}{\nofpages1}{\nofwords32}{\nofchars369}{\*\company European Parliament}{\nofcharsws373}{\vern97}}{\*\xmlnstbl {\xmlns1 http://schemas.microsoft.com/office/word/200_x000d__x000a_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1615661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101837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11615661 \rtlch\fcs1 \af0\afs20\alang1025 \ltrch\fcs0 \b\fs24\lang2057\langfe2057\cgrid\langnp2057\langfenp2057 {\rtlch\fcs1 \af0 \ltrch\fcs0 \cs15\b0\v\f1\fs20\cf9\lang1030\langfe2057\langnp1030\insrsid11615661\charrsid5141309 _x000d__x000a_{\*\bkmkstart restart}&lt;Amend&gt;}{\rtlch\fcs1 \af0 \ltrch\fcs0 \lang1030\langfe2057\langnp1030\insrsid11615661\charrsid5141309 [ZAMENDMENT]\tab \tab }{\rtlch\fcs1 \af0 \ltrch\fcs0 _x000d__x000a_\cs15\b0\v\f1\fs20\cf9\lang1030\langfe2057\langnp1030\insrsid11615661\charrsid5141309 &lt;NumAm&gt;}{\rtlch\fcs1 \af0 \ltrch\fcs0 \lang1030\langfe2057\langnp1030\insrsid11615661\charrsid5141309 [ZNRAM]}{\rtlch\fcs1 \af0 \ltrch\fcs0 _x000d__x000a_\cs15\b0\v\f1\fs20\cf9\lang1030\langfe2057\langnp1030\insrsid11615661\charrsid5141309 &lt;/NumAm&gt;}{\rtlch\fcs1 \af0 \ltrch\fcs0 \lang1030\langfe2057\langnp1030\insrsid11615661\charrsid5141309 _x000d__x000a_\par }\pard\plain \ltrpar\s24\ql \li0\ri0\sb240\keepn\nowidctlpar\wrapdefault\aspalpha\aspnum\faauto\adjustright\rin0\lin0\itap0\pararsid11615661 \rtlch\fcs1 \af0\afs20\alang1025 \ltrch\fcs0 \b\fs24\lang2057\langfe2057\cgrid\langnp2057\langfenp2057 {_x000d__x000a_\rtlch\fcs1 \af0 \ltrch\fcs0 \cs15\b0\v\f1\fs20\cf9\lang1030\langfe2057\langnp1030\insrsid11615661\charrsid5141309 &lt;DocAmend&gt;}{\rtlch\fcs1 \af0 \ltrch\fcs0 \lang1030\langfe2057\langnp1030\insrsid11615661\charrsid5141309 [ZPROPOSAL][ZAMACT]}{\rtlch\fcs1 _x000d__x000a_\af0 \ltrch\fcs0 \cs15\b0\v\f1\fs20\cf9\lang1030\langfe2057\langnp1030\insrsid11615661\charrsid5141309 &lt;/DocAmend&gt;}{\rtlch\fcs1 \af0 \ltrch\fcs0 \lang1030\langfe2057\langnp1030\insrsid11615661\charrsid5141309 _x000d__x000a_\par }\pard\plain \ltrpar\s17\ql \li0\ri0\keepn\nowidctlpar\wrapdefault\aspalpha\aspnum\faauto\adjustright\rin0\lin0\itap0\pararsid11615661 \rtlch\fcs1 \af0\afs20\alang1025 \ltrch\fcs0 \b\fs24\lang2057\langfe2057\cgrid\langnp2057\langfenp2057 {\rtlch\fcs1 _x000d__x000a_\af0 \ltrch\fcs0 \cs15\b0\v\f1\fs20\cf9\lang1030\langfe2057\langnp1030\insrsid11615661\charrsid5141309 &lt;Article&gt;}{\rtlch\fcs1 \af0 \ltrch\fcs0 \lang1030\langfe2057\langnp1030\insrsid11615661\charrsid5141309 [ZAMPART]}{\rtlch\fcs1 \af0 \ltrch\fcs0 _x000d__x000a_\cs15\b0\v\f1\fs20\cf9\lang1030\langfe2057\langnp1030\insrsid11615661\charrsid5141309 &lt;/Article&gt;}{\rtlch\fcs1 \af0 \ltrch\fcs0 \lang1030\langfe2057\langnp1030\insrsid11615661\charrsid5141309 _x000d__x000a_\par }\pard\plain \ltrpar\ql \li0\ri0\keepn\widctlpar\wrapdefault\aspalpha\aspnum\faauto\adjustright\rin0\lin0\itap0\pararsid11615661 \rtlch\fcs1 \af0\afs20\alang1025 \ltrch\fcs0 \fs24\lang2057\langfe2057\cgrid\langnp2057\langfenp2057 {\rtlch\fcs1 \af0 _x000d__x000a_\ltrch\fcs0 \cs15\v\f1\fs20\cf9\lang1043\langfe2057\langnp1043\insrsid11615661\charrsid5141309 &lt;DocAmend2&gt;&lt;OptDel&gt;}{\rtlch\fcs1 \af0 \ltrch\fcs0 \lang1043\langfe2057\langnp1043\insrsid11615661\charrsid5141309 [ZNRACT]}{\rtlch\fcs1 \af0 \ltrch\fcs0 _x000d__x000a_\cs15\v\f1\fs20\cf9\lang1043\langfe2057\langnp1043\insrsid11615661\charrsid5141309 &lt;/OptDel&gt;&lt;/DocAmend2&gt;}{\rtlch\fcs1 \af0 \ltrch\fcs0 \lang1043\langfe2057\langnp1043\insrsid11615661\charrsid5141309 _x000d__x000a_\par }\pard \ltrpar\ql \li0\ri0\widctlpar\wrapdefault\aspalpha\aspnum\faauto\adjustright\rin0\lin0\itap0\pararsid11615661 {\rtlch\fcs1 \af0 \ltrch\fcs0 \cs15\v\f1\fs20\cf9\lang1036\langfe2057\langnp1036\insrsid11615661\charrsid5141309 &lt;Article2&gt;&lt;OptDel&gt;}{_x000d__x000a_\rtlch\fcs1 \af0 \ltrch\fcs0 \lang1036\langfe2057\langnp1036\insrsid11615661\charrsid5141309 [ZACTPART]}{\rtlch\fcs1 \af0 \ltrch\fcs0 \cs15\v\f1\fs20\cf9\lang1036\langfe2057\langnp1036\insrsid11615661\charrsid5141309 &lt;/OptDel&gt;&lt;/Article2&gt;}{\rtlch\fcs1 _x000d__x000a_\af0 \ltrch\fcs0 \lang1036\langfe2057\langnp1036\insrsid11615661\charrsid5141309 _x000d__x000a_\par \ltrrow}\trowd \irow0\irowband0\ltrrow\ts11\trqc\trgaph340\trleft-340\trftsWidth3\trwWidth9752\trftsWidthB3\trpaddl340\trpaddr340\trpaddfl3\trpaddft3\trpaddfb3\trpaddfr3\tblrsid2517430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4315216 \rtlch\fcs1 \af0\afs20\alang1025 _x000d__x000a_\ltrch\fcs0 \fs24\lang2057\langfe2057\cgrid\langnp2057\langfenp2057 {\rtlch\fcs1 \af0 \ltrch\fcs0 \lang1036\langfe2057\langnp1036\insrsid11615661\charrsid5141309 \cell }\pard\plain \ltrpar_x000d__x000a_\ql \li0\ri0\widctlpar\intbl\wrapdefault\aspalpha\aspnum\faauto\adjustright\rin0\lin0 \rtlch\fcs1 \af0\afs20\alang1025 \ltrch\fcs0 \fs24\lang2057\langfe2057\cgrid\langnp2057\langfenp2057 {\rtlch\fcs1 \af0 \ltrch\fcs0 \insrsid11615661\charrsid6040559 _x000d__x000a_\trowd \irow0\irowband0\ltrrow\ts11\trqc\trgaph340\trleft-340\trftsWidth3\trwWidth9752\trftsWidthB3\trpaddl340\trpaddr340\trpaddfl3\trpaddft3\trpaddfb3\trpaddfr3\tblrsid2517430\tblind0\tblindtype3 \clvertalt\clbrdrt\brdrtbl \clbrdrl\brdrtbl \clbrdrb_x000d__x000a_\brdrtbl \clbrdrr\brdrtbl \cltxlrtb\clftsWidth3\clwWidth9752\clshdrawnil \cellx9412\row \ltrrow}\trowd \irow1\irowband1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4315216 \rtlch\fcs1 \af0\afs20\alang1025 \ltrch\fcs0 \i\fs24\lang2057\langfe2057\cgrid\langnp2057\langfenp2057 {\rtlch\fcs1 \af0 \ltrch\fcs0 _x000d__x000a_\insrsid11615661\charrsid4593153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1615661\charrsid4593153 \trowd \irow1\irowband1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2517430 \rtlch\fcs1 \af0\afs20\alang1025 \ltrch\fcs0 \fs24\lang2057\langfe2057\cgrid\langnp2057\langfenp2057 {\rtlch\fcs1 \af0 \ltrch\fcs0 _x000d__x000a_\insrsid11615661\charrsid4593153 [ZTEXTL]\cell [ZTEXTR]}{\rtlch\fcs1 \af0\afs24 \ltrch\fcs0 \insrsid11615661\charrsid4593153 \cell }\pard\plain \ltrpar\ql \li0\ri0\widctlpar\intbl\wrapdefault\aspalpha\aspnum\faauto\adjustright\rin0\lin0 \rtlch\fcs1 _x000d__x000a_\af0\afs20\alang1025 \ltrch\fcs0 \fs24\lang2057\langfe2057\cgrid\langnp2057\langfenp2057 {\rtlch\fcs1 \af0 \ltrch\fcs0 \insrsid11615661\charrsid4593153 \trowd \irow2\irowband2\lastrow 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11615661 \rtlch\fcs1 \af0\afs20\alang1025 \ltrch\fcs0 \fs24\lang2057\langfe2057\cgrid\langnp2057\langfenp2057 {\rtlch\fcs1 \af0 \ltrch\fcs0 _x000d__x000a_\insrsid11615661\charrsid4593153 Or. }{\rtlch\fcs1 \af0 \ltrch\fcs0 \cs15\v\f1\fs20\cf9\insrsid11615661\charrsid4593153 &lt;Original&gt;}{\rtlch\fcs1 \af0 \ltrch\fcs0 \insrsid11615661\charrsid4593153 [ZORLANG]}{\rtlch\fcs1 \af0 \ltrch\fcs0 _x000d__x000a_\cs15\v\f1\fs20\cf9\insrsid11615661\charrsid4593153 &lt;/Original&gt;}{\rtlch\fcs1 \af0 \ltrch\fcs0 \insrsid11615661\charrsid4593153 _x000d__x000a_\par }\pard\plain \ltrpar\s19\qc \li0\ri0\sb240\sa240\nowidctlpar\wrapdefault\aspalpha\aspnum\faauto\adjustright\rin0\lin0\itap0\pararsid11615661 \rtlch\fcs1 \af0\afs20\alang1025 \ltrch\fcs0 \i\fs24\lang2057\langfe2057\cgrid\langnp2057\langfenp2057 {_x000d__x000a_\rtlch\fcs1 \af0 \ltrch\fcs0 \cs15\i0\v\f1\fs20\cf9\insrsid11615661\charrsid4593153 &lt;OptDel&gt;}{\rtlch\fcs1 \af0 \ltrch\fcs0 \insrsid11615661\charrsid4593153 [ZCROSSREF]}{\rtlch\fcs1 \af0 \ltrch\fcs0 \cs15\i0\v\f1\fs20\cf9\insrsid11615661\charrsid4593153 _x000d__x000a_&lt;/OptDel&gt;}{\rtlch\fcs1 \af0 \ltrch\fcs0 \insrsid11615661\charrsid4593153 _x000d__x000a_\par }\pard\plain \ltrpar\s20\qc \li0\ri0\sb240\sa240\keepn\nowidctlpar\wrapdefault\aspalpha\aspnum\faauto\adjustright\rin0\lin0\itap0\pararsid11615661 \rtlch\fcs1 \af0\afs20\alang1025 \ltrch\fcs0 \i\fs24\lang2057\langfe2057\cgrid\langnp2057\langfenp2057 {_x000d__x000a_\rtlch\fcs1 \af0 \ltrch\fcs0 \cs15\i0\v\f1\fs20\cf9\insrsid11615661\charrsid4593153 &lt;TitreJust&gt;}{\rtlch\fcs1 \af0 \ltrch\fcs0 \insrsid11615661\charrsid4593153 [ZJUSTIFICATION]}{\rtlch\fcs1 \af0 \ltrch\fcs0 _x000d__x000a_\cs15\i0\v\f1\fs20\cf9\insrsid11615661\charrsid4593153 &lt;/TitreJust&gt;}{\rtlch\fcs1 \af0 \ltrch\fcs0 \insrsid11615661\charrsid4593153 _x000d__x000a_\par }\pard\plain \ltrpar\s18\ql \li0\ri0\sa240\nowidctlpar\wrapdefault\aspalpha\aspnum\faauto\adjustright\rin0\lin0\itap0\pararsid11615661 \rtlch\fcs1 \af0\afs20\alang1025 \ltrch\fcs0 \i\fs24\lang2057\langfe2057\cgrid\langnp2057\langfenp2057 {\rtlch\fcs1 _x000d__x000a_\af0 \ltrch\fcs0 \cs15\i0\v\f1\fs20\cf9\insrsid11615661\charrsid4593153 &lt;OptDelPrev&gt;}{\rtlch\fcs1 \af0 \ltrch\fcs0 \insrsid11615661\charrsid4593153 [ZTEXTJUST]}{\rtlch\fcs1 \af0 \ltrch\fcs0 \cs15\i0\v\f1\fs20\cf9\insrsid11615661\charrsid4593153 _x000d__x000a_&lt;/OptDelPrev&gt;}{\rtlch\fcs1 \af0 \ltrch\fcs0 \insrsid11615661\charrsid4593153 _x000d__x000a_\par }\pard\plain \ltrpar\ql \li0\ri0\widctlpar\wrapdefault\aspalpha\aspnum\faauto\adjustright\rin0\lin0\itap0\pararsid11615661 \rtlch\fcs1 \af0\afs20\alang1025 \ltrch\fcs0 \fs24\lang2057\langfe2057\cgrid\langnp2057\langfenp2057 {\rtlch\fcs1 \af0 \ltrch\fcs0 _x000d__x000a_\cs15\v\f1\fs20\cf9\insrsid11615661\charrsid4593153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PR_COD_1amCom"/>
    <w:docVar w:name="strSubDir" w:val="1285"/>
    <w:docVar w:name="TVTAMPART" w:val="Recital 1"/>
    <w:docVar w:name="TXTAUTHOR" w:val="Jonás Fernández"/>
    <w:docVar w:name="TXTLANGUE" w:val="EN"/>
    <w:docVar w:name="TXTLANGUEMIN" w:val="en"/>
    <w:docVar w:name="TXTNRC" w:val="0134/2023"/>
    <w:docVar w:name="TXTNRCOD" w:val="2023/0113"/>
    <w:docVar w:name="TXTNRCOM" w:val="(2023)0229"/>
    <w:docVar w:name="TXTNRFIRSTAM" w:val="1"/>
    <w:docVar w:name="TXTNRLASTAM" w:val="2"/>
    <w:docVar w:name="TXTNRPE" w:val="752.913"/>
    <w:docVar w:name="TXTPEorAP" w:val="PE"/>
    <w:docVar w:name="TXTROUTE" w:val="PR\1285454EN.docx"/>
    <w:docVar w:name="TXTTITLE" w:val="amending Directive 2014/59/EU and Regulation (EU) No 806/2014 as regards certain aspects of the minimum requirement for own funds and eligible liabilities"/>
    <w:docVar w:name="TXTVERSION" w:val="01-00"/>
  </w:docVars>
  <w:rsids>
    <w:rsidRoot w:val="006745DD"/>
    <w:rsid w:val="00011AAB"/>
    <w:rsid w:val="00012351"/>
    <w:rsid w:val="000139E5"/>
    <w:rsid w:val="00084DD2"/>
    <w:rsid w:val="00084E89"/>
    <w:rsid w:val="000A7B09"/>
    <w:rsid w:val="000B7489"/>
    <w:rsid w:val="000F1096"/>
    <w:rsid w:val="00120948"/>
    <w:rsid w:val="00123DD5"/>
    <w:rsid w:val="001277AE"/>
    <w:rsid w:val="00142215"/>
    <w:rsid w:val="001767E2"/>
    <w:rsid w:val="00187008"/>
    <w:rsid w:val="001B3829"/>
    <w:rsid w:val="001C01EE"/>
    <w:rsid w:val="001C5592"/>
    <w:rsid w:val="001C5B44"/>
    <w:rsid w:val="001C63AC"/>
    <w:rsid w:val="001C6FFC"/>
    <w:rsid w:val="001F7C7C"/>
    <w:rsid w:val="00212B84"/>
    <w:rsid w:val="002346B0"/>
    <w:rsid w:val="002667C3"/>
    <w:rsid w:val="002669B6"/>
    <w:rsid w:val="00290BED"/>
    <w:rsid w:val="002D13EE"/>
    <w:rsid w:val="002D433B"/>
    <w:rsid w:val="002E33EE"/>
    <w:rsid w:val="002F40BB"/>
    <w:rsid w:val="002F4B02"/>
    <w:rsid w:val="00323EF8"/>
    <w:rsid w:val="00325A50"/>
    <w:rsid w:val="003316DD"/>
    <w:rsid w:val="00366A46"/>
    <w:rsid w:val="00370AC3"/>
    <w:rsid w:val="003824EE"/>
    <w:rsid w:val="003B4689"/>
    <w:rsid w:val="003C2068"/>
    <w:rsid w:val="003C37CF"/>
    <w:rsid w:val="004100B1"/>
    <w:rsid w:val="00426E47"/>
    <w:rsid w:val="00455743"/>
    <w:rsid w:val="00461601"/>
    <w:rsid w:val="0046639E"/>
    <w:rsid w:val="00467F7B"/>
    <w:rsid w:val="0048211B"/>
    <w:rsid w:val="004C0915"/>
    <w:rsid w:val="004D424E"/>
    <w:rsid w:val="004E42C8"/>
    <w:rsid w:val="004E733D"/>
    <w:rsid w:val="004F3FA5"/>
    <w:rsid w:val="0051271F"/>
    <w:rsid w:val="00521F46"/>
    <w:rsid w:val="00551111"/>
    <w:rsid w:val="00551123"/>
    <w:rsid w:val="00557C21"/>
    <w:rsid w:val="00570A6A"/>
    <w:rsid w:val="00586E50"/>
    <w:rsid w:val="0059583D"/>
    <w:rsid w:val="005A42D9"/>
    <w:rsid w:val="005C2BEF"/>
    <w:rsid w:val="005D1A99"/>
    <w:rsid w:val="005D7609"/>
    <w:rsid w:val="005D7EE8"/>
    <w:rsid w:val="00620AA8"/>
    <w:rsid w:val="00642325"/>
    <w:rsid w:val="006606A1"/>
    <w:rsid w:val="006745DD"/>
    <w:rsid w:val="00682F54"/>
    <w:rsid w:val="006A17A3"/>
    <w:rsid w:val="006A1920"/>
    <w:rsid w:val="006A2F5D"/>
    <w:rsid w:val="006F1136"/>
    <w:rsid w:val="006F7907"/>
    <w:rsid w:val="00743189"/>
    <w:rsid w:val="00743D33"/>
    <w:rsid w:val="007932B3"/>
    <w:rsid w:val="00793EA9"/>
    <w:rsid w:val="007D6F68"/>
    <w:rsid w:val="00823E6B"/>
    <w:rsid w:val="00826780"/>
    <w:rsid w:val="00837CCD"/>
    <w:rsid w:val="00862812"/>
    <w:rsid w:val="008633CC"/>
    <w:rsid w:val="00865190"/>
    <w:rsid w:val="008719B9"/>
    <w:rsid w:val="00894ECE"/>
    <w:rsid w:val="00896BB4"/>
    <w:rsid w:val="008A7FB8"/>
    <w:rsid w:val="008C37B3"/>
    <w:rsid w:val="008F652F"/>
    <w:rsid w:val="009022B8"/>
    <w:rsid w:val="00914537"/>
    <w:rsid w:val="00917CC4"/>
    <w:rsid w:val="00932D06"/>
    <w:rsid w:val="009763DA"/>
    <w:rsid w:val="009975B3"/>
    <w:rsid w:val="009A216D"/>
    <w:rsid w:val="009B4B93"/>
    <w:rsid w:val="009F24BE"/>
    <w:rsid w:val="009F6C2F"/>
    <w:rsid w:val="009F767A"/>
    <w:rsid w:val="00A22533"/>
    <w:rsid w:val="00A26F46"/>
    <w:rsid w:val="00A34FD3"/>
    <w:rsid w:val="00A36929"/>
    <w:rsid w:val="00A50548"/>
    <w:rsid w:val="00A60EE7"/>
    <w:rsid w:val="00A910C9"/>
    <w:rsid w:val="00AA35B0"/>
    <w:rsid w:val="00AB59CE"/>
    <w:rsid w:val="00AD18C8"/>
    <w:rsid w:val="00AD7FA6"/>
    <w:rsid w:val="00AE4643"/>
    <w:rsid w:val="00AF0416"/>
    <w:rsid w:val="00B10CB4"/>
    <w:rsid w:val="00B13D6F"/>
    <w:rsid w:val="00B17848"/>
    <w:rsid w:val="00B23B72"/>
    <w:rsid w:val="00B42702"/>
    <w:rsid w:val="00B57B8B"/>
    <w:rsid w:val="00B85407"/>
    <w:rsid w:val="00B95702"/>
    <w:rsid w:val="00BC6489"/>
    <w:rsid w:val="00BD480C"/>
    <w:rsid w:val="00BE22DA"/>
    <w:rsid w:val="00C10E7F"/>
    <w:rsid w:val="00C20954"/>
    <w:rsid w:val="00C23324"/>
    <w:rsid w:val="00C42A41"/>
    <w:rsid w:val="00C47E74"/>
    <w:rsid w:val="00C57A72"/>
    <w:rsid w:val="00C73602"/>
    <w:rsid w:val="00CF60C8"/>
    <w:rsid w:val="00D30DE2"/>
    <w:rsid w:val="00D32924"/>
    <w:rsid w:val="00D503A3"/>
    <w:rsid w:val="00D73518"/>
    <w:rsid w:val="00DA0796"/>
    <w:rsid w:val="00DA6ED0"/>
    <w:rsid w:val="00DC5011"/>
    <w:rsid w:val="00E171B6"/>
    <w:rsid w:val="00E70D3B"/>
    <w:rsid w:val="00E72695"/>
    <w:rsid w:val="00E94E1F"/>
    <w:rsid w:val="00EB1753"/>
    <w:rsid w:val="00EB6CFF"/>
    <w:rsid w:val="00EE3996"/>
    <w:rsid w:val="00F07062"/>
    <w:rsid w:val="00F23CFC"/>
    <w:rsid w:val="00F433E2"/>
    <w:rsid w:val="00F904AE"/>
    <w:rsid w:val="00F934F8"/>
    <w:rsid w:val="00FB52FE"/>
    <w:rsid w:val="00FC0A34"/>
    <w:rsid w:val="00FD1DEF"/>
    <w:rsid w:val="00FE3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97E7AB"/>
  <w15:chartTrackingRefBased/>
  <w15:docId w15:val="{4DFF2750-D27A-4F52-B6FB-B2D7BB6C2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i-FI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3FA5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TOC1">
    <w:name w:val="toc 1"/>
    <w:basedOn w:val="Normal"/>
    <w:next w:val="Normal"/>
    <w:autoRedefine/>
    <w:uiPriority w:val="39"/>
    <w:rsid w:val="00C23324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Pr>
      <w:b/>
    </w:rPr>
  </w:style>
  <w:style w:type="paragraph" w:customStyle="1" w:styleId="NormalBold12a">
    <w:name w:val="NormalBold12a"/>
    <w:basedOn w:val="Normal"/>
    <w:pPr>
      <w:spacing w:after="240"/>
    </w:pPr>
    <w:rPr>
      <w:b/>
    </w:rPr>
  </w:style>
  <w:style w:type="paragraph" w:customStyle="1" w:styleId="AmJustText">
    <w:name w:val="AmJustText"/>
    <w:basedOn w:val="Normal"/>
    <w:pPr>
      <w:spacing w:after="240"/>
    </w:pPr>
    <w:rPr>
      <w:i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Name">
    <w:name w:val="EPName"/>
    <w:basedOn w:val="Normal"/>
    <w:rsid w:val="006F7907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F07062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AmCrossRef">
    <w:name w:val="AmCrossRef"/>
    <w:basedOn w:val="Normal"/>
    <w:rsid w:val="00DA6ED0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4E733D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F07062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F23CFC"/>
    <w:pPr>
      <w:tabs>
        <w:tab w:val="center" w:pos="4513"/>
        <w:tab w:val="right" w:pos="9026"/>
      </w:tabs>
    </w:pPr>
  </w:style>
  <w:style w:type="paragraph" w:customStyle="1" w:styleId="AmOrLang">
    <w:name w:val="AmOrLang"/>
    <w:basedOn w:val="Normal"/>
    <w:rsid w:val="002669B6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2669B6"/>
    <w:pPr>
      <w:spacing w:after="240"/>
      <w:jc w:val="center"/>
    </w:pPr>
    <w:rPr>
      <w:i/>
    </w:rPr>
  </w:style>
  <w:style w:type="table" w:styleId="TableGrid">
    <w:name w:val="Table Grid"/>
    <w:basedOn w:val="TableNormal"/>
    <w:rsid w:val="004616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mNumberTabs">
    <w:name w:val="AmNumberTabs"/>
    <w:basedOn w:val="Normal"/>
    <w:rsid w:val="004C091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4C0915"/>
    <w:pPr>
      <w:spacing w:before="240"/>
    </w:pPr>
    <w:rPr>
      <w:b/>
    </w:rPr>
  </w:style>
  <w:style w:type="paragraph" w:customStyle="1" w:styleId="EPBody">
    <w:name w:val="EPBody"/>
    <w:basedOn w:val="Normal"/>
    <w:rsid w:val="00461601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461601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461601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6F7907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6F7907"/>
    <w:pPr>
      <w:jc w:val="right"/>
    </w:pPr>
  </w:style>
  <w:style w:type="paragraph" w:customStyle="1" w:styleId="EPFooter">
    <w:name w:val="EPFooter"/>
    <w:basedOn w:val="Normal"/>
    <w:rsid w:val="00F0706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PageNumber">
    <w:name w:val="page number"/>
    <w:basedOn w:val="DefaultParagraphFont"/>
    <w:semiHidden/>
    <w:rsid w:val="00914537"/>
  </w:style>
  <w:style w:type="character" w:customStyle="1" w:styleId="HeaderChar">
    <w:name w:val="Header Char"/>
    <w:basedOn w:val="DefaultParagraphFont"/>
    <w:link w:val="Header"/>
    <w:semiHidden/>
    <w:rsid w:val="00F23CFC"/>
    <w:rPr>
      <w:sz w:val="24"/>
    </w:rPr>
  </w:style>
  <w:style w:type="paragraph" w:customStyle="1" w:styleId="EPComma">
    <w:name w:val="EPComma"/>
    <w:basedOn w:val="Normal"/>
    <w:rsid w:val="00A910C9"/>
    <w:pPr>
      <w:spacing w:before="480" w:after="240"/>
    </w:pPr>
  </w:style>
  <w:style w:type="paragraph" w:customStyle="1" w:styleId="Lgendesigne">
    <w:name w:val="Légende signe"/>
    <w:basedOn w:val="Normal"/>
    <w:rsid w:val="006F1136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6F1136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6F1136"/>
    <w:rPr>
      <w:sz w:val="18"/>
    </w:rPr>
  </w:style>
  <w:style w:type="paragraph" w:styleId="FootnoteText">
    <w:name w:val="footnote text"/>
    <w:basedOn w:val="Normal"/>
    <w:link w:val="FootnoteTextChar"/>
    <w:rsid w:val="006F1136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6F1136"/>
  </w:style>
  <w:style w:type="character" w:styleId="FootnoteReference">
    <w:name w:val="footnote reference"/>
    <w:basedOn w:val="DefaultParagraphFont"/>
    <w:rsid w:val="006F1136"/>
    <w:rPr>
      <w:vertAlign w:val="superscript"/>
    </w:rPr>
  </w:style>
  <w:style w:type="character" w:customStyle="1" w:styleId="Normal6Char">
    <w:name w:val="Normal6 Char"/>
    <w:basedOn w:val="DefaultParagraphFont"/>
    <w:link w:val="Normal6"/>
    <w:locked/>
    <w:rsid w:val="00932D06"/>
    <w:rPr>
      <w:sz w:val="24"/>
      <w:lang w:val="fi-FI"/>
    </w:rPr>
  </w:style>
  <w:style w:type="paragraph" w:customStyle="1" w:styleId="Normal6">
    <w:name w:val="Normal6"/>
    <w:basedOn w:val="Normal"/>
    <w:link w:val="Normal6Char"/>
    <w:rsid w:val="00932D06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932D06"/>
    <w:rPr>
      <w:b/>
      <w:sz w:val="24"/>
    </w:rPr>
  </w:style>
  <w:style w:type="paragraph" w:customStyle="1" w:styleId="ColumnHeading">
    <w:name w:val="ColumnHeading"/>
    <w:basedOn w:val="Normal"/>
    <w:rsid w:val="00932D06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932D0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932D06"/>
    <w:pPr>
      <w:jc w:val="right"/>
    </w:pPr>
  </w:style>
  <w:style w:type="paragraph" w:styleId="Footer">
    <w:name w:val="footer"/>
    <w:basedOn w:val="Normal"/>
    <w:link w:val="FooterChar"/>
    <w:semiHidden/>
    <w:rsid w:val="00932D0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932D06"/>
    <w:rPr>
      <w:sz w:val="24"/>
    </w:rPr>
  </w:style>
  <w:style w:type="paragraph" w:styleId="BalloonText">
    <w:name w:val="Balloon Text"/>
    <w:basedOn w:val="Normal"/>
    <w:link w:val="BalloonTextChar"/>
    <w:semiHidden/>
    <w:unhideWhenUsed/>
    <w:rsid w:val="00557C2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557C21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rsid w:val="001C63AC"/>
    <w:rPr>
      <w:sz w:val="16"/>
      <w:szCs w:val="16"/>
    </w:rPr>
  </w:style>
  <w:style w:type="paragraph" w:styleId="CommentText">
    <w:name w:val="annotation text"/>
    <w:basedOn w:val="Normal"/>
    <w:link w:val="CommentTextChar"/>
    <w:rsid w:val="001C63AC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1C63AC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1C63AC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1C63A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919AFB-656D-4505-B078-DA3A5CA12E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21</Pages>
  <Words>4846</Words>
  <Characters>42209</Characters>
  <Application>Microsoft Office Word</Application>
  <DocSecurity>0</DocSecurity>
  <Lines>1455</Lines>
  <Paragraphs>267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PR_COD_1amCom</vt:lpstr>
    </vt:vector>
  </TitlesOfParts>
  <Company/>
  <LinksUpToDate>false</LinksUpToDate>
  <CharactersWithSpaces>46788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PR_COD_1amCom</dc:title>
  <dc:creator>TURLUI Emil-Gabriel</dc:creator>
  <cp:lastModifiedBy>MANELL Mari</cp:lastModifiedBy>
  <cp:revision>2</cp:revision>
  <cp:lastPrinted>2004-11-04T09:41:00Z</cp:lastPrinted>
  <dcterms:created xsi:type="dcterms:W3CDTF">2023-09-25T13:16:00Z</dcterms:created>
  <dcterms:modified xsi:type="dcterms:W3CDTF">2023-09-25T13:16:00Z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1285454</vt:lpwstr>
  </property>
  <property fmtid="{D5CDD505-2E9C-101B-9397-08002B2CF9AE}" pid="4" name="&lt;Model&gt;">
    <vt:lpwstr>PR_COD_1amCom</vt:lpwstr>
  </property>
  <property fmtid="{D5CDD505-2E9C-101B-9397-08002B2CF9AE}" pid="5" name="&lt;ModelCod&gt;">
    <vt:lpwstr>\\eiciBRUpr1\pdocep$\DocEP\DOCS\General\PR\PR_Leg\COD\COD_1st\PR_COD_1amCom.dotx(17/04/2020 19:27:09)</vt:lpwstr>
  </property>
  <property fmtid="{D5CDD505-2E9C-101B-9397-08002B2CF9AE}" pid="6" name="&lt;ModelTra&gt;">
    <vt:lpwstr>\\eiciBRUpr1\pdocep$\DocEP\TRANSFIL\EN\PR_COD_1amCom.EN(29/06/2022 10:21:37)</vt:lpwstr>
  </property>
  <property fmtid="{D5CDD505-2E9C-101B-9397-08002B2CF9AE}" pid="7" name="&lt;Type&gt;">
    <vt:lpwstr>PR</vt:lpwstr>
  </property>
  <property fmtid="{D5CDD505-2E9C-101B-9397-08002B2CF9AE}" pid="8" name="Created with">
    <vt:lpwstr>9.14.1 Build [20230315]</vt:lpwstr>
  </property>
  <property fmtid="{D5CDD505-2E9C-101B-9397-08002B2CF9AE}" pid="9" name="FooterPath">
    <vt:lpwstr>PR\1285454EN.docx</vt:lpwstr>
  </property>
  <property fmtid="{D5CDD505-2E9C-101B-9397-08002B2CF9AE}" pid="10" name="LastEdited with">
    <vt:lpwstr>9.14.1 Build [20230315]</vt:lpwstr>
  </property>
  <property fmtid="{D5CDD505-2E9C-101B-9397-08002B2CF9AE}" pid="11" name="PE number">
    <vt:lpwstr>752.913</vt:lpwstr>
  </property>
  <property fmtid="{D5CDD505-2E9C-101B-9397-08002B2CF9AE}" pid="12" name="SendToEpades">
    <vt:lpwstr>OK - 2023/09/11 11:42</vt:lpwstr>
  </property>
  <property fmtid="{D5CDD505-2E9C-101B-9397-08002B2CF9AE}" pid="13" name="SDLStudio">
    <vt:lpwstr/>
  </property>
  <property fmtid="{D5CDD505-2E9C-101B-9397-08002B2CF9AE}" pid="14" name="Bookout">
    <vt:lpwstr>OK - 2023/09/25 15:15</vt:lpwstr>
  </property>
</Properties>
</file>