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D3DB7" w:rsidRPr="00DD05DE" w:rsidTr="00C85D0F">
        <w:trPr>
          <w:trHeight w:hRule="exact" w:val="1418"/>
        </w:trPr>
        <w:tc>
          <w:tcPr>
            <w:tcW w:w="6804" w:type="dxa"/>
            <w:shd w:val="clear" w:color="auto" w:fill="auto"/>
            <w:vAlign w:val="center"/>
          </w:tcPr>
          <w:p w:rsidR="00B13D6F" w:rsidRPr="00DD05DE" w:rsidRDefault="00836CC4" w:rsidP="00C85D0F">
            <w:pPr>
              <w:pStyle w:val="EPName"/>
            </w:pPr>
            <w:bookmarkStart w:id="0" w:name="_GoBack"/>
            <w:bookmarkEnd w:id="0"/>
            <w:r w:rsidRPr="00DD05DE">
              <w:t>Europos Parlamentas</w:t>
            </w:r>
          </w:p>
          <w:p w:rsidR="00B13D6F" w:rsidRPr="00DD05DE" w:rsidRDefault="00836CC4" w:rsidP="00FF437E">
            <w:pPr>
              <w:pStyle w:val="EPTerm"/>
            </w:pPr>
            <w:r w:rsidRPr="00DD05DE">
              <w:t>2019-2024</w:t>
            </w:r>
          </w:p>
        </w:tc>
        <w:tc>
          <w:tcPr>
            <w:tcW w:w="2268" w:type="dxa"/>
            <w:shd w:val="clear" w:color="auto" w:fill="auto"/>
          </w:tcPr>
          <w:p w:rsidR="00B13D6F" w:rsidRPr="00DD05DE" w:rsidRDefault="00836CC4" w:rsidP="00C85D0F">
            <w:pPr>
              <w:pStyle w:val="EPLogo"/>
            </w:pPr>
            <w:r w:rsidRPr="00DD05D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D05DE" w:rsidRDefault="00461601" w:rsidP="00461601">
      <w:pPr>
        <w:pStyle w:val="LineTop"/>
      </w:pPr>
    </w:p>
    <w:p w:rsidR="00461601" w:rsidRPr="00DD05DE" w:rsidRDefault="00836CC4" w:rsidP="00461601">
      <w:pPr>
        <w:pStyle w:val="EPBody"/>
      </w:pPr>
      <w:r w:rsidRPr="00DD05DE">
        <w:rPr>
          <w:rStyle w:val="HideTWBExt"/>
        </w:rPr>
        <w:t>&lt;</w:t>
      </w:r>
      <w:r w:rsidRPr="00DD05DE">
        <w:rPr>
          <w:rStyle w:val="HideTWBExt"/>
          <w:i w:val="0"/>
        </w:rPr>
        <w:t>Commission</w:t>
      </w:r>
      <w:r w:rsidRPr="00DD05DE">
        <w:rPr>
          <w:rStyle w:val="HideTWBExt"/>
        </w:rPr>
        <w:t>&gt;</w:t>
      </w:r>
      <w:r w:rsidRPr="00DD05DE">
        <w:rPr>
          <w:rStyle w:val="HideTWBInt"/>
          <w:color w:val="auto"/>
        </w:rPr>
        <w:t>{ECON}</w:t>
      </w:r>
      <w:r w:rsidRPr="00DD05DE">
        <w:t>Ekonomikos ir pinigų politikos komitetas</w:t>
      </w:r>
      <w:r w:rsidRPr="00DD05DE">
        <w:rPr>
          <w:rStyle w:val="HideTWBExt"/>
        </w:rPr>
        <w:t>&lt;/</w:t>
      </w:r>
      <w:r w:rsidRPr="00DD05DE">
        <w:rPr>
          <w:rStyle w:val="HideTWBExt"/>
          <w:i w:val="0"/>
        </w:rPr>
        <w:t>Commission</w:t>
      </w:r>
      <w:r w:rsidRPr="00DD05DE">
        <w:rPr>
          <w:rStyle w:val="HideTWBExt"/>
        </w:rPr>
        <w:t>&gt;</w:t>
      </w:r>
    </w:p>
    <w:p w:rsidR="00461601" w:rsidRPr="00DD05DE" w:rsidRDefault="00461601" w:rsidP="00461601">
      <w:pPr>
        <w:pStyle w:val="LineBottom"/>
      </w:pPr>
    </w:p>
    <w:p w:rsidR="00793EA9" w:rsidRPr="00DD05DE" w:rsidRDefault="00836CC4">
      <w:pPr>
        <w:pStyle w:val="CoverReference"/>
      </w:pPr>
      <w:r w:rsidRPr="00DD05DE">
        <w:rPr>
          <w:rStyle w:val="HideTWBExt"/>
          <w:b w:val="0"/>
        </w:rPr>
        <w:t>&lt;RefProc&gt;</w:t>
      </w:r>
      <w:r w:rsidRPr="00DD05DE">
        <w:t>2023/0113</w:t>
      </w:r>
      <w:r w:rsidRPr="00DD05DE">
        <w:rPr>
          <w:rStyle w:val="HideTWBExt"/>
          <w:b w:val="0"/>
        </w:rPr>
        <w:t>&lt;/RefProc&gt;&lt;RefTypeProc&gt;</w:t>
      </w:r>
      <w:r w:rsidRPr="00DD05DE">
        <w:t>(COD)</w:t>
      </w:r>
      <w:r w:rsidRPr="00DD05DE">
        <w:rPr>
          <w:rStyle w:val="HideTWBExt"/>
          <w:b w:val="0"/>
        </w:rPr>
        <w:t>&lt;/RefTypeProc&gt;</w:t>
      </w:r>
    </w:p>
    <w:p w:rsidR="00793EA9" w:rsidRPr="00DD05DE" w:rsidRDefault="00836CC4">
      <w:pPr>
        <w:pStyle w:val="CoverDate"/>
      </w:pPr>
      <w:r w:rsidRPr="00DD05DE">
        <w:rPr>
          <w:rStyle w:val="HideTWBExt"/>
        </w:rPr>
        <w:t>&lt;Date&gt;</w:t>
      </w:r>
      <w:r w:rsidRPr="00DD05DE">
        <w:rPr>
          <w:rStyle w:val="HideTWBInt"/>
          <w:color w:val="auto"/>
        </w:rPr>
        <w:t>{11/09/2023}</w:t>
      </w:r>
      <w:r w:rsidRPr="00DD05DE">
        <w:t>11.9.2023</w:t>
      </w:r>
      <w:r w:rsidRPr="00DD05DE">
        <w:rPr>
          <w:rStyle w:val="HideTWBExt"/>
        </w:rPr>
        <w:t>&lt;/Date&gt;</w:t>
      </w:r>
    </w:p>
    <w:p w:rsidR="00793EA9" w:rsidRPr="00DD05DE" w:rsidRDefault="00836CC4">
      <w:pPr>
        <w:pStyle w:val="CoverDocType"/>
      </w:pPr>
      <w:r w:rsidRPr="00DD05DE">
        <w:rPr>
          <w:rStyle w:val="HideTWBExt"/>
          <w:b w:val="0"/>
        </w:rPr>
        <w:t>&lt;RefProcLect&gt;</w:t>
      </w:r>
      <w:r w:rsidRPr="00DD05DE">
        <w:t>***I</w:t>
      </w:r>
      <w:r w:rsidRPr="00DD05DE">
        <w:rPr>
          <w:rStyle w:val="HideTWBExt"/>
          <w:b w:val="0"/>
        </w:rPr>
        <w:t>&lt;/RefProcLect&gt;</w:t>
      </w:r>
    </w:p>
    <w:p w:rsidR="00793EA9" w:rsidRPr="00DD05DE" w:rsidRDefault="00836CC4">
      <w:pPr>
        <w:pStyle w:val="CoverDocType24a"/>
      </w:pPr>
      <w:r w:rsidRPr="00DD05DE">
        <w:rPr>
          <w:rStyle w:val="HideTWBExt"/>
          <w:b w:val="0"/>
        </w:rPr>
        <w:t>&lt;TitreType&gt;</w:t>
      </w:r>
      <w:r w:rsidRPr="00DD05DE">
        <w:t>PRANEŠIMO</w:t>
      </w:r>
      <w:r w:rsidRPr="00DD05DE">
        <w:t xml:space="preserve"> PROJEKTAS</w:t>
      </w:r>
      <w:r w:rsidRPr="00DD05DE">
        <w:rPr>
          <w:rStyle w:val="HideTWBExt"/>
          <w:b w:val="0"/>
        </w:rPr>
        <w:t>&lt;/TitreType&gt;</w:t>
      </w:r>
    </w:p>
    <w:p w:rsidR="00FF437E" w:rsidRPr="00DD05DE" w:rsidRDefault="00836CC4" w:rsidP="00FF437E">
      <w:pPr>
        <w:pStyle w:val="CoverNormal"/>
      </w:pPr>
      <w:r w:rsidRPr="00DD05DE">
        <w:rPr>
          <w:rStyle w:val="HideTWBExt"/>
        </w:rPr>
        <w:t>&lt;Titre&gt;</w:t>
      </w:r>
      <w:r w:rsidRPr="00DD05DE">
        <w:t>dėl pasiūlymo dėl Europos Parlamento ir Tarybos direktyvos, kuria dėl tam tikrų minimalaus nuosavų lėšų ir tinkamų įsipareigojimų reikalavimo aspektų iš dalies keičiama Direktyva 2014/59/ES ir Reglamentas (ES) Nr. 806/2014</w:t>
      </w:r>
      <w:r w:rsidRPr="00DD05DE">
        <w:rPr>
          <w:rStyle w:val="HideTWBExt"/>
        </w:rPr>
        <w:t>&lt;/Ti</w:t>
      </w:r>
      <w:r w:rsidRPr="00DD05DE">
        <w:rPr>
          <w:rStyle w:val="HideTWBExt"/>
        </w:rPr>
        <w:t>tre&gt;</w:t>
      </w:r>
    </w:p>
    <w:p w:rsidR="00793EA9" w:rsidRPr="00DD05DE" w:rsidRDefault="00836CC4" w:rsidP="00FF437E">
      <w:pPr>
        <w:pStyle w:val="CoverNormal24a"/>
      </w:pPr>
      <w:r w:rsidRPr="00DD05DE">
        <w:rPr>
          <w:rStyle w:val="HideTWBExt"/>
        </w:rPr>
        <w:t>&lt;DocRef&gt;</w:t>
      </w:r>
      <w:r w:rsidRPr="00DD05DE">
        <w:t>(COM(2023)0229 – C9</w:t>
      </w:r>
      <w:r w:rsidRPr="00DD05DE">
        <w:noBreakHyphen/>
        <w:t>0134/2023 – 2023/0113(COD))</w:t>
      </w:r>
      <w:r w:rsidRPr="00DD05DE">
        <w:rPr>
          <w:rStyle w:val="HideTWBExt"/>
        </w:rPr>
        <w:t>&lt;/DocRef&gt;</w:t>
      </w:r>
    </w:p>
    <w:p w:rsidR="00793EA9" w:rsidRPr="00DD05DE" w:rsidRDefault="00836CC4">
      <w:pPr>
        <w:pStyle w:val="CoverNormal24a"/>
      </w:pPr>
      <w:r w:rsidRPr="00DD05DE">
        <w:rPr>
          <w:rStyle w:val="HideTWBExt"/>
        </w:rPr>
        <w:t>&lt;Commission&gt;</w:t>
      </w:r>
      <w:r w:rsidRPr="00DD05DE">
        <w:rPr>
          <w:rStyle w:val="HideTWBInt"/>
          <w:color w:val="auto"/>
        </w:rPr>
        <w:t>{ECON}</w:t>
      </w:r>
      <w:r w:rsidRPr="00DD05DE">
        <w:t>Ekonomikos ir pinigų politikos komitetas</w:t>
      </w:r>
      <w:r w:rsidRPr="00DD05DE">
        <w:rPr>
          <w:rStyle w:val="HideTWBExt"/>
        </w:rPr>
        <w:t>&lt;/Commission&gt;</w:t>
      </w:r>
    </w:p>
    <w:p w:rsidR="00793EA9" w:rsidRPr="00DD05DE" w:rsidRDefault="00836CC4">
      <w:pPr>
        <w:pStyle w:val="CoverNormal24a"/>
      </w:pPr>
      <w:r w:rsidRPr="00DD05DE">
        <w:t xml:space="preserve">Pranešėjas: </w:t>
      </w:r>
      <w:r w:rsidRPr="00DD05DE">
        <w:rPr>
          <w:rStyle w:val="HideTWBExt"/>
        </w:rPr>
        <w:t>&lt;Depute&gt;</w:t>
      </w:r>
      <w:r w:rsidRPr="00DD05DE">
        <w:t>Jonás Fernández</w:t>
      </w:r>
      <w:r w:rsidRPr="00DD05DE">
        <w:rPr>
          <w:rStyle w:val="HideTWBExt"/>
        </w:rPr>
        <w:t>&lt;/Depute&gt;</w:t>
      </w:r>
    </w:p>
    <w:p w:rsidR="001C5B44" w:rsidRPr="00DD05DE" w:rsidRDefault="001C5B44" w:rsidP="001C5B44">
      <w:pPr>
        <w:pStyle w:val="CoverNormal"/>
      </w:pPr>
    </w:p>
    <w:p w:rsidR="00FF437E" w:rsidRPr="00DD05DE" w:rsidRDefault="00836CC4" w:rsidP="00894923">
      <w:r w:rsidRPr="00DD05DE">
        <w:br w:type="page"/>
      </w:r>
      <w:r w:rsidR="00D73633" w:rsidRPr="00DD05DE">
        <w:lastRenderedPageBreak/>
        <w:fldChar w:fldCharType="begin"/>
      </w:r>
      <w:r w:rsidRPr="00DD05DE">
        <w:instrText xml:space="preserve"> TITLE  \* MERGEFORMAT </w:instrText>
      </w:r>
      <w:r w:rsidR="00D73633" w:rsidRPr="00DD05DE">
        <w:fldChar w:fldCharType="separate"/>
      </w:r>
      <w:r>
        <w:t>PR_COD_1amCom</w:t>
      </w:r>
      <w:r w:rsidR="00D73633" w:rsidRPr="00DD05DE">
        <w:fldChar w:fldCharType="end"/>
      </w:r>
    </w:p>
    <w:p w:rsidR="00FF437E" w:rsidRPr="00DD05DE" w:rsidRDefault="00FF437E" w:rsidP="00894923"/>
    <w:p w:rsidR="00FF437E" w:rsidRPr="00DD05DE" w:rsidRDefault="00FF437E"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D3DB7" w:rsidRPr="00DD05DE">
        <w:tc>
          <w:tcPr>
            <w:tcW w:w="5811" w:type="dxa"/>
          </w:tcPr>
          <w:p w:rsidR="00FF437E" w:rsidRPr="00DD05DE" w:rsidRDefault="00836CC4" w:rsidP="00894923">
            <w:pPr>
              <w:pStyle w:val="Lgendetitre"/>
            </w:pPr>
            <w:r w:rsidRPr="00DD05DE">
              <w:t xml:space="preserve">Procedūrų sutartiniai </w:t>
            </w:r>
            <w:r w:rsidRPr="00DD05DE">
              <w:t>ženklai</w:t>
            </w:r>
          </w:p>
        </w:tc>
      </w:tr>
      <w:tr w:rsidR="00AD3DB7" w:rsidRPr="00DD05DE" w:rsidTr="00C50C36">
        <w:trPr>
          <w:cantSplit/>
          <w:trHeight w:val="1944"/>
        </w:trPr>
        <w:tc>
          <w:tcPr>
            <w:tcW w:w="5811" w:type="dxa"/>
            <w:tcBorders>
              <w:bottom w:val="single" w:sz="4" w:space="0" w:color="auto"/>
            </w:tcBorders>
          </w:tcPr>
          <w:p w:rsidR="00FF437E" w:rsidRPr="00DD05DE" w:rsidRDefault="00836CC4" w:rsidP="00104CF2">
            <w:pPr>
              <w:pStyle w:val="Lgendesigne"/>
              <w:rPr>
                <w:szCs w:val="24"/>
              </w:rPr>
            </w:pPr>
            <w:r w:rsidRPr="00DD05DE">
              <w:tab/>
              <w:t>*</w:t>
            </w:r>
            <w:r w:rsidRPr="00DD05DE">
              <w:tab/>
              <w:t>Konsultavimosi procedūra</w:t>
            </w:r>
          </w:p>
          <w:p w:rsidR="00FF437E" w:rsidRPr="00DD05DE" w:rsidRDefault="00836CC4" w:rsidP="00104CF2">
            <w:pPr>
              <w:pStyle w:val="Lgendesigne"/>
              <w:rPr>
                <w:szCs w:val="24"/>
              </w:rPr>
            </w:pPr>
            <w:r w:rsidRPr="00DD05DE">
              <w:tab/>
              <w:t>***</w:t>
            </w:r>
            <w:r w:rsidRPr="00DD05DE">
              <w:tab/>
              <w:t>Pritarimo procedūra</w:t>
            </w:r>
          </w:p>
          <w:p w:rsidR="00FF437E" w:rsidRPr="00DD05DE" w:rsidRDefault="00836CC4" w:rsidP="00104CF2">
            <w:pPr>
              <w:pStyle w:val="Lgendesigne"/>
              <w:rPr>
                <w:szCs w:val="24"/>
              </w:rPr>
            </w:pPr>
            <w:r w:rsidRPr="00DD05DE">
              <w:tab/>
              <w:t>***I</w:t>
            </w:r>
            <w:r w:rsidRPr="00DD05DE">
              <w:tab/>
              <w:t>Įprasta teisėkūros procedūra (pirmasis svarstymas)</w:t>
            </w:r>
          </w:p>
          <w:p w:rsidR="00FF437E" w:rsidRPr="00DD05DE" w:rsidRDefault="00836CC4" w:rsidP="00104CF2">
            <w:pPr>
              <w:pStyle w:val="Lgendesigne"/>
              <w:rPr>
                <w:szCs w:val="24"/>
              </w:rPr>
            </w:pPr>
            <w:r w:rsidRPr="00DD05DE">
              <w:tab/>
              <w:t>***II</w:t>
            </w:r>
            <w:r w:rsidRPr="00DD05DE">
              <w:tab/>
              <w:t>Įprasta teisėkūros procedūra (antrasis svarstymas)</w:t>
            </w:r>
          </w:p>
          <w:p w:rsidR="00FF437E" w:rsidRPr="00DD05DE" w:rsidRDefault="00836CC4" w:rsidP="00104CF2">
            <w:pPr>
              <w:pStyle w:val="Lgendesigne"/>
            </w:pPr>
            <w:r w:rsidRPr="00DD05DE">
              <w:tab/>
              <w:t>***III</w:t>
            </w:r>
            <w:r w:rsidRPr="00DD05DE">
              <w:tab/>
              <w:t>Įprasta teisėkūros procedūra (trečiasis svarstymas)</w:t>
            </w:r>
          </w:p>
          <w:p w:rsidR="00FF437E" w:rsidRPr="00DD05DE" w:rsidRDefault="00FF437E" w:rsidP="00104CF2">
            <w:pPr>
              <w:pStyle w:val="Lgendestandard"/>
            </w:pPr>
          </w:p>
          <w:p w:rsidR="00FF437E" w:rsidRPr="00DD05DE" w:rsidRDefault="00836CC4" w:rsidP="00104CF2">
            <w:pPr>
              <w:pStyle w:val="Lgendestandard"/>
            </w:pPr>
            <w:r w:rsidRPr="00DD05DE">
              <w:t xml:space="preserve">(Procedūra </w:t>
            </w:r>
            <w:r w:rsidRPr="00DD05DE">
              <w:t>pasirenkama atsižvelgiant į teisės akto projekte pasiūlytą teisinį pagrindą.)</w:t>
            </w:r>
          </w:p>
          <w:p w:rsidR="00FF437E" w:rsidRPr="00DD05DE" w:rsidRDefault="00FF437E" w:rsidP="00894923"/>
        </w:tc>
      </w:tr>
    </w:tbl>
    <w:p w:rsidR="00FF437E" w:rsidRPr="00DD05DE" w:rsidRDefault="00FF437E" w:rsidP="00894923"/>
    <w:p w:rsidR="00FF437E" w:rsidRPr="00DD05DE" w:rsidRDefault="00FF437E" w:rsidP="00894923"/>
    <w:p w:rsidR="00FF437E" w:rsidRPr="00DD05DE" w:rsidRDefault="00FF437E" w:rsidP="00894923"/>
    <w:p w:rsidR="00FF437E" w:rsidRPr="00DD05DE" w:rsidRDefault="00FF437E"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D3DB7" w:rsidRPr="00DD05DE">
        <w:tc>
          <w:tcPr>
            <w:tcW w:w="5811" w:type="dxa"/>
          </w:tcPr>
          <w:p w:rsidR="00FF437E" w:rsidRPr="00DD05DE" w:rsidRDefault="00836CC4" w:rsidP="00F72672">
            <w:pPr>
              <w:pStyle w:val="Lgendetitre"/>
            </w:pPr>
            <w:r w:rsidRPr="00DD05DE">
              <w:t>Teisės akto projekto pakeitimai</w:t>
            </w:r>
          </w:p>
        </w:tc>
      </w:tr>
      <w:tr w:rsidR="00AD3DB7" w:rsidRPr="00DD05DE" w:rsidTr="007B1EF1">
        <w:trPr>
          <w:trHeight w:val="4498"/>
        </w:trPr>
        <w:tc>
          <w:tcPr>
            <w:tcW w:w="5811" w:type="dxa"/>
          </w:tcPr>
          <w:p w:rsidR="00FF437E" w:rsidRPr="00DD05DE" w:rsidRDefault="00836CC4" w:rsidP="00F72672">
            <w:pPr>
              <w:pStyle w:val="Lgendestandard"/>
              <w:rPr>
                <w:szCs w:val="24"/>
              </w:rPr>
            </w:pPr>
            <w:r w:rsidRPr="00DD05DE">
              <w:rPr>
                <w:b/>
              </w:rPr>
              <w:t>Parlamento pakeitimai, išdėstomi dviejuose stulpeliuose</w:t>
            </w:r>
          </w:p>
          <w:p w:rsidR="00FF437E" w:rsidRPr="00DD05DE" w:rsidRDefault="00FF437E" w:rsidP="00533450">
            <w:pPr>
              <w:pStyle w:val="Lgendestandard"/>
              <w:rPr>
                <w:szCs w:val="24"/>
              </w:rPr>
            </w:pPr>
          </w:p>
          <w:p w:rsidR="00FF437E" w:rsidRPr="00DD05DE" w:rsidRDefault="00836CC4" w:rsidP="00533450">
            <w:pPr>
              <w:pStyle w:val="Lgendestandard"/>
              <w:rPr>
                <w:szCs w:val="24"/>
              </w:rPr>
            </w:pPr>
            <w:r w:rsidRPr="00DD05DE">
              <w:t xml:space="preserve">Išbrauktos teksto dalys žymimos </w:t>
            </w:r>
            <w:r w:rsidRPr="00DD05DE">
              <w:rPr>
                <w:b/>
                <w:i/>
              </w:rPr>
              <w:t>pusjuodžiu kursyvu</w:t>
            </w:r>
            <w:r w:rsidRPr="00DD05DE">
              <w:t xml:space="preserve"> kairiajame stulpelyje. </w:t>
            </w:r>
            <w:r w:rsidRPr="00DD05DE">
              <w:t xml:space="preserve">Pakeitimai žymimi </w:t>
            </w:r>
            <w:r w:rsidRPr="00DD05DE">
              <w:rPr>
                <w:b/>
                <w:i/>
              </w:rPr>
              <w:t>pusjuodžiu kursyvu</w:t>
            </w:r>
            <w:r w:rsidRPr="00DD05DE">
              <w:t xml:space="preserve"> abiejuose stulpeliuose. Naujas tekstas žymimas </w:t>
            </w:r>
            <w:r w:rsidRPr="00DD05DE">
              <w:rPr>
                <w:b/>
                <w:i/>
              </w:rPr>
              <w:t>pusjuodžiu kursyvu</w:t>
            </w:r>
            <w:r w:rsidRPr="00DD05DE">
              <w:t xml:space="preserve"> dešiniajame stulpelyje.</w:t>
            </w:r>
          </w:p>
          <w:p w:rsidR="00FF437E" w:rsidRPr="00DD05DE" w:rsidRDefault="00FF437E" w:rsidP="00533450">
            <w:pPr>
              <w:pStyle w:val="Lgendestandard"/>
              <w:rPr>
                <w:szCs w:val="24"/>
              </w:rPr>
            </w:pPr>
          </w:p>
          <w:p w:rsidR="00FF437E" w:rsidRPr="00DD05DE" w:rsidRDefault="00836CC4" w:rsidP="00533450">
            <w:pPr>
              <w:pStyle w:val="Lgendestandard"/>
              <w:rPr>
                <w:szCs w:val="24"/>
              </w:rPr>
            </w:pPr>
            <w:r w:rsidRPr="00DD05DE">
              <w:t>Kiekvieno pakeitimo antraštės pirmoje ir antroje eilutėse nurodoma atitinkama svarstomo teisės akto projekto dalis. Jei pakeitim</w:t>
            </w:r>
            <w:r w:rsidRPr="00DD05DE">
              <w:t xml:space="preserve">as susijęs su esamu teisės aktu, kurį siekiama pakeisti teisės akto projektu, antraštėje pridedamos trečia ir ketvirta eilutės, kuriose atitinkamai nurodomas esamas teisės aktas ir keičiama šio teisės akto dalis. </w:t>
            </w:r>
          </w:p>
          <w:p w:rsidR="00FF437E" w:rsidRPr="00DD05DE" w:rsidRDefault="00FF437E" w:rsidP="00533450">
            <w:pPr>
              <w:pStyle w:val="Lgendestandard"/>
              <w:rPr>
                <w:szCs w:val="24"/>
              </w:rPr>
            </w:pPr>
          </w:p>
          <w:p w:rsidR="00FF437E" w:rsidRPr="00DD05DE" w:rsidRDefault="00836CC4" w:rsidP="00533450">
            <w:pPr>
              <w:pStyle w:val="Lgendestandard"/>
              <w:rPr>
                <w:b/>
                <w:szCs w:val="24"/>
              </w:rPr>
            </w:pPr>
            <w:r w:rsidRPr="00DD05DE">
              <w:rPr>
                <w:b/>
              </w:rPr>
              <w:t>Parlamento pakeitimai, pateikiami konsoli</w:t>
            </w:r>
            <w:r w:rsidRPr="00DD05DE">
              <w:rPr>
                <w:b/>
              </w:rPr>
              <w:t>duoto teksto forma</w:t>
            </w:r>
          </w:p>
          <w:p w:rsidR="00FF437E" w:rsidRPr="00DD05DE" w:rsidRDefault="00FF437E" w:rsidP="00533450">
            <w:pPr>
              <w:pStyle w:val="Lgendestandard"/>
              <w:rPr>
                <w:szCs w:val="24"/>
              </w:rPr>
            </w:pPr>
          </w:p>
          <w:p w:rsidR="00FF437E" w:rsidRPr="00DD05DE" w:rsidRDefault="00836CC4" w:rsidP="00533450">
            <w:pPr>
              <w:pStyle w:val="Lgendestandard"/>
              <w:rPr>
                <w:szCs w:val="24"/>
              </w:rPr>
            </w:pPr>
            <w:r w:rsidRPr="00DD05DE">
              <w:t xml:space="preserve">Naujos teksto dalys žymimos </w:t>
            </w:r>
            <w:r w:rsidRPr="00DD05DE">
              <w:rPr>
                <w:b/>
                <w:i/>
              </w:rPr>
              <w:t>pusjuodžiu kursyvu</w:t>
            </w:r>
            <w:r w:rsidRPr="00DD05DE">
              <w:t xml:space="preserve">. Išbrauktos teksto dalys nurodomos simboliu „▌“ arba perbraukiamos. Pakeistos teksto dalys nurodomos naują tekstą pažymint </w:t>
            </w:r>
            <w:r w:rsidRPr="00DD05DE">
              <w:rPr>
                <w:b/>
                <w:i/>
              </w:rPr>
              <w:t>pusjuodžiu kursyvu</w:t>
            </w:r>
            <w:r w:rsidRPr="00DD05DE">
              <w:t>, o ankstesnį nereikalingą tekstą išbraukiant ar</w:t>
            </w:r>
            <w:r w:rsidRPr="00DD05DE">
              <w:t xml:space="preserve">ba perbraukiant. </w:t>
            </w:r>
          </w:p>
          <w:p w:rsidR="00FF437E" w:rsidRPr="00DD05DE" w:rsidRDefault="00836CC4" w:rsidP="00533450">
            <w:pPr>
              <w:pStyle w:val="Lgendestandard"/>
            </w:pPr>
            <w:r w:rsidRPr="00DD05DE">
              <w:t>Nežymimi tik grynai techninio pobūdžio pakeitimai, kuriuos daro tarnybos, siekdamos parengti galutinį tekstą.</w:t>
            </w:r>
          </w:p>
          <w:p w:rsidR="00FF437E" w:rsidRPr="00DD05DE" w:rsidRDefault="00FF437E" w:rsidP="0069092A">
            <w:pPr>
              <w:pStyle w:val="Lgendestandard"/>
            </w:pPr>
          </w:p>
        </w:tc>
      </w:tr>
    </w:tbl>
    <w:p w:rsidR="00FF437E" w:rsidRPr="00DD05DE" w:rsidRDefault="00FF437E" w:rsidP="00894923"/>
    <w:p w:rsidR="00793EA9" w:rsidRPr="00DD05DE" w:rsidRDefault="00793EA9" w:rsidP="00012351">
      <w:pPr>
        <w:widowControl/>
        <w:tabs>
          <w:tab w:val="center" w:pos="4677"/>
        </w:tabs>
      </w:pPr>
    </w:p>
    <w:p w:rsidR="00793EA9" w:rsidRPr="00DD05DE" w:rsidRDefault="00836CC4">
      <w:pPr>
        <w:pStyle w:val="TOCHeading"/>
      </w:pPr>
      <w:r w:rsidRPr="00DD05DE">
        <w:br w:type="page"/>
      </w:r>
      <w:r w:rsidRPr="00DD05DE">
        <w:lastRenderedPageBreak/>
        <w:t>TURINYS</w:t>
      </w:r>
    </w:p>
    <w:p w:rsidR="00793EA9" w:rsidRPr="00DD05DE" w:rsidRDefault="00836CC4">
      <w:pPr>
        <w:pStyle w:val="TOCPage"/>
      </w:pPr>
      <w:r w:rsidRPr="00DD05DE">
        <w:t>Psl.</w:t>
      </w:r>
    </w:p>
    <w:p w:rsidR="00836CC4" w:rsidRDefault="00836CC4">
      <w:pPr>
        <w:pStyle w:val="TOC1"/>
        <w:tabs>
          <w:tab w:val="right" w:leader="dot" w:pos="9060"/>
        </w:tabs>
        <w:rPr>
          <w:rFonts w:asciiTheme="minorHAnsi" w:eastAsiaTheme="minorEastAsia" w:hAnsiTheme="minorHAnsi" w:cstheme="minorBidi"/>
          <w:noProof/>
          <w:sz w:val="22"/>
          <w:szCs w:val="22"/>
          <w:lang w:val="en-GB"/>
        </w:rPr>
      </w:pPr>
      <w:r w:rsidRPr="00DD05DE">
        <w:rPr>
          <w:b/>
        </w:rPr>
        <w:fldChar w:fldCharType="begin"/>
      </w:r>
      <w:r w:rsidRPr="00DD05DE">
        <w:rPr>
          <w:b/>
        </w:rPr>
        <w:instrText xml:space="preserve"> TOC \t "PageHeading</w:instrText>
      </w:r>
      <w:r w:rsidR="00FF437E" w:rsidRPr="00DD05DE">
        <w:rPr>
          <w:b/>
        </w:rPr>
        <w:instrText>;</w:instrText>
      </w:r>
      <w:r w:rsidRPr="00DD05DE">
        <w:rPr>
          <w:b/>
        </w:rPr>
        <w:instrText xml:space="preserve">1" </w:instrText>
      </w:r>
      <w:r w:rsidRPr="00DD05DE">
        <w:rPr>
          <w:b/>
        </w:rPr>
        <w:fldChar w:fldCharType="separate"/>
      </w:r>
      <w:r>
        <w:rPr>
          <w:noProof/>
        </w:rPr>
        <w:t>EUROPOS PARLAMENTO TEISĖKŪROS REZOLIUCIJOS PROJEKTAS</w:t>
      </w:r>
      <w:r>
        <w:rPr>
          <w:noProof/>
        </w:rPr>
        <w:tab/>
      </w:r>
      <w:r>
        <w:rPr>
          <w:noProof/>
        </w:rPr>
        <w:fldChar w:fldCharType="begin"/>
      </w:r>
      <w:r>
        <w:rPr>
          <w:noProof/>
        </w:rPr>
        <w:instrText xml:space="preserve"> PAGEREF _Toc145935015 \h </w:instrText>
      </w:r>
      <w:r>
        <w:rPr>
          <w:noProof/>
        </w:rPr>
      </w:r>
      <w:r>
        <w:rPr>
          <w:noProof/>
        </w:rPr>
        <w:fldChar w:fldCharType="separate"/>
      </w:r>
      <w:r>
        <w:rPr>
          <w:noProof/>
        </w:rPr>
        <w:t>5</w:t>
      </w:r>
      <w:r>
        <w:rPr>
          <w:noProof/>
        </w:rPr>
        <w:fldChar w:fldCharType="end"/>
      </w:r>
    </w:p>
    <w:p w:rsidR="002346B0" w:rsidRPr="00DD05DE" w:rsidRDefault="00836CC4" w:rsidP="00C23324">
      <w:r w:rsidRPr="00DD05DE">
        <w:rPr>
          <w:b/>
        </w:rPr>
        <w:fldChar w:fldCharType="end"/>
      </w:r>
    </w:p>
    <w:p w:rsidR="00793EA9" w:rsidRPr="00DD05DE" w:rsidRDefault="00836CC4">
      <w:pPr>
        <w:pStyle w:val="PageHeading"/>
      </w:pPr>
      <w:r w:rsidRPr="00DD05DE">
        <w:br w:type="page"/>
      </w:r>
      <w:r w:rsidRPr="00DD05DE">
        <w:br w:type="page"/>
      </w:r>
      <w:bookmarkStart w:id="1" w:name="_Toc145935015"/>
      <w:r w:rsidRPr="00DD05DE">
        <w:t>EUROPOS PARLAMENTO TEISĖKŪROS REZOLIUCIJOS PROJEKTAS</w:t>
      </w:r>
      <w:bookmarkEnd w:id="1"/>
    </w:p>
    <w:p w:rsidR="00FF437E" w:rsidRPr="00DD05DE" w:rsidRDefault="00836CC4" w:rsidP="00FF437E">
      <w:pPr>
        <w:pStyle w:val="NormalBold"/>
      </w:pPr>
      <w:r w:rsidRPr="00DD05DE">
        <w:t xml:space="preserve">dėl pasiūlymo dėl Europos Parlamento ir Tarybos direktyvos, kuria dėl tam tikrų minimalaus nuosavų lėšų ir tinkamų įsipareigojimų </w:t>
      </w:r>
      <w:r w:rsidRPr="00DD05DE">
        <w:t>reikalavimo aspektų iš dalies keičiama Direktyva 2014/59/ES ir Reglamentas (ES) Nr. 806/2014</w:t>
      </w:r>
    </w:p>
    <w:p w:rsidR="00FF437E" w:rsidRPr="00DD05DE" w:rsidRDefault="00836CC4" w:rsidP="00FF437E">
      <w:pPr>
        <w:pStyle w:val="NormalBold12a"/>
      </w:pPr>
      <w:r w:rsidRPr="00DD05DE">
        <w:t>(COM(2023)0229 – C9</w:t>
      </w:r>
      <w:r w:rsidRPr="00DD05DE">
        <w:noBreakHyphen/>
        <w:t>0134/2023 – 2023/0113(COD))</w:t>
      </w:r>
    </w:p>
    <w:p w:rsidR="00FF437E" w:rsidRPr="00DD05DE" w:rsidRDefault="00836CC4" w:rsidP="00FF437E">
      <w:pPr>
        <w:pStyle w:val="NormalBold"/>
      </w:pPr>
      <w:r w:rsidRPr="00DD05DE">
        <w:t>(Įprasta teisėkūros procedūra: pirmasis svarstymas)</w:t>
      </w:r>
    </w:p>
    <w:p w:rsidR="00FF437E" w:rsidRPr="00DD05DE" w:rsidRDefault="00836CC4" w:rsidP="00FF437E">
      <w:pPr>
        <w:pStyle w:val="EPComma"/>
      </w:pPr>
      <w:r w:rsidRPr="00DD05DE">
        <w:rPr>
          <w:i/>
          <w:iCs/>
        </w:rPr>
        <w:t>Europos Parlamentas,</w:t>
      </w:r>
    </w:p>
    <w:p w:rsidR="00FF437E" w:rsidRPr="00DD05DE" w:rsidRDefault="00836CC4" w:rsidP="00FF437E">
      <w:pPr>
        <w:pStyle w:val="NormalHanging12a"/>
      </w:pPr>
      <w:r w:rsidRPr="00DD05DE">
        <w:t>–</w:t>
      </w:r>
      <w:r w:rsidRPr="00DD05DE">
        <w:tab/>
        <w:t>atsižvelgdamas į Komisijos pasiūlymą Eur</w:t>
      </w:r>
      <w:r w:rsidRPr="00DD05DE">
        <w:t>opos Parlamentui ir Tarybai (COM(2023)0229),</w:t>
      </w:r>
    </w:p>
    <w:p w:rsidR="00FF437E" w:rsidRPr="00DD05DE" w:rsidRDefault="00836CC4" w:rsidP="00FF437E">
      <w:pPr>
        <w:pStyle w:val="NormalHanging12a"/>
      </w:pPr>
      <w:r w:rsidRPr="00DD05DE">
        <w:t>–</w:t>
      </w:r>
      <w:r w:rsidRPr="00DD05DE">
        <w:tab/>
        <w:t>atsižvelgdamas į Sutarties dėl Europos Sąjungos veikimo 294 straipsnio 2 dalį ir 114 straipsnį, pagal kuriuos Komisija pateikė pasiūlymą Parlamentui (C9</w:t>
      </w:r>
      <w:r w:rsidRPr="00DD05DE">
        <w:noBreakHyphen/>
        <w:t>0134/2023),</w:t>
      </w:r>
    </w:p>
    <w:p w:rsidR="00FF437E" w:rsidRPr="00DD05DE" w:rsidRDefault="00836CC4" w:rsidP="00FF437E">
      <w:pPr>
        <w:pStyle w:val="NormalHanging12a"/>
      </w:pPr>
      <w:r w:rsidRPr="00DD05DE">
        <w:t>–</w:t>
      </w:r>
      <w:r w:rsidRPr="00DD05DE">
        <w:tab/>
        <w:t>atsižvelgdamas į Sutarties dėl Europos Sąj</w:t>
      </w:r>
      <w:r w:rsidRPr="00DD05DE">
        <w:t>ungos veikimo 294 straipsnio 3 dalį,</w:t>
      </w:r>
    </w:p>
    <w:p w:rsidR="00FF437E" w:rsidRPr="00DD05DE" w:rsidRDefault="00836CC4" w:rsidP="00FF437E">
      <w:pPr>
        <w:pStyle w:val="NormalHanging12a"/>
      </w:pPr>
      <w:r w:rsidRPr="00DD05DE">
        <w:t>–</w:t>
      </w:r>
      <w:r w:rsidRPr="00DD05DE">
        <w:tab/>
        <w:t>atsižvelgdamas į Europos Centrinio Banko 2023 m. liepos 5 d. nuomonę</w:t>
      </w:r>
      <w:r w:rsidRPr="00DD05DE">
        <w:rPr>
          <w:rStyle w:val="FootnoteReference"/>
        </w:rPr>
        <w:footnoteReference w:id="1"/>
      </w:r>
      <w:r w:rsidRPr="00DD05DE">
        <w:t>,</w:t>
      </w:r>
    </w:p>
    <w:p w:rsidR="00FF437E" w:rsidRPr="00DD05DE" w:rsidRDefault="00836CC4" w:rsidP="00FF437E">
      <w:pPr>
        <w:pStyle w:val="NormalHanging12a"/>
      </w:pPr>
      <w:r w:rsidRPr="00DD05DE">
        <w:t>–</w:t>
      </w:r>
      <w:r w:rsidRPr="00DD05DE">
        <w:tab/>
        <w:t>atsižvelgdamas į 2023 m. liepos 13 d. Ekonomikos ir socialinių reikalų komiteto nuomonę</w:t>
      </w:r>
      <w:r w:rsidRPr="00DD05DE">
        <w:rPr>
          <w:rStyle w:val="FootnoteReference"/>
          <w:szCs w:val="24"/>
        </w:rPr>
        <w:footnoteReference w:id="2"/>
      </w:r>
      <w:r w:rsidRPr="00DD05DE">
        <w:t>,</w:t>
      </w:r>
    </w:p>
    <w:p w:rsidR="00FF437E" w:rsidRPr="00DD05DE" w:rsidRDefault="00836CC4" w:rsidP="00FF437E">
      <w:pPr>
        <w:pStyle w:val="NormalHanging12a"/>
      </w:pPr>
      <w:r w:rsidRPr="00DD05DE">
        <w:t>–</w:t>
      </w:r>
      <w:r w:rsidRPr="00DD05DE">
        <w:tab/>
        <w:t>atsižvelgdamas į Darbo tvarkos taisyklių 59 straipsn</w:t>
      </w:r>
      <w:r w:rsidRPr="00DD05DE">
        <w:t>į,</w:t>
      </w:r>
    </w:p>
    <w:p w:rsidR="00FF437E" w:rsidRPr="00DD05DE" w:rsidRDefault="00836CC4" w:rsidP="00FF437E">
      <w:pPr>
        <w:pStyle w:val="NormalHanging12a"/>
      </w:pPr>
      <w:r w:rsidRPr="00DD05DE">
        <w:t>–</w:t>
      </w:r>
      <w:r w:rsidRPr="00DD05DE">
        <w:tab/>
        <w:t>atsižvelgdamas į Ekonomikos ir pinigų politikos komiteto pranešimą (A9</w:t>
      </w:r>
      <w:r w:rsidRPr="00DD05DE">
        <w:noBreakHyphen/>
        <w:t>0000/2023),</w:t>
      </w:r>
    </w:p>
    <w:p w:rsidR="00FF437E" w:rsidRPr="00DD05DE" w:rsidRDefault="00836CC4" w:rsidP="00FF437E">
      <w:pPr>
        <w:pStyle w:val="NormalHanging12a"/>
      </w:pPr>
      <w:r w:rsidRPr="00DD05DE">
        <w:t>1.</w:t>
      </w:r>
      <w:r w:rsidRPr="00DD05DE">
        <w:tab/>
        <w:t>priima per pirmąjį svarstymą toliau pateiktą poziciją;</w:t>
      </w:r>
    </w:p>
    <w:p w:rsidR="00FF437E" w:rsidRPr="00DD05DE" w:rsidRDefault="00836CC4" w:rsidP="00FF437E">
      <w:pPr>
        <w:pStyle w:val="NormalHanging12a"/>
      </w:pPr>
      <w:r w:rsidRPr="00DD05DE">
        <w:t>2.</w:t>
      </w:r>
      <w:r w:rsidRPr="00DD05DE">
        <w:tab/>
        <w:t>ragina Komisiją dar kartą perduoti klausimą svarstyti Parlamentui, jei ji savo pasiūlymą pakeičia nauju tek</w:t>
      </w:r>
      <w:r w:rsidRPr="00DD05DE">
        <w:t>stu, jį keičia iš esmės arba ketina jį keisti iš esmės;</w:t>
      </w:r>
    </w:p>
    <w:p w:rsidR="00FF437E" w:rsidRPr="00DD05DE" w:rsidRDefault="00836CC4" w:rsidP="00FF437E">
      <w:pPr>
        <w:pStyle w:val="NormalHanging12a"/>
      </w:pPr>
      <w:r w:rsidRPr="00DD05DE">
        <w:t>3.</w:t>
      </w:r>
      <w:r w:rsidRPr="00DD05DE">
        <w:tab/>
        <w:t>paveda Pirmininkei perduoti Parlamento poziciją Tarybai, Komisijai ir nacionaliniams parlamentams.</w:t>
      </w:r>
    </w:p>
    <w:p w:rsidR="00FF437E" w:rsidRPr="00DD05DE" w:rsidRDefault="00FF437E" w:rsidP="00FF437E"/>
    <w:p w:rsidR="00FF437E" w:rsidRPr="00DD05DE" w:rsidRDefault="00FF437E" w:rsidP="00FF437E"/>
    <w:p w:rsidR="00FF437E" w:rsidRPr="00DD05DE" w:rsidRDefault="00FF437E" w:rsidP="00FF437E"/>
    <w:p w:rsidR="00FF437E" w:rsidRPr="00DD05DE" w:rsidRDefault="00FF437E" w:rsidP="00FF437E"/>
    <w:p w:rsidR="00FF437E" w:rsidRPr="00DD05DE" w:rsidRDefault="00FF437E" w:rsidP="00FF437E"/>
    <w:p w:rsidR="00FF437E" w:rsidRPr="00DD05DE" w:rsidRDefault="00836CC4" w:rsidP="00FF437E">
      <w:pPr>
        <w:pStyle w:val="AmNumberTabs"/>
        <w:keepNext/>
      </w:pPr>
      <w:r w:rsidRPr="00DD05DE">
        <w:rPr>
          <w:rStyle w:val="HideTWBExt"/>
          <w:b w:val="0"/>
        </w:rPr>
        <w:t>&lt;RepeatBlock-Amend&gt;</w:t>
      </w:r>
      <w:bookmarkStart w:id="2" w:name="restart"/>
      <w:r w:rsidRPr="00DD05DE">
        <w:rPr>
          <w:rStyle w:val="HideTWBExt"/>
          <w:b w:val="0"/>
        </w:rPr>
        <w:t>&lt;Amend&gt;</w:t>
      </w:r>
      <w:r w:rsidRPr="00DD05DE">
        <w:t>Pakeitimas</w:t>
      </w:r>
      <w:r w:rsidRPr="00DD05DE">
        <w:tab/>
      </w:r>
      <w:r w:rsidRPr="00DD05DE">
        <w:tab/>
      </w:r>
      <w:r w:rsidRPr="00DD05DE">
        <w:rPr>
          <w:rStyle w:val="HideTWBExt"/>
          <w:b w:val="0"/>
        </w:rPr>
        <w:t>&lt;NumAm&gt;</w:t>
      </w:r>
      <w:r w:rsidRPr="00DD05DE">
        <w:t>1</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w:t>
      </w:r>
      <w:r w:rsidRPr="00DD05DE">
        <w:rPr>
          <w:rStyle w:val="HideTWBExt"/>
          <w:b w:val="0"/>
        </w:rPr>
        <w:t>ocAmend&gt;</w:t>
      </w:r>
    </w:p>
    <w:p w:rsidR="00FF437E" w:rsidRPr="00DD05DE" w:rsidRDefault="00836CC4" w:rsidP="00FF437E">
      <w:pPr>
        <w:pStyle w:val="NormalBold"/>
      </w:pPr>
      <w:r w:rsidRPr="00DD05DE">
        <w:rPr>
          <w:rStyle w:val="HideTWBExt"/>
          <w:b w:val="0"/>
        </w:rPr>
        <w:t>&lt;Article&gt;</w:t>
      </w:r>
      <w:r w:rsidRPr="00DD05DE">
        <w:t>1 konstatuojamoji dalis</w:t>
      </w:r>
      <w:r w:rsidRPr="00DD05DE">
        <w:rPr>
          <w:rStyle w:val="HideTWBExt"/>
          <w:b w:val="0"/>
        </w:rPr>
        <w:t>&lt;/Article&gt;</w:t>
      </w:r>
      <w:bookmarkEnd w:id="2"/>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(1)</w:t>
            </w:r>
            <w:r w:rsidRPr="00DD05DE">
              <w:tab/>
              <w:t>Europos Parlamento ir Tarybos direktyva (ES) 2019/879</w:t>
            </w:r>
            <w:r w:rsidRPr="00DD05DE">
              <w:rPr>
                <w:vertAlign w:val="superscript"/>
              </w:rPr>
              <w:t>16</w:t>
            </w:r>
            <w:r w:rsidRPr="00DD05DE">
              <w:t xml:space="preserve"> ir Europos Parlamento ir Tarybos reglamentu (ES) 2019/877</w:t>
            </w:r>
            <w:r w:rsidRPr="00DD05DE">
              <w:rPr>
                <w:vertAlign w:val="superscript"/>
              </w:rPr>
              <w:t>17</w:t>
            </w:r>
            <w:r w:rsidRPr="00DD05DE">
              <w:t xml:space="preserve"> iš dalies pakeistas minimalus nuosavų lėšų ir tinkamų įsipareigojimų reikalavimas (MREL), nustatytas Europos Parlamento ir Tarybos direktyvoje 2014/59/ES</w:t>
            </w:r>
            <w:r w:rsidRPr="00DD05DE">
              <w:rPr>
                <w:vertAlign w:val="superscript"/>
              </w:rPr>
              <w:t>18</w:t>
            </w:r>
            <w:r w:rsidRPr="00DD05DE">
              <w:t xml:space="preserve"> ir Europos Parlamento ir Tarybos reglamente (ES) Nr. 806/2014l</w:t>
            </w:r>
            <w:r w:rsidRPr="00DD05DE">
              <w:rPr>
                <w:vertAlign w:val="superscript"/>
              </w:rPr>
              <w:t>19</w:t>
            </w:r>
            <w:r w:rsidRPr="00DD05DE">
              <w:t>, kuris taikomas Sąjungoje įsteigto</w:t>
            </w:r>
            <w:r w:rsidRPr="00DD05DE">
              <w:t>ms kredito įstaigoms ir investicinėms įmonėms (toliau – įstaigos), taip pat visiems kitiems subjektams, kuriems taikoma Direktyva 2014/59/ES arba Reglamentas (ES) Nr. 806/2014 (toliau – subjektai). Pagal tuos pakeitimus vidinį MREL, t. y. MREL, taikomą įst</w:t>
            </w:r>
            <w:r w:rsidRPr="00DD05DE">
              <w:t>aigoms ir subjektams, kurie yra pertvarkytinų subjektų patronuojamosios įmonės, tačiau patys nėra pertvarkytini subjektai, tie subjektai gali įvykdyti naudodami priemones, išleistas pertvarkytinam subjektui ir jo perkamas tiesiogiai arba netiesiogiai per k</w:t>
            </w:r>
            <w:r w:rsidRPr="00DD05DE">
              <w:t>itus tos pačios pertvarkytinos grupės subjektus;</w:t>
            </w:r>
          </w:p>
        </w:tc>
        <w:tc>
          <w:tcPr>
            <w:tcW w:w="4876" w:type="dxa"/>
            <w:hideMark/>
          </w:tcPr>
          <w:p w:rsidR="00FF437E" w:rsidRPr="00DD05DE" w:rsidRDefault="00836CC4" w:rsidP="003C4223">
            <w:pPr>
              <w:pStyle w:val="Normal6"/>
              <w:rPr>
                <w:szCs w:val="24"/>
              </w:rPr>
            </w:pPr>
            <w:r w:rsidRPr="00DD05DE">
              <w:t>(1)</w:t>
            </w:r>
            <w:r w:rsidRPr="00DD05DE">
              <w:tab/>
              <w:t>Europos Parlamento ir Tarybos direktyva (ES) 2019/879</w:t>
            </w:r>
            <w:r w:rsidRPr="00DD05DE">
              <w:rPr>
                <w:vertAlign w:val="superscript"/>
              </w:rPr>
              <w:t>16</w:t>
            </w:r>
            <w:r w:rsidRPr="00DD05DE">
              <w:t xml:space="preserve"> ir Europos Parlamento ir Tarybos reglamentu (ES) 2019/877</w:t>
            </w:r>
            <w:r w:rsidRPr="00DD05DE">
              <w:rPr>
                <w:vertAlign w:val="superscript"/>
              </w:rPr>
              <w:t>17</w:t>
            </w:r>
            <w:r w:rsidRPr="00DD05DE">
              <w:t xml:space="preserve"> iš dalies pakeistas minimalus nuosavų lėšų ir tinkamų įsipareigojimų reikalavimas (MREL</w:t>
            </w:r>
            <w:r w:rsidRPr="00DD05DE">
              <w:t>), nustatytas Europos Parlamento ir Tarybos direktyvoje 2014/59/ES</w:t>
            </w:r>
            <w:r w:rsidRPr="00DD05DE">
              <w:rPr>
                <w:vertAlign w:val="superscript"/>
              </w:rPr>
              <w:t>18</w:t>
            </w:r>
            <w:r w:rsidRPr="00DD05DE">
              <w:t xml:space="preserve"> ir Europos Parlamento ir Tarybos reglamente (ES) Nr. 806/2014l</w:t>
            </w:r>
            <w:r w:rsidRPr="00DD05DE">
              <w:rPr>
                <w:vertAlign w:val="superscript"/>
              </w:rPr>
              <w:t>19</w:t>
            </w:r>
            <w:r w:rsidRPr="00DD05DE">
              <w:t>, kuris taikomas Sąjungoje įsteigtoms kredito įstaigoms ir investicinėms įmonėms (toliau – įstaigos), taip pat visiems kiti</w:t>
            </w:r>
            <w:r w:rsidRPr="00DD05DE">
              <w:t>ems subjektams, kuriems taikoma Direktyva 2014/59/ES arba Reglamentas (ES) Nr. 806/2014 (toliau – subjektai). Pagal tuos pakeitimus vidinį MREL, t. y. MREL, taikomą įstaigoms ir subjektams, kurie yra pertvarkytinų subjektų patronuojamosios įmonės, tačiau p</w:t>
            </w:r>
            <w:r w:rsidRPr="00DD05DE">
              <w:t xml:space="preserve">atys nėra pertvarkytini subjektai, </w:t>
            </w:r>
            <w:r w:rsidRPr="00DD05DE">
              <w:rPr>
                <w:b/>
                <w:i/>
              </w:rPr>
              <w:t xml:space="preserve">tos įstaigos ir </w:t>
            </w:r>
            <w:r w:rsidRPr="00DD05DE">
              <w:t>tie subjektai gali įvykdyti naudodami priemones, išleistas pertvarkytinam subjektui ir jo perkamas tiesiogiai arba netiesiogiai per kitus tos pačios pertvarkytinos grupės subjektus;</w:t>
            </w:r>
          </w:p>
        </w:tc>
      </w:tr>
      <w:tr w:rsidR="00AD3DB7" w:rsidRPr="00DD05DE" w:rsidTr="003C4223">
        <w:trPr>
          <w:jc w:val="center"/>
        </w:trPr>
        <w:tc>
          <w:tcPr>
            <w:tcW w:w="4876" w:type="dxa"/>
            <w:hideMark/>
          </w:tcPr>
          <w:p w:rsidR="00FF437E" w:rsidRPr="00DD05DE" w:rsidRDefault="00836CC4" w:rsidP="003C4223">
            <w:pPr>
              <w:pStyle w:val="Normal6"/>
            </w:pPr>
            <w:r w:rsidRPr="00DD05DE">
              <w:t>__________________</w:t>
            </w:r>
          </w:p>
        </w:tc>
        <w:tc>
          <w:tcPr>
            <w:tcW w:w="4876" w:type="dxa"/>
            <w:hideMark/>
          </w:tcPr>
          <w:p w:rsidR="00FF437E" w:rsidRPr="00DD05DE" w:rsidRDefault="00836CC4" w:rsidP="003C4223">
            <w:pPr>
              <w:pStyle w:val="Normal6"/>
              <w:rPr>
                <w:szCs w:val="24"/>
              </w:rPr>
            </w:pPr>
            <w:r w:rsidRPr="00DD05DE">
              <w:t>__________________</w:t>
            </w:r>
          </w:p>
        </w:tc>
      </w:tr>
      <w:tr w:rsidR="00AD3DB7" w:rsidRPr="00DD05DE" w:rsidTr="003C4223">
        <w:trPr>
          <w:jc w:val="center"/>
        </w:trPr>
        <w:tc>
          <w:tcPr>
            <w:tcW w:w="4876" w:type="dxa"/>
            <w:hideMark/>
          </w:tcPr>
          <w:p w:rsidR="00FF437E" w:rsidRPr="00DD05DE" w:rsidRDefault="00836CC4" w:rsidP="003C4223">
            <w:pPr>
              <w:pStyle w:val="Normal6"/>
            </w:pPr>
            <w:r w:rsidRPr="00DD05DE">
              <w:rPr>
                <w:vertAlign w:val="superscript"/>
              </w:rPr>
              <w:t>16</w:t>
            </w:r>
            <w:r w:rsidRPr="00DD05DE">
              <w:t xml:space="preserve"> 2019 m. gegužės 20 d. Europos Parlamento ir Tarybos direktyva (ES) 2019/879, kuria dėl kredito įstaigų ir investicinių įmonių nuostolių padengimo ir rekapitalizavimo pajėgumo iš dalies keičiama Direktyva 2014/59/ES ir iš dalies keiči</w:t>
            </w:r>
            <w:r w:rsidRPr="00DD05DE">
              <w:t>ama Direktyva 98/26/EB (OL L 150, 2019 6 7, p. 296).</w:t>
            </w:r>
          </w:p>
        </w:tc>
        <w:tc>
          <w:tcPr>
            <w:tcW w:w="4876" w:type="dxa"/>
            <w:hideMark/>
          </w:tcPr>
          <w:p w:rsidR="00FF437E" w:rsidRPr="00DD05DE" w:rsidRDefault="00836CC4" w:rsidP="003C4223">
            <w:pPr>
              <w:pStyle w:val="Normal6"/>
              <w:rPr>
                <w:szCs w:val="24"/>
              </w:rPr>
            </w:pPr>
            <w:r w:rsidRPr="00DD05DE">
              <w:rPr>
                <w:vertAlign w:val="superscript"/>
              </w:rPr>
              <w:t>16</w:t>
            </w:r>
            <w:r w:rsidRPr="00DD05DE">
              <w:t xml:space="preserve"> 2019 m. gegužės 20 d. Europos Parlamento ir Tarybos direktyva (ES) 2019/879, kuria dėl kredito įstaigų ir investicinių įmonių nuostolių padengimo ir rekapitalizavimo pajėgumo iš dalies keičiama Direkt</w:t>
            </w:r>
            <w:r w:rsidRPr="00DD05DE">
              <w:t>yva 2014/59/ES ir iš dalies keičiama Direktyva 98/26/EB (OL L 150, 2019 6 7, p. 296).</w:t>
            </w:r>
          </w:p>
        </w:tc>
      </w:tr>
      <w:tr w:rsidR="00AD3DB7" w:rsidRPr="00DD05DE" w:rsidTr="003C4223">
        <w:trPr>
          <w:jc w:val="center"/>
        </w:trPr>
        <w:tc>
          <w:tcPr>
            <w:tcW w:w="4876" w:type="dxa"/>
            <w:hideMark/>
          </w:tcPr>
          <w:p w:rsidR="00FF437E" w:rsidRPr="00DD05DE" w:rsidRDefault="00836CC4" w:rsidP="003C4223">
            <w:pPr>
              <w:pStyle w:val="Normal6"/>
            </w:pPr>
            <w:r w:rsidRPr="00DD05DE">
              <w:rPr>
                <w:vertAlign w:val="superscript"/>
              </w:rPr>
              <w:t>17</w:t>
            </w:r>
            <w:r w:rsidRPr="00DD05DE">
              <w:t xml:space="preserve"> 2019 m. gegužės 20 d. Europos Parlamento ir Tarybos reglamentas (ES) 2019/877, kuriuo dėl kredito įstaigų ir investicinių įmonių nuostolių padengimo ir rekapitalizavimo pajėgumo iš dalies keičiamas Reglamentas (ES) Nr. 806/2014 (OL L 150, 2019 6 7, p. 226</w:t>
            </w:r>
            <w:r w:rsidRPr="00DD05DE">
              <w:t>).</w:t>
            </w:r>
          </w:p>
        </w:tc>
        <w:tc>
          <w:tcPr>
            <w:tcW w:w="4876" w:type="dxa"/>
            <w:hideMark/>
          </w:tcPr>
          <w:p w:rsidR="00FF437E" w:rsidRPr="00DD05DE" w:rsidRDefault="00836CC4" w:rsidP="003C4223">
            <w:pPr>
              <w:pStyle w:val="Normal6"/>
              <w:rPr>
                <w:szCs w:val="24"/>
              </w:rPr>
            </w:pPr>
            <w:r w:rsidRPr="00DD05DE">
              <w:rPr>
                <w:vertAlign w:val="superscript"/>
              </w:rPr>
              <w:t>17</w:t>
            </w:r>
            <w:r w:rsidRPr="00DD05DE">
              <w:t xml:space="preserve"> 2019 m. gegužės 20 d. Europos Parlamento ir Tarybos reglamentas (ES) 2019/877, kuriuo dėl kredito įstaigų ir investicinių įmonių nuostolių padengimo ir rekapitalizavimo pajėgumo iš dalies keičiamas Reglamentas (ES) Nr. 806/2014 (OL L 150, 2019 6 7, p</w:t>
            </w:r>
            <w:r w:rsidRPr="00DD05DE">
              <w:t>. 226).</w:t>
            </w:r>
          </w:p>
        </w:tc>
      </w:tr>
      <w:tr w:rsidR="00AD3DB7" w:rsidRPr="00DD05DE" w:rsidTr="003C4223">
        <w:trPr>
          <w:jc w:val="center"/>
        </w:trPr>
        <w:tc>
          <w:tcPr>
            <w:tcW w:w="4876" w:type="dxa"/>
            <w:hideMark/>
          </w:tcPr>
          <w:p w:rsidR="00FF437E" w:rsidRPr="00DD05DE" w:rsidRDefault="00836CC4" w:rsidP="003C4223">
            <w:pPr>
              <w:pStyle w:val="Normal6"/>
            </w:pPr>
            <w:r w:rsidRPr="00DD05DE">
              <w:rPr>
                <w:vertAlign w:val="superscript"/>
              </w:rPr>
              <w:t>18</w:t>
            </w:r>
            <w:r w:rsidRPr="00DD05DE">
              <w:t xml:space="preserve"> 2014 m. gegužės 15 d. Europos Parlamento ir Tarybos direktyva 2014/59/ES, kuria nustatoma kredito įstaigų ir investicinių įmonių gaivinimo ir pertvarkymo sistema ir iš dalies keičiamos Tarybos direktyva 82/891/EEB, direktyvos 2001/24/EB, 2002/4</w:t>
            </w:r>
            <w:r w:rsidRPr="00DD05DE">
              <w:t>7/EB, 2004/25/EB, 2005/56/EB, 2007/36/EB, 2011/35/ES, 2012/30/ES bei 2013/36/ES ir Europos Parlamento ir Tarybos reglamentai (ES) Nr. 1093/2010 bei (ES) Nr. 648/2012 (OL L 173, 2014 6 12, p. 190).</w:t>
            </w:r>
          </w:p>
        </w:tc>
        <w:tc>
          <w:tcPr>
            <w:tcW w:w="4876" w:type="dxa"/>
            <w:hideMark/>
          </w:tcPr>
          <w:p w:rsidR="00FF437E" w:rsidRPr="00DD05DE" w:rsidRDefault="00836CC4" w:rsidP="003C4223">
            <w:pPr>
              <w:pStyle w:val="Normal6"/>
              <w:rPr>
                <w:szCs w:val="24"/>
              </w:rPr>
            </w:pPr>
            <w:r w:rsidRPr="00DD05DE">
              <w:rPr>
                <w:vertAlign w:val="superscript"/>
              </w:rPr>
              <w:t>18</w:t>
            </w:r>
            <w:r w:rsidRPr="00DD05DE">
              <w:t xml:space="preserve"> 2014 m. gegužės 15 d. Europos Parlamento ir Tarybos dire</w:t>
            </w:r>
            <w:r w:rsidRPr="00DD05DE">
              <w:t>ktyva 2014/59/ES, kuria nustatoma kredito įstaigų ir investicinių įmonių gaivinimo ir pertvarkymo sistema ir iš dalies keičiamos Tarybos direktyva 82/891/EEB, direktyvos 2001/24/EB, 2002/47/EB, 2004/25/EB, 2005/56/EB, 2007/36/EB, 2011/35/ES, 2012/30/ES bei</w:t>
            </w:r>
            <w:r w:rsidRPr="00DD05DE">
              <w:t xml:space="preserve"> 2013/36/ES ir Europos Parlamento ir Tarybos reglamentai (ES) Nr. 1093/2010 bei (ES) Nr. 648/2012 (OL L 173, 2014 6 12, p. 190).</w:t>
            </w:r>
          </w:p>
        </w:tc>
      </w:tr>
      <w:tr w:rsidR="00AD3DB7" w:rsidRPr="00DD05DE" w:rsidTr="003C4223">
        <w:trPr>
          <w:jc w:val="center"/>
        </w:trPr>
        <w:tc>
          <w:tcPr>
            <w:tcW w:w="4876" w:type="dxa"/>
            <w:hideMark/>
          </w:tcPr>
          <w:p w:rsidR="00FF437E" w:rsidRPr="00DD05DE" w:rsidRDefault="00836CC4" w:rsidP="003C4223">
            <w:pPr>
              <w:pStyle w:val="Normal6"/>
            </w:pPr>
            <w:r w:rsidRPr="00DD05DE">
              <w:rPr>
                <w:vertAlign w:val="superscript"/>
              </w:rPr>
              <w:t>19</w:t>
            </w:r>
            <w:r w:rsidRPr="00DD05DE">
              <w:t xml:space="preserve"> 2014 m. liepos 15 d. Europos Parlamento ir Tarybos reglamentas (ES) Nr. 806/2014, kuriuo nustatomos kredito įstaigų ir tam </w:t>
            </w:r>
            <w:r w:rsidRPr="00DD05DE">
              <w:t>tikrų investicinių įmonių pertvarkymo vienodos taisyklės ir vienoda procedūra, kiek tai susiję su bendru pertvarkymo mechanizmu ir Bendru pertvarkymo fondu, ir iš dalies keičiamas Reglamentas (ES) Nr. 1093/2010 (OL L 225, 2014 7 30, p. 1).</w:t>
            </w:r>
          </w:p>
        </w:tc>
        <w:tc>
          <w:tcPr>
            <w:tcW w:w="4876" w:type="dxa"/>
            <w:hideMark/>
          </w:tcPr>
          <w:p w:rsidR="00FF437E" w:rsidRPr="00DD05DE" w:rsidRDefault="00836CC4" w:rsidP="003C4223">
            <w:pPr>
              <w:pStyle w:val="Normal6"/>
              <w:rPr>
                <w:szCs w:val="24"/>
              </w:rPr>
            </w:pPr>
            <w:r w:rsidRPr="00DD05DE">
              <w:rPr>
                <w:vertAlign w:val="superscript"/>
              </w:rPr>
              <w:t>19</w:t>
            </w:r>
            <w:r w:rsidRPr="00DD05DE">
              <w:t xml:space="preserve"> 2014 m. liepo</w:t>
            </w:r>
            <w:r w:rsidRPr="00DD05DE">
              <w:t>s 15 d. Europos Parlamento ir Tarybos reglamentas (ES) Nr. 806/2014, kuriuo nustatomos kredito įstaigų ir tam tikrų investicinių įmonių pertvarkymo vienodos taisyklės ir vienoda procedūra, kiek tai susiję su bendru pertvarkymo mechanizmu ir Bendru pertvark</w:t>
            </w:r>
            <w:r w:rsidRPr="00DD05DE">
              <w:t>ymo fondu, ir iš dalies keičiamas Reglamentas (ES) Nr. 1093/2010 (OL L 225, 2014 7 30, p. 1).</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2</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3 konstatuojamoji dalis</w:t>
      </w:r>
      <w:r w:rsidRPr="00DD05DE">
        <w:rPr>
          <w:rStyle w:val="HideTWBExt"/>
          <w:b w:val="0"/>
        </w:rPr>
        <w:t>&lt;/Art</w:t>
      </w:r>
      <w:r w:rsidRPr="00DD05DE">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(3)</w:t>
            </w:r>
            <w:r w:rsidRPr="00DD05DE">
              <w:tab/>
            </w:r>
            <w:r w:rsidRPr="00DD05DE">
              <w:t>Komisijai atlikus peržiūrą nustatyta, kad būtų tinkama ir proporcinga, atsižvelgiant į tikslus, kurių siekiama vidinio MREL taisyklėmis, leisti pertvarkymo institucijoms nustatyti vidinį MREL konsoliduotu pagrindu įvairiems subjektams, įtraukiant daugiau s</w:t>
            </w:r>
            <w:r w:rsidRPr="00DD05DE">
              <w:t>ubjektų, nei taikant Direktyvą 2014/59/ES ir Reglamentą (ES) Nr. 806/2014, kai tokia didesnė subjektų įvairovė apima įstaigas ir subjektus, kurie patys nėra pertvarkytini subjektai, tačiau yra pertvarkytinų subjektų patronuojamosios įmonės ir patys kontrol</w:t>
            </w:r>
            <w:r w:rsidRPr="00DD05DE">
              <w:t xml:space="preserve">iuoja </w:t>
            </w:r>
            <w:r w:rsidRPr="00DD05DE">
              <w:rPr>
                <w:b/>
                <w:i/>
              </w:rPr>
              <w:t>patronuojamąsias įmones, kurioms taikomas MREL</w:t>
            </w:r>
            <w:r w:rsidRPr="00DD05DE">
              <w:t xml:space="preserve"> (toliau – tarpiniai subjektai). Tai visų pirma taikytina toms bankų grupėms, kurias valdo kontroliuojančioji bendrovė. Tokiais atvejais tarpiniai subjektai natūraliai centralizuoja grupės vidaus </w:t>
            </w:r>
            <w:r w:rsidRPr="00DD05DE">
              <w:t xml:space="preserve">pozicijas ir nukreipia vidiniam MREL vykdyti tinkamus išteklius, kuriuos iš anksto nustato pertvarkytinas subjektas. Dėl tokios struktūros tokiems tarpiniams subjektams atskaitymo taisyklės </w:t>
            </w:r>
            <w:r w:rsidRPr="00DD05DE">
              <w:rPr>
                <w:b/>
                <w:i/>
              </w:rPr>
              <w:t>turėtų</w:t>
            </w:r>
            <w:r w:rsidRPr="00DD05DE">
              <w:t xml:space="preserve"> neproporcingai didelį poveikį. Komisija taip pat padarė išv</w:t>
            </w:r>
            <w:r w:rsidRPr="00DD05DE">
              <w:t xml:space="preserve">adą, kad MREL sistema būtų proporcingesnė </w:t>
            </w:r>
            <w:r w:rsidRPr="00DD05DE">
              <w:rPr>
                <w:b/>
                <w:i/>
              </w:rPr>
              <w:t>pašalinus likviduojamų subjektų emisijas iš</w:t>
            </w:r>
            <w:r w:rsidRPr="00DD05DE">
              <w:t xml:space="preserve"> pozicijų, kurias tarpinis subjektas turi atskaityti</w:t>
            </w:r>
            <w:r w:rsidRPr="00DD05DE">
              <w:rPr>
                <w:b/>
                <w:i/>
              </w:rPr>
              <w:t xml:space="preserve"> pagal atskaitymo mechanizmą</w:t>
            </w:r>
            <w:r w:rsidRPr="00DD05DE">
              <w:t xml:space="preserve">, </w:t>
            </w:r>
            <w:r w:rsidRPr="00DD05DE">
              <w:rPr>
                <w:b/>
                <w:i/>
              </w:rPr>
              <w:t>taikomą vidiniam MREL vykdyti tinkamų išteklių netiesioginiam pasirašymui</w:t>
            </w:r>
            <w:r w:rsidRPr="00DD05DE">
              <w:t xml:space="preserve">, aprėpties. </w:t>
            </w:r>
            <w:r w:rsidRPr="00DD05DE">
              <w:rPr>
                <w:b/>
                <w:i/>
              </w:rPr>
              <w:t>Žlu</w:t>
            </w:r>
            <w:r w:rsidRPr="00DD05DE">
              <w:rPr>
                <w:b/>
                <w:i/>
              </w:rPr>
              <w:t>gimo atveju pertvarkytinas subjektas neturės remti likviduojamo subjekto</w:t>
            </w:r>
            <w:r w:rsidRPr="00DD05DE">
              <w:t>, taigi nebereikės nuostolių ir kapitalo pervedimo mechanizmų apsaugos pertvarkytinose grupėse, o tai buvo Reglamentu (ES) 2022/2036 nustatytų atskaitymo taisyklių tikslas. Tačiau liku</w:t>
            </w:r>
            <w:r w:rsidRPr="00DD05DE">
              <w:t>siems pertvarkytinos grupės subjektams pertvarkytinas subjektas turės padėti sunkumų arba žlugimo atveju. Todėl būtini MREL ištekliai turėtų būti užtikrinami visais pertvarkytinos grupės lygmenimis, o galimybė jais padengti nuostolius ir vykdyti rekapitali</w:t>
            </w:r>
            <w:r w:rsidRPr="00DD05DE">
              <w:t>zavimą turėtų būti užtikrinama taikant atskaitymo mechanizmą. Todėl Komisija atlikusi peržiūrą padarė išvadą, kad tarpiniai subjektai turėtų ir toliau atskaityti visą savo turimų vidiniam MREL vykdyti tinkamų išteklių, išleistų kitų tos pačios pertvarkytin</w:t>
            </w:r>
            <w:r w:rsidRPr="00DD05DE">
              <w:t>os grupės nelikviduojamų subjektų, sumą;</w:t>
            </w:r>
          </w:p>
        </w:tc>
        <w:tc>
          <w:tcPr>
            <w:tcW w:w="4876" w:type="dxa"/>
            <w:hideMark/>
          </w:tcPr>
          <w:p w:rsidR="00FF437E" w:rsidRPr="00DD05DE" w:rsidRDefault="00836CC4" w:rsidP="003C4223">
            <w:pPr>
              <w:pStyle w:val="Normal6"/>
              <w:rPr>
                <w:szCs w:val="24"/>
              </w:rPr>
            </w:pPr>
            <w:r w:rsidRPr="00DD05DE">
              <w:t>(3)</w:t>
            </w:r>
            <w:r w:rsidRPr="00DD05DE">
              <w:tab/>
              <w:t>Komisijai atlikus peržiūrą nustatyta, kad būtų tinkama ir proporcinga, atsižvelgiant į tikslus, kurių siekiama vidinio MREL taisyklėmis, leisti pertvarkymo institucijoms nustatyti vidinį MREL konsoliduotu pagrin</w:t>
            </w:r>
            <w:r w:rsidRPr="00DD05DE">
              <w:t>du įvairiems subjektams, įtraukiant daugiau subjektų, nei taikant Direktyvą 2014/59/ES ir Reglamentą (ES) Nr. 806/2014, kai tokia didesnė subjektų įvairovė apima įstaigas ir subjektus, kurie patys nėra pertvarkytini subjektai, tačiau yra pertvarkytinų subj</w:t>
            </w:r>
            <w:r w:rsidRPr="00DD05DE">
              <w:t xml:space="preserve">ektų patronuojamosios įmonės ir patys kontroliuoja </w:t>
            </w:r>
            <w:r w:rsidRPr="00DD05DE">
              <w:rPr>
                <w:b/>
                <w:i/>
              </w:rPr>
              <w:t>kitas tos pačios pertvarkytinos grupės patronuojamąsias įmones</w:t>
            </w:r>
            <w:r w:rsidRPr="00DD05DE">
              <w:t xml:space="preserve"> (toliau – tarpiniai subjektai). Tai visų pirma taikytina toms bankų grupėms, kurias valdo kontroliuojančioji bendrovė. Tokiais atvejais tarpin</w:t>
            </w:r>
            <w:r w:rsidRPr="00DD05DE">
              <w:t xml:space="preserve">iai subjektai natūraliai centralizuoja grupės vidaus pozicijas ir nukreipia vidiniam MREL vykdyti tinkamus išteklius, kuriuos iš anksto nustato pertvarkytinas subjektas. Dėl tokios struktūros tokiems tarpiniams subjektams atskaitymo taisyklės </w:t>
            </w:r>
            <w:r w:rsidRPr="00DD05DE">
              <w:rPr>
                <w:b/>
                <w:i/>
              </w:rPr>
              <w:t>galėtų turėti</w:t>
            </w:r>
            <w:r w:rsidRPr="00DD05DE">
              <w:t xml:space="preserve"> neproporcingai didelį poveikį. Komisija taip pat padarė išvadą, kad MREL sistema būtų proporcingesnė </w:t>
            </w:r>
            <w:r w:rsidRPr="00DD05DE">
              <w:rPr>
                <w:b/>
                <w:i/>
              </w:rPr>
              <w:t>pritaikius taisykles dėl</w:t>
            </w:r>
            <w:r w:rsidRPr="00DD05DE">
              <w:t xml:space="preserve"> pozicijų, kurias tarpinis subjektas turi atskaityti</w:t>
            </w:r>
            <w:r w:rsidRPr="00DD05DE">
              <w:rPr>
                <w:b/>
                <w:i/>
              </w:rPr>
              <w:t>, kai emitentas yra likviduojamas subjektas</w:t>
            </w:r>
            <w:r w:rsidRPr="00DD05DE">
              <w:t xml:space="preserve">, </w:t>
            </w:r>
            <w:r w:rsidRPr="00DD05DE">
              <w:rPr>
                <w:b/>
                <w:i/>
              </w:rPr>
              <w:t>dėl kurio nėra priimamas sprendim</w:t>
            </w:r>
            <w:r w:rsidRPr="00DD05DE">
              <w:rPr>
                <w:b/>
                <w:i/>
              </w:rPr>
              <w:t>as dėl MREL</w:t>
            </w:r>
            <w:r w:rsidRPr="00DD05DE">
              <w:t>, aprėpties.</w:t>
            </w:r>
            <w:r w:rsidRPr="00DD05DE">
              <w:rPr>
                <w:b/>
                <w:i/>
              </w:rPr>
              <w:t xml:space="preserve"> Tokiais atvejais nesitikima, kad tokių likviduojamų subjektų atžvilgiu teks pasinaudoti nurašymo ir konvertavimo įgaliojimais</w:t>
            </w:r>
            <w:r w:rsidRPr="00DD05DE">
              <w:t xml:space="preserve">, taigi nebereikės nuostolių ir kapitalo pervedimo mechanizmų apsaugos pertvarkytinose grupėse, o tai buvo </w:t>
            </w:r>
            <w:r w:rsidRPr="00DD05DE">
              <w:t>Reglamentu (ES) 2022/2036 nustatytų atskaitymo taisyklių tikslas. Tačiau likusiems pertvarkytinos grupės subjektams pertvarkytinas subjektas turės padėti sunkumų arba žlugimo atveju. Todėl būtini MREL ištekliai turėtų būti užtikrinami visais pertvarkytinos</w:t>
            </w:r>
            <w:r w:rsidRPr="00DD05DE">
              <w:t xml:space="preserve"> grupės lygmenimis, o galimybė jais padengti nuostolius ir vykdyti rekapitalizavimą turėtų būti užtikrinama taikant atskaitymo mechanizmą. Todėl Komisija atlikusi peržiūrą padarė išvadą, kad tarpiniai subjektai turėtų ir toliau atskaityti visą savo turimų </w:t>
            </w:r>
            <w:r w:rsidRPr="00DD05DE">
              <w:t>vidiniam MREL vykdyti tinkamų išteklių, išleistų kitų tos pačios pertvarkytinos grupės nelikviduojamų subjektų, sumą;</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3</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5 ko</w:t>
      </w:r>
      <w:r w:rsidRPr="00DD05DE">
        <w:t>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(5)</w:t>
            </w:r>
            <w:r w:rsidRPr="00DD05DE">
              <w:tab/>
              <w:t xml:space="preserve">siekiant užtikrinti, kad galimybė vykdyti MREL konsoliduotai būtų suteikta tik tinkamais atvejais, nustatytais Komisijai atlikus peržiūrą, ir dėl to visoje pertvarkytinoje grupėje </w:t>
            </w:r>
            <w:r w:rsidRPr="00DD05DE">
              <w:t>netrūktų vidiniam MREL vykdyti tinkamų išteklių, įgaliojimai nustatyti vidinį MREL tarpiniams subjektams konsoliduotai turėtų būti suteikti pertvarkymo institucijoms kaip diskreciniai įgaliojimai ir jiems turėtų būti taikomos tam tikros sąlygos. Tarpinis s</w:t>
            </w:r>
            <w:r w:rsidRPr="00DD05DE">
              <w:t>ubjektas turėtų būti vienintelė pertvarkytino subjekto, kuris yra Sąjungos patronuojančioji finansų kontroliuojančioji bendrovė arba Sąjungos patronuojančioji mišrią veiklą vykdanti finansų kontroliuojančioji bendrovė, tiesioginė patronuojamoji įstaiga arb</w:t>
            </w:r>
            <w:r w:rsidRPr="00DD05DE">
              <w:t>a subjektas, įsteigta toje pačioje valstybėje narėje ir priklausanti tai pačiai pertvarkytinai grupei. Kitu atveju atitinkamas tarpinis subjektas turėtų laikytis papildomų nuosavų lėšų reikalavimo arba jungtinio rezervo reikalavimo remdamasis savo konsolid</w:t>
            </w:r>
            <w:r w:rsidRPr="00DD05DE">
              <w:t xml:space="preserve">uota padėtimi. Tačiau abiem atvejais vidinio MREL laikymasis konsoliduotai, pertvarkymo institucijos vertinimu, neturėtų </w:t>
            </w:r>
            <w:r w:rsidRPr="00DD05DE">
              <w:rPr>
                <w:b/>
                <w:i/>
              </w:rPr>
              <w:t xml:space="preserve">reikšmingo </w:t>
            </w:r>
            <w:r w:rsidRPr="00DD05DE">
              <w:t>neigiamo poveikio galimybėms sėkmingai pertvarkyti atitinkamą pertvarkytiną grupę arba pertvarkymo institucijos galimybėms n</w:t>
            </w:r>
            <w:r w:rsidRPr="00DD05DE">
              <w:t>audotis įgaliojimais nurašyti arba konvertuoti atitinkamo tarpinio subjekto arba kitų pertvarkytinos grupės, kuriai jis priklauso, subjektų atitinkamas kapitalo priemones ir tinkamus įsipareigojimus;</w:t>
            </w:r>
          </w:p>
        </w:tc>
        <w:tc>
          <w:tcPr>
            <w:tcW w:w="4876" w:type="dxa"/>
            <w:hideMark/>
          </w:tcPr>
          <w:p w:rsidR="00FF437E" w:rsidRPr="00DD05DE" w:rsidRDefault="00836CC4" w:rsidP="003C4223">
            <w:pPr>
              <w:pStyle w:val="Normal6"/>
              <w:rPr>
                <w:szCs w:val="24"/>
              </w:rPr>
            </w:pPr>
            <w:r w:rsidRPr="00DD05DE">
              <w:t>(5)</w:t>
            </w:r>
            <w:r w:rsidRPr="00DD05DE">
              <w:tab/>
              <w:t>siekiant užtikrinti, kad galimybė vykdyti MREL konso</w:t>
            </w:r>
            <w:r w:rsidRPr="00DD05DE">
              <w:t>liduotai būtų suteikta tik tinkamais atvejais, nustatytais Komisijai atlikus peržiūrą, ir dėl to visoje pertvarkytinoje grupėje netrūktų vidiniam MREL vykdyti tinkamų išteklių, įgaliojimai nustatyti vidinį MREL tarpiniams subjektams konsoliduotai turėtų bū</w:t>
            </w:r>
            <w:r w:rsidRPr="00DD05DE">
              <w:t xml:space="preserve">ti suteikti pertvarkymo institucijoms kaip diskreciniai įgaliojimai ir jiems turėtų būti taikomos tam tikros sąlygos. Tarpinis subjektas turėtų būti vienintelė pertvarkytino subjekto, kuris yra Sąjungos patronuojančioji finansų kontroliuojančioji bendrovė </w:t>
            </w:r>
            <w:r w:rsidRPr="00DD05DE">
              <w:t>arba Sąjungos patronuojančioji mišrią veiklą vykdanti finansų kontroliuojančioji bendrovė, tiesioginė patronuojamoji įstaiga arba subjektas, įsteigta toje pačioje valstybėje narėje ir priklausanti tai pačiai pertvarkytinai grupei. Kitu atveju atitinkamas t</w:t>
            </w:r>
            <w:r w:rsidRPr="00DD05DE">
              <w:t>arpinis subjektas turėtų laikytis papildomų nuosavų lėšų reikalavimo arba jungtinio rezervo reikalavimo remdamasis savo konsoliduota padėtimi. Tačiau abiem atvejais vidinio MREL laikymasis konsoliduotai, pertvarkymo institucijos vertinimu, neturėtų neigiam</w:t>
            </w:r>
            <w:r w:rsidRPr="00DD05DE">
              <w:t>o poveikio galimybėms sėkmingai pertvarkyti atitinkamą pertvarkytiną grupę arba pertvarkymo institucijos galimybėms naudotis įgaliojimais nurašyti arba konvertuoti atitinkamo tarpinio subjekto arba kitų pertvarkytinos grupės, kuriai jis priklauso, subjektų</w:t>
            </w:r>
            <w:r w:rsidRPr="00DD05DE">
              <w:t xml:space="preserve"> atitinkamas kapitalo priemones ir tinkamus įsipareigojimus</w:t>
            </w:r>
            <w:r w:rsidRPr="00DD05DE">
              <w:rPr>
                <w:b/>
                <w:i/>
              </w:rPr>
              <w:t>.</w:t>
            </w:r>
            <w:r w:rsidRPr="00DD05DE">
              <w:t xml:space="preserve"> </w:t>
            </w:r>
            <w:r w:rsidRPr="00DD05DE">
              <w:rPr>
                <w:b/>
                <w:i/>
              </w:rPr>
              <w:t>Vienas iš atvejų, kai vidinio MREL nustatymas konsoliduotai pakenktų pertvarkytinos grupės pertvarkymo galimybei, yra kai to MREL suma neužtikrina individualių nuosavų lėšų reikalavimų, taikomų p</w:t>
            </w:r>
            <w:r w:rsidRPr="00DD05DE">
              <w:rPr>
                <w:b/>
                <w:i/>
              </w:rPr>
              <w:t>asinaudojus nurašymo ir konvertavimo įgaliojimais, laikymosi;</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4</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6 konstatuojamoji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 xml:space="preserve">Komisijos siūlomas </w:t>
            </w:r>
            <w:r w:rsidRPr="00DD05DE">
              <w:t>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(6)</w:t>
            </w:r>
            <w:r w:rsidRPr="00DD05DE">
              <w:tab/>
              <w:t>pagal Direktyvos 2014/59/ES 45f straipsnio 2 dalį ir Reglamento (ES) Nr. 806/2014 12g straipsnio 2 dalį tarpiniai subjektai gali vykdyti vidinį MREL konsoliduotai, naudodami nuosavas lėšas ir tinkamus įsipareigojimus. Siekiant visap</w:t>
            </w:r>
            <w:r w:rsidRPr="00DD05DE">
              <w:t>usiškai pasinaudoti galimybe vykdyti MREL konsoliduotai, būtina užtikrinti, kad tarpinių subjektų tinkami įsipareigojimai būtų apskaičiuojami panašiai kaip nuosavos lėšos. Todėl tinkamų įsipareigojimų, kurie gali būti naudojami siekiant vykdyti vidinį MREL</w:t>
            </w:r>
            <w:r w:rsidRPr="00DD05DE">
              <w:t xml:space="preserve"> konsoliduotai, tinkamumo kriterijai turėtų būti suderinti su Reglamente (ES) Nr. 575/2013 nustatytomis konsoliduotų nuosavų lėšų apskaičiavimo taisyklėmis. Siekiant užtikrinti suderinamumą su galiojančiomis išoriniam MREL taikomomis taisyklėmis, tas suder</w:t>
            </w:r>
            <w:r w:rsidRPr="00DD05DE">
              <w:t>inimas taip pat turėtų atspindėti Direktyvos 2014/59/ES 45b straipsnio 3 dalyje ir Reglamento (ES) Nr. 806/2014 12d straipsnio 3 dalyje nustatytas galiojančias taisykles dėl tinkamų įsipareigojimų, kuriuos pertvarkytini subjektai gali naudoti siekdami vykd</w:t>
            </w:r>
            <w:r w:rsidRPr="00DD05DE">
              <w:t xml:space="preserve">yti savo MREL konsoliduotai, apskaičiavimo. Visų pirma būtina užtikrinti, kad subjekto, kuriam vidinis MREL taikomas konsoliduotai, patronuojamųjų įmonių išleisti tinkami įsipareigojimai, kuriuos </w:t>
            </w:r>
            <w:r w:rsidRPr="00DD05DE">
              <w:rPr>
                <w:b/>
                <w:i/>
              </w:rPr>
              <w:t>turi kiti</w:t>
            </w:r>
            <w:r w:rsidRPr="00DD05DE">
              <w:t xml:space="preserve"> tos pačios pertvarkytinos grupės </w:t>
            </w:r>
            <w:r w:rsidRPr="00DD05DE">
              <w:rPr>
                <w:b/>
                <w:i/>
              </w:rPr>
              <w:t>subjektai</w:t>
            </w:r>
            <w:r w:rsidRPr="00DD05DE">
              <w:t xml:space="preserve">, kurie </w:t>
            </w:r>
            <w:r w:rsidRPr="00DD05DE">
              <w:t xml:space="preserve">nėra konsoliduojami, </w:t>
            </w:r>
            <w:r w:rsidRPr="00DD05DE">
              <w:rPr>
                <w:b/>
                <w:i/>
              </w:rPr>
              <w:t>įskaitant pertvarkytiną subjektą,</w:t>
            </w:r>
            <w:r w:rsidRPr="00DD05DE">
              <w:t xml:space="preserve"> arba esami akcininkai, nepriklausantys tai pačiai pertvarkytinai grupei, būtų įtraukti į subjekto, kuriam vidinis MREL taikomas konsoliduotai, nuosavas lėšas ir tinkamus įsipareigojimus;</w:t>
            </w:r>
          </w:p>
        </w:tc>
        <w:tc>
          <w:tcPr>
            <w:tcW w:w="4876" w:type="dxa"/>
            <w:hideMark/>
          </w:tcPr>
          <w:p w:rsidR="00FF437E" w:rsidRPr="00DD05DE" w:rsidRDefault="00836CC4" w:rsidP="003C4223">
            <w:pPr>
              <w:pStyle w:val="Normal6"/>
              <w:rPr>
                <w:szCs w:val="24"/>
              </w:rPr>
            </w:pPr>
            <w:r w:rsidRPr="00DD05DE">
              <w:t>(6)</w:t>
            </w:r>
            <w:r w:rsidRPr="00DD05DE">
              <w:tab/>
              <w:t>pagal Dire</w:t>
            </w:r>
            <w:r w:rsidRPr="00DD05DE">
              <w:t>ktyvos 2014/59/ES 45f straipsnio 2 dalį ir Reglamento (ES) Nr. 806/2014 12g straipsnio 2 dalį tarpiniai subjektai gali vykdyti vidinį MREL konsoliduotai, naudodami nuosavas lėšas ir tinkamus įsipareigojimus. Siekiant visapusiškai pasinaudoti galimybe vykdy</w:t>
            </w:r>
            <w:r w:rsidRPr="00DD05DE">
              <w:t>ti MREL konsoliduotai, būtina užtikrinti, kad tarpinių subjektų tinkami įsipareigojimai būtų apskaičiuojami panašiai kaip nuosavos lėšos. Todėl tinkamų įsipareigojimų, kurie gali būti naudojami siekiant vykdyti vidinį MREL konsoliduotai, tinkamumo kriterij</w:t>
            </w:r>
            <w:r w:rsidRPr="00DD05DE">
              <w:t xml:space="preserve">ai turėtų būti suderinti su Reglamente (ES) Nr. 575/2013 nustatytomis konsoliduotų nuosavų lėšų apskaičiavimo taisyklėmis. Siekiant užtikrinti suderinamumą su galiojančiomis išoriniam MREL taikomomis taisyklėmis, tas suderinimas taip pat turėtų atspindėti </w:t>
            </w:r>
            <w:r w:rsidRPr="00DD05DE">
              <w:t>Direktyvos 2014/59/ES 45b straipsnio 3 dalyje ir Reglamento (ES) Nr. 806/2014 12d straipsnio 3 dalyje nustatytas galiojančias taisykles dėl tinkamų įsipareigojimų, kuriuos pertvarkytini subjektai gali naudoti siekdami vykdyti savo MREL konsoliduotai, apska</w:t>
            </w:r>
            <w:r w:rsidRPr="00DD05DE">
              <w:t xml:space="preserve">ičiavimo. Visų pirma būtina užtikrinti, kad subjekto, kuriam vidinis MREL taikomas konsoliduotai, patronuojamųjų įmonių išleisti tinkami įsipareigojimai, kuriuos </w:t>
            </w:r>
            <w:r w:rsidRPr="00DD05DE">
              <w:rPr>
                <w:b/>
                <w:i/>
              </w:rPr>
              <w:t>tiesiogiai arba netiesiogiai per kitus</w:t>
            </w:r>
            <w:r w:rsidRPr="00DD05DE">
              <w:t xml:space="preserve"> tos pačios pertvarkytinos grupės </w:t>
            </w:r>
            <w:r w:rsidRPr="00DD05DE">
              <w:rPr>
                <w:b/>
                <w:i/>
              </w:rPr>
              <w:t>subjektus</w:t>
            </w:r>
            <w:r w:rsidRPr="00DD05DE">
              <w:t xml:space="preserve">, kurie nėra </w:t>
            </w:r>
            <w:r w:rsidRPr="00DD05DE">
              <w:t xml:space="preserve">konsoliduojami, </w:t>
            </w:r>
            <w:r w:rsidRPr="00DD05DE">
              <w:rPr>
                <w:b/>
                <w:i/>
              </w:rPr>
              <w:t>turi pertvarkytinas subjektas</w:t>
            </w:r>
            <w:r w:rsidRPr="00DD05DE">
              <w:t xml:space="preserve"> arba esami akcininkai, nepriklausantys tai pačiai pertvarkytinai grupei, būtų įtraukti į subjekto, kuriam vidinis MREL taikomas konsoliduotai, nuosavas lėšas ir tinkamus įsipareigojimus;</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w:t>
      </w:r>
      <w:r w:rsidRPr="00DD05DE">
        <w:rPr>
          <w:rStyle w:val="HideTWBExt"/>
        </w:rPr>
        <w: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5</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7 konstatuojamoji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(7)</w:t>
            </w:r>
            <w:r w:rsidRPr="00DD05DE">
              <w:tab/>
            </w:r>
            <w:r w:rsidRPr="00DD05DE">
              <w:rPr>
                <w:b/>
                <w:i/>
              </w:rPr>
              <w:t>likviduojamų</w:t>
            </w:r>
            <w:r w:rsidRPr="00DD05DE">
              <w:t xml:space="preserve"> subjektų atveju MREL </w:t>
            </w:r>
            <w:r w:rsidRPr="00DD05DE">
              <w:rPr>
                <w:b/>
                <w:i/>
              </w:rPr>
              <w:t>paprastai apsiriboja</w:t>
            </w:r>
            <w:r w:rsidRPr="00DD05DE">
              <w:t xml:space="preserve"> suma, būtina nuostoliams padengti, kuri atitinka nuosavų lėšų reikalavimus. Tokiais atvejais likviduojamam subjektui dėl taikomo MREL nenustatomas joks papildomas reikalavimas, tiesiogiai susijęs su pertvarkymo sistema. Tai reiškia, kad likviduojamas subj</w:t>
            </w:r>
            <w:r w:rsidRPr="00DD05DE">
              <w:t xml:space="preserve">ektas gali visiškai įvykdyti MREL laikydamasis nuosavų lėšų reikalavimų ir kad specialiu pertvarkymo institucijos sprendimu, kuriuo nustatomas MREL, reikšmingai neprisidedama prie likviduojamų subjektų sėkmingo pertvarkymo galimybių. Toks sprendimas apima </w:t>
            </w:r>
            <w:r w:rsidRPr="00DD05DE">
              <w:t>daug procedūrinių prievolių pertvarkymo institucijoms ir likviduojamiems subjektams, nesuteikiant atitinkamos naudos, susijusios su geresnėmis sėkmingo pertvarkymo galimybėmis. Dėl tos priežasties pertvarkymo institucijos neturėtų nustatyti MREL likviduoja</w:t>
            </w:r>
            <w:r w:rsidRPr="00DD05DE">
              <w:t>miems subjektams;</w:t>
            </w:r>
          </w:p>
        </w:tc>
        <w:tc>
          <w:tcPr>
            <w:tcW w:w="4876" w:type="dxa"/>
            <w:hideMark/>
          </w:tcPr>
          <w:p w:rsidR="00FF437E" w:rsidRPr="00DD05DE" w:rsidRDefault="00836CC4" w:rsidP="003C4223">
            <w:pPr>
              <w:pStyle w:val="Normal6"/>
              <w:rPr>
                <w:szCs w:val="24"/>
              </w:rPr>
            </w:pPr>
            <w:r w:rsidRPr="00DD05DE">
              <w:t>(7)</w:t>
            </w:r>
            <w:r w:rsidRPr="00DD05DE">
              <w:tab/>
            </w:r>
            <w:r w:rsidRPr="00DD05DE">
              <w:rPr>
                <w:b/>
                <w:i/>
              </w:rPr>
              <w:t>pagal dabartinę MREL sistemą likviduoti numatytų</w:t>
            </w:r>
            <w:r w:rsidRPr="00DD05DE">
              <w:t xml:space="preserve"> subjektų atveju MREL </w:t>
            </w:r>
            <w:r w:rsidRPr="00DD05DE">
              <w:rPr>
                <w:b/>
                <w:i/>
              </w:rPr>
              <w:t>dažniausiai nustatomas kaip</w:t>
            </w:r>
            <w:r w:rsidRPr="00DD05DE">
              <w:t xml:space="preserve"> suma, būtina nuostoliams padengti, kuri atitinka nuosavų lėšų reikalavimus. Tokiais atvejais likviduojamam subjektui dėl taikomo MREL ne</w:t>
            </w:r>
            <w:r w:rsidRPr="00DD05DE">
              <w:t>nustatomas joks papildomas reikalavimas, tiesiogiai susijęs su pertvarkymo sistema. Tai reiškia, kad likviduojamas subjektas gali visiškai įvykdyti MREL laikydamasis nuosavų lėšų reikalavimų ir kad specialiu pertvarkymo institucijos sprendimu, kuriuo nusta</w:t>
            </w:r>
            <w:r w:rsidRPr="00DD05DE">
              <w:t>tomas MREL, reikšmingai neprisidedama prie likviduojamų subjektų sėkmingo pertvarkymo galimybių. Toks sprendimas apima daug procedūrinių prievolių pertvarkymo institucijoms ir likviduojamiems subjektams, nesuteikiant atitinkamos naudos, susijusios su geres</w:t>
            </w:r>
            <w:r w:rsidRPr="00DD05DE">
              <w:t>nėmis sėkmingo pertvarkymo galimybėmis. Dėl tos priežasties pertvarkymo institucijos neturėtų nustatyti MREL likviduojamiems subjektams;</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6</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8 konstatuojamoji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(8)</w:t>
            </w:r>
            <w:r w:rsidRPr="00DD05DE">
              <w:tab/>
            </w:r>
            <w:r w:rsidRPr="00DD05DE">
              <w:rPr>
                <w:b/>
                <w:i/>
              </w:rPr>
              <w:t>kai</w:t>
            </w:r>
            <w:r w:rsidRPr="00DD05DE">
              <w:t xml:space="preserve"> pertvarkymo </w:t>
            </w:r>
            <w:r w:rsidRPr="00DD05DE">
              <w:rPr>
                <w:b/>
                <w:i/>
              </w:rPr>
              <w:t>institucija mano, kad pertvarkytinai grupei priklausantis</w:t>
            </w:r>
            <w:r w:rsidRPr="00DD05DE">
              <w:t xml:space="preserve"> subjektas gali būti laikomas likviduojamu subjektu, </w:t>
            </w:r>
            <w:r w:rsidRPr="00DD05DE">
              <w:rPr>
                <w:b/>
                <w:i/>
              </w:rPr>
              <w:t>neturėtų</w:t>
            </w:r>
            <w:r w:rsidRPr="00DD05DE">
              <w:t xml:space="preserve"> būti reikalaujama, ka</w:t>
            </w:r>
            <w:r w:rsidRPr="00DD05DE">
              <w:t>d tarpiniai subjektai iš savo vidinio MREL pajėgumo atskaitytų turimas nuosavas lėšas</w:t>
            </w:r>
            <w:r w:rsidRPr="00DD05DE">
              <w:rPr>
                <w:b/>
                <w:i/>
              </w:rPr>
              <w:t xml:space="preserve"> ar kitus įsipareigojimus</w:t>
            </w:r>
            <w:r w:rsidRPr="00DD05DE">
              <w:t xml:space="preserve">, </w:t>
            </w:r>
            <w:r w:rsidRPr="00DD05DE">
              <w:rPr>
                <w:b/>
                <w:i/>
              </w:rPr>
              <w:t>atitinkančius vidinio MREL vykdymo sąlygas ir išleistus likviduojamų subjektų. Tokiu atveju likviduojamas subjektas nebeprivalo laikytis</w:t>
            </w:r>
            <w:r w:rsidRPr="00DD05DE">
              <w:t xml:space="preserve"> MREL</w:t>
            </w:r>
            <w:r w:rsidRPr="00DD05DE">
              <w:rPr>
                <w:b/>
                <w:i/>
              </w:rPr>
              <w:t xml:space="preserve">, </w:t>
            </w:r>
            <w:r w:rsidRPr="00DD05DE">
              <w:rPr>
                <w:b/>
                <w:i/>
              </w:rPr>
              <w:t>todėl grandinėje, kurią sudaro pertvarkytinas subjektas, tarpinis subjektas ir likviduojamas subjektas</w:t>
            </w:r>
            <w:r w:rsidRPr="00DD05DE">
              <w:t xml:space="preserve">, </w:t>
            </w:r>
            <w:r w:rsidRPr="00DD05DE">
              <w:rPr>
                <w:b/>
                <w:i/>
              </w:rPr>
              <w:t>nėra vidiniam</w:t>
            </w:r>
            <w:r w:rsidRPr="00DD05DE">
              <w:t xml:space="preserve"> MREL </w:t>
            </w:r>
            <w:r w:rsidRPr="00DD05DE">
              <w:rPr>
                <w:b/>
                <w:i/>
              </w:rPr>
              <w:t>vykdyti tinkamų netiesiogiai pasirašytų išteklių</w:t>
            </w:r>
            <w:r w:rsidRPr="00DD05DE">
              <w:t>. Žlugimo atveju pertvarkymo strategijoje nenumatyta, kad pertvarkytinas subjektas tu</w:t>
            </w:r>
            <w:r w:rsidRPr="00DD05DE">
              <w:t xml:space="preserve">rėtų </w:t>
            </w:r>
            <w:r w:rsidRPr="00DD05DE">
              <w:rPr>
                <w:b/>
                <w:i/>
              </w:rPr>
              <w:t>remti</w:t>
            </w:r>
            <w:r w:rsidRPr="00DD05DE">
              <w:t xml:space="preserve"> likviduojamą subjektą. Tai reiškia, kad nebūtų tikimasi</w:t>
            </w:r>
            <w:r w:rsidRPr="00DD05DE">
              <w:rPr>
                <w:b/>
                <w:i/>
              </w:rPr>
              <w:t>,</w:t>
            </w:r>
            <w:r w:rsidRPr="00DD05DE">
              <w:t xml:space="preserve"> nei kad nuostoliai iš likviduojamo subjekto per tarpinį subjektą bus perkelti pertvarkytinam subjektui, nei kad kapitalas bus nukreiptas priešinga kryptimi. Taigi tas kapitalo dalių, kurio</w:t>
            </w:r>
            <w:r w:rsidRPr="00DD05DE">
              <w:t>s turi būti atskaitomos netiesiogiai pasirašant vidiniam MREL vykdyti tinkamus išteklius, apimties koregavimas neturėtų poveikio sistemos prudenciniam patikimumui;</w:t>
            </w:r>
          </w:p>
        </w:tc>
        <w:tc>
          <w:tcPr>
            <w:tcW w:w="4876" w:type="dxa"/>
            <w:hideMark/>
          </w:tcPr>
          <w:p w:rsidR="00FF437E" w:rsidRPr="00DD05DE" w:rsidRDefault="00836CC4" w:rsidP="003C4223">
            <w:pPr>
              <w:pStyle w:val="Normal6"/>
              <w:rPr>
                <w:szCs w:val="24"/>
              </w:rPr>
            </w:pPr>
            <w:r w:rsidRPr="00DD05DE">
              <w:t>(8)</w:t>
            </w:r>
            <w:r w:rsidRPr="00DD05DE">
              <w:tab/>
            </w:r>
            <w:r w:rsidRPr="00DD05DE">
              <w:rPr>
                <w:b/>
                <w:i/>
              </w:rPr>
              <w:t>rengdamos</w:t>
            </w:r>
            <w:r w:rsidRPr="00DD05DE">
              <w:t xml:space="preserve"> pertvarkymo </w:t>
            </w:r>
            <w:r w:rsidRPr="00DD05DE">
              <w:rPr>
                <w:b/>
                <w:i/>
              </w:rPr>
              <w:t>planus ir vertindamos pertvarkytinų grupių sėkmingo pertvarkymo ga</w:t>
            </w:r>
            <w:r w:rsidRPr="00DD05DE">
              <w:rPr>
                <w:b/>
                <w:i/>
              </w:rPr>
              <w:t>limybę pertvarkymo institucijos gali turėti omenyje, kad grupės</w:t>
            </w:r>
            <w:r w:rsidRPr="00DD05DE">
              <w:t xml:space="preserve"> subjektas gali būti laikomas likviduojamu subjektu, </w:t>
            </w:r>
            <w:r w:rsidRPr="00DD05DE">
              <w:rPr>
                <w:b/>
                <w:i/>
              </w:rPr>
              <w:t>nes to subjekto atžvilgiu nenumatoma taikyti nurašymo ir konvertavimo įgaliojimų. Tokiu atveju grupės subjektui gali nereikėti turėti nuosav</w:t>
            </w:r>
            <w:r w:rsidRPr="00DD05DE">
              <w:rPr>
                <w:b/>
                <w:i/>
              </w:rPr>
              <w:t>ų lėšų ir tinkamų įsipareigojimų, viršijančių jo nuosavų lėšų reikalavimus. Tokiomis aplinkybėmis turėtų</w:t>
            </w:r>
            <w:r w:rsidRPr="00DD05DE">
              <w:t xml:space="preserve"> būti reikalaujama, kad tarpiniai subjektai iš savo vidinio MREL pajėgumo atskaitytų turimas nuosavas lėšas, </w:t>
            </w:r>
            <w:r w:rsidRPr="00DD05DE">
              <w:rPr>
                <w:b/>
                <w:i/>
              </w:rPr>
              <w:t xml:space="preserve">kurias išleido likviduojami subjektai, dėl </w:t>
            </w:r>
            <w:r w:rsidRPr="00DD05DE">
              <w:rPr>
                <w:b/>
                <w:i/>
              </w:rPr>
              <w:t>kurių nepriimamas sprendimas, kuriuo nustatomas</w:t>
            </w:r>
            <w:r w:rsidRPr="00DD05DE">
              <w:t xml:space="preserve"> MREL</w:t>
            </w:r>
            <w:r w:rsidRPr="00DD05DE">
              <w:rPr>
                <w:b/>
                <w:i/>
              </w:rPr>
              <w:t>. Tačiau iš jų neturėtų būti reikalaujama atskaityti įsipareigojimų</w:t>
            </w:r>
            <w:r w:rsidRPr="00DD05DE">
              <w:t xml:space="preserve">, </w:t>
            </w:r>
            <w:r w:rsidRPr="00DD05DE">
              <w:rPr>
                <w:b/>
                <w:i/>
              </w:rPr>
              <w:t>atitinkančių vidinio</w:t>
            </w:r>
            <w:r w:rsidRPr="00DD05DE">
              <w:t xml:space="preserve"> MREL </w:t>
            </w:r>
            <w:r w:rsidRPr="00DD05DE">
              <w:rPr>
                <w:b/>
                <w:i/>
              </w:rPr>
              <w:t>vykdymo sąlygas</w:t>
            </w:r>
            <w:r w:rsidRPr="00DD05DE">
              <w:t xml:space="preserve">. Žlugimo atveju pertvarkymo strategijoje nenumatyta, kad pertvarkytinas subjektas turėtų </w:t>
            </w:r>
            <w:r w:rsidRPr="00DD05DE">
              <w:rPr>
                <w:b/>
                <w:i/>
              </w:rPr>
              <w:t>reka</w:t>
            </w:r>
            <w:r w:rsidRPr="00DD05DE">
              <w:rPr>
                <w:b/>
                <w:i/>
              </w:rPr>
              <w:t>pitalizuoti</w:t>
            </w:r>
            <w:r w:rsidRPr="00DD05DE">
              <w:t xml:space="preserve"> likviduojamą subjektą. Tai reiškia, kad nebūtų tikimasi nei kad</w:t>
            </w:r>
            <w:r w:rsidRPr="00DD05DE">
              <w:rPr>
                <w:b/>
                <w:i/>
              </w:rPr>
              <w:t xml:space="preserve"> jų esamus nuosavų lėšų reikalavimus viršijantys</w:t>
            </w:r>
            <w:r w:rsidRPr="00DD05DE">
              <w:t xml:space="preserve"> nuostoliai iš likviduojamo subjekto per tarpinį subjektą bus perkelti pertvarkytinam subjektui, nei kad kapitalas bus nukreiptas pri</w:t>
            </w:r>
            <w:r w:rsidRPr="00DD05DE">
              <w:t>ešinga kryptimi. Taigi tas kapitalo dalių, kurios turi būti atskaitomos netiesiogiai pasirašant vidiniam MREL vykdyti tinkamus išteklius, apimties koregavimas neturėtų poveikio sistemos prudenciniam patikimumui;</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7</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9 konstatuojamoji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(9)</w:t>
            </w:r>
            <w:r w:rsidRPr="00DD05DE">
              <w:tab/>
              <w:t>pagrindinis Reglamento (ES) Nr. 575/2013 77 straipsnio 2 dalyje ir 78a straipsnyje nu</w:t>
            </w:r>
            <w:r w:rsidRPr="00DD05DE">
              <w:t>statytos leidimų mažinti tinkamų įsipareigojimų priemones tvarkos, kuri taip pat taikoma įstaigoms ir subjektams, kuriems taikomas MREL, ir įsipareigojimams, kurie išleisti siekiant vykdyti MREL, tikslas – sudaryti sąlygas pertvarkymo institucijoms stebėti</w:t>
            </w:r>
            <w:r w:rsidRPr="00DD05DE">
              <w:t xml:space="preserve"> veiksmus, dėl kurių sumažėja tinkamų įsipareigojimų straipsniai, ir uždrausti bet kokius veiksmus, dėl kurių būtų viršytas lygis, kurį pertvarkymo institucijos laiko tinkamu. Jeigu pertvarkymo institucija nėra priėmusi sprendimo, kuriuo įstaigai ar subjek</w:t>
            </w:r>
            <w:r w:rsidRPr="00DD05DE">
              <w:t xml:space="preserve">tui nustatomas MREL, tas tikslas nėra aktualus. </w:t>
            </w:r>
            <w:r w:rsidRPr="00DD05DE">
              <w:rPr>
                <w:b/>
                <w:i/>
              </w:rPr>
              <w:t>Be to, įstaigos ar subjektai, dėl kurių nepriimamas sprendimas, kuriuo nustatomas MREL, savo balanse neturi tinkamų įsipareigojimų.</w:t>
            </w:r>
            <w:r w:rsidRPr="00DD05DE">
              <w:t xml:space="preserve"> Todėl neturėtų būti reikalaujama, kad įstaigos ar subjektai, dėl kurių </w:t>
            </w:r>
            <w:r w:rsidRPr="00DD05DE">
              <w:t>nebuvo priimti sprendimai, kuriais nustatomas MREL, gautų išankstinį pertvarkymo institucijos leidimą pareikalauti įsipareigojimų, kurie atitiktų tinkamumo reikalavimus, taikomus MREL, juos išpirkti, grąžinti arba atpirkti;</w:t>
            </w:r>
          </w:p>
        </w:tc>
        <w:tc>
          <w:tcPr>
            <w:tcW w:w="4876" w:type="dxa"/>
            <w:hideMark/>
          </w:tcPr>
          <w:p w:rsidR="00FF437E" w:rsidRPr="00DD05DE" w:rsidRDefault="00836CC4" w:rsidP="003C4223">
            <w:pPr>
              <w:pStyle w:val="Normal6"/>
              <w:rPr>
                <w:szCs w:val="24"/>
              </w:rPr>
            </w:pPr>
            <w:r w:rsidRPr="00DD05DE">
              <w:t>(9)</w:t>
            </w:r>
            <w:r w:rsidRPr="00DD05DE">
              <w:tab/>
              <w:t xml:space="preserve">pagrindinis Reglamento (ES) </w:t>
            </w:r>
            <w:r w:rsidRPr="00DD05DE">
              <w:t>Nr. 575/2013 77 straipsnio 2 dalyje ir 78a straipsnyje nustatytos leidimų mažinti tinkamų įsipareigojimų priemones tvarkos, kuri taip pat taikoma įstaigoms ir subjektams, kuriems taikomas MREL, ir įsipareigojimams, kurie išleisti siekiant vykdyti MREL, tik</w:t>
            </w:r>
            <w:r w:rsidRPr="00DD05DE">
              <w:t>slas – sudaryti sąlygas pertvarkymo institucijoms stebėti veiksmus, dėl kurių sumažėja tinkamų įsipareigojimų straipsniai, ir uždrausti bet kokius veiksmus, dėl kurių būtų viršytas lygis, kurį pertvarkymo institucijos laiko tinkamu. Jeigu pertvarkymo insti</w:t>
            </w:r>
            <w:r w:rsidRPr="00DD05DE">
              <w:t>tucija nėra priėmusi sprendimo, kuriuo įstaigai ar subjektui nustatomas MREL, tas tikslas nėra aktualus. Todėl neturėtų būti reikalaujama, kad įstaigos ar subjektai, dėl kurių nebuvo priimti sprendimai, kuriais nustatomas MREL, gautų išankstinį pertvarkymo</w:t>
            </w:r>
            <w:r w:rsidRPr="00DD05DE">
              <w:t xml:space="preserve"> institucijos leidimą pareikalauti įsipareigojimų, kurie atitiktų tinkamumo reikalavimus, taikomus MREL, juos išpirkti, grąžinti arba atpirkti;</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8</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 xml:space="preserve">Pasiūlymas dėl </w:t>
      </w:r>
      <w:r w:rsidRPr="00DD05DE">
        <w:t>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10 konstatuojamoji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(10)</w:t>
            </w:r>
            <w:r w:rsidRPr="00DD05DE">
              <w:tab/>
              <w:t xml:space="preserve">kai kurių likviduojamų subjektų MREL </w:t>
            </w:r>
            <w:r w:rsidRPr="00DD05DE">
              <w:rPr>
                <w:b/>
                <w:i/>
              </w:rPr>
              <w:t>viršija nuosavų lėšų reikalavimų</w:t>
            </w:r>
            <w:r w:rsidRPr="00DD05DE">
              <w:t xml:space="preserve"> sumą</w:t>
            </w:r>
            <w:r w:rsidRPr="00DD05DE">
              <w:rPr>
                <w:b/>
                <w:i/>
              </w:rPr>
              <w:t xml:space="preserve"> ir tokiu atveju pertvarkymo institucijos turėtų galėti nustatyti MREL</w:t>
            </w:r>
            <w:r w:rsidRPr="00DD05DE">
              <w:t>.</w:t>
            </w:r>
            <w:r w:rsidRPr="00DD05DE">
              <w:rPr>
                <w:b/>
                <w:i/>
              </w:rPr>
              <w:t xml:space="preserve"> Tas MREL</w:t>
            </w:r>
            <w:r w:rsidRPr="00DD05DE">
              <w:t xml:space="preserve"> turėtų būti </w:t>
            </w:r>
            <w:r w:rsidRPr="00DD05DE">
              <w:rPr>
                <w:b/>
                <w:i/>
              </w:rPr>
              <w:t xml:space="preserve">nustatytas kaip nuostolių padengimo sumą viršijanti suma </w:t>
            </w:r>
            <w:r w:rsidRPr="00DD05DE">
              <w:t xml:space="preserve">tais atvejais, kai pertvarkymo institucijos mano, </w:t>
            </w:r>
            <w:r w:rsidRPr="00DD05DE">
              <w:rPr>
                <w:b/>
                <w:i/>
              </w:rPr>
              <w:t>kad</w:t>
            </w:r>
            <w:r w:rsidRPr="00DD05DE">
              <w:t xml:space="preserve"> tokia suma yra būtina finansiniam stabilumui apsaugoti arba išplitimo į finansų sistemą rizikai pašalinti. Tokiais atvejai</w:t>
            </w:r>
            <w:r w:rsidRPr="00DD05DE">
              <w:t>s likviduojamas subjektas turėtų laikytis MREL ir jam neturėtų būti taikoma išankstinio leidimo tvarka, nustatyta Reglamento (ES) Nr. 575/2013 77 straipsnio 2 dalyje ir 78a straipsnyje. Turėtų būti toliau reikalaujama, kad visi tai pačiai pertvarkytinai gr</w:t>
            </w:r>
            <w:r w:rsidRPr="00DD05DE">
              <w:t>upei kaip ir atitinkamas likviduojamas subjektas priklausantys tarpiniai subjektai iš savo vidinio MREL pajėgumo atskaitytų savo turimus vidiniam MREL vykdyti tinkamus išteklius, kuriuos išleido tas likviduojamas subjektas. Be to, kadangi likvidavimo proce</w:t>
            </w:r>
            <w:r w:rsidRPr="00DD05DE">
              <w:t xml:space="preserve">dūra vykdoma juridinio asmens lygmeniu, likviduojami subjektai, kuriems ir toliau taikomas MREL, turėtų laikytis reikalavimo tik individualiai. Galiausiai tam tikri tinkamumo reikalavimai, susiję su atitinkamo įsipareigojimo nuosavybe, nėra aktualūs, nes </w:t>
            </w:r>
            <w:r w:rsidRPr="00DD05DE">
              <w:rPr>
                <w:b/>
                <w:i/>
              </w:rPr>
              <w:t>n</w:t>
            </w:r>
            <w:r w:rsidRPr="00DD05DE">
              <w:rPr>
                <w:b/>
                <w:i/>
              </w:rPr>
              <w:t>ereikia užtikrinti, kad likviduojamo subjekto nuostoliai ir kapitalas būtų perduoti pertvarkytinam subjektui</w:t>
            </w:r>
            <w:r w:rsidRPr="00DD05DE">
              <w:t>, todėl jie neturėtų būti taikomi;</w:t>
            </w:r>
          </w:p>
        </w:tc>
        <w:tc>
          <w:tcPr>
            <w:tcW w:w="4876" w:type="dxa"/>
            <w:hideMark/>
          </w:tcPr>
          <w:p w:rsidR="00FF437E" w:rsidRPr="00DD05DE" w:rsidRDefault="00836CC4" w:rsidP="003C4223">
            <w:pPr>
              <w:pStyle w:val="Normal6"/>
              <w:rPr>
                <w:szCs w:val="24"/>
              </w:rPr>
            </w:pPr>
            <w:r w:rsidRPr="00DD05DE">
              <w:t>(10)</w:t>
            </w:r>
            <w:r w:rsidRPr="00DD05DE">
              <w:tab/>
              <w:t xml:space="preserve">kai kurių likviduojamų subjektų MREL </w:t>
            </w:r>
            <w:r w:rsidRPr="00DD05DE">
              <w:rPr>
                <w:b/>
                <w:i/>
              </w:rPr>
              <w:t>turėtų viršyti nuostolių padengimo</w:t>
            </w:r>
            <w:r w:rsidRPr="00DD05DE">
              <w:t xml:space="preserve"> sumą.</w:t>
            </w:r>
            <w:r w:rsidRPr="00DD05DE">
              <w:rPr>
                <w:b/>
                <w:i/>
              </w:rPr>
              <w:t xml:space="preserve"> Taip</w:t>
            </w:r>
            <w:r w:rsidRPr="00DD05DE">
              <w:t xml:space="preserve"> turėtų būti tais atvejais, kai pertvarkymo institucijos mano, </w:t>
            </w:r>
            <w:r w:rsidRPr="00DD05DE">
              <w:rPr>
                <w:b/>
                <w:i/>
              </w:rPr>
              <w:t>jog</w:t>
            </w:r>
            <w:r w:rsidRPr="00DD05DE">
              <w:t xml:space="preserve"> tokia</w:t>
            </w:r>
            <w:r w:rsidRPr="00DD05DE">
              <w:rPr>
                <w:b/>
                <w:i/>
              </w:rPr>
              <w:t xml:space="preserve"> didesnė</w:t>
            </w:r>
            <w:r w:rsidRPr="00DD05DE">
              <w:t xml:space="preserve"> suma yra būtina finansiniam stabilumui apsaugoti arba išplitimo į finansų sistemą rizikai pašalinti. Tokiais atvejais</w:t>
            </w:r>
            <w:r w:rsidRPr="00DD05DE">
              <w:rPr>
                <w:b/>
                <w:i/>
              </w:rPr>
              <w:t xml:space="preserve"> pertvarkymo institucijos likviduojamam subjektui turėtų n</w:t>
            </w:r>
            <w:r w:rsidRPr="00DD05DE">
              <w:rPr>
                <w:b/>
                <w:i/>
              </w:rPr>
              <w:t>ustatyti MREL, kurį sudaro suma, pakankama nuostoliams padengti, ir padidinta suma, būtina pertvarkymo institucijų nustatytai galimai rizikai tinkamai pašalinti.</w:t>
            </w:r>
            <w:r w:rsidRPr="00DD05DE">
              <w:t xml:space="preserve"> Likviduojamas subjektas turėtų laikytis MREL ir jam neturėtų būti taikoma išankstinio leidimo </w:t>
            </w:r>
            <w:r w:rsidRPr="00DD05DE">
              <w:t>tvarka, nustatyta Reglamento (ES) Nr. 575/2013 77 straipsnio 2 dalyje ir 78a straipsnyje. Turėtų būti toliau reikalaujama, kad visi tai pačiai pertvarkytinai grupei kaip ir atitinkamas likviduojamas subjektas priklausantys tarpiniai subjektai iš savo vidin</w:t>
            </w:r>
            <w:r w:rsidRPr="00DD05DE">
              <w:t>io MREL pajėgumo atskaitytų savo turimus vidiniam MREL vykdyti tinkamus išteklius, kuriuos išleido tas likviduojamas subjektas. Be to, kadangi likvidavimo procedūra vykdoma juridinio asmens lygmeniu, likviduojami subjektai, kuriems ir toliau taikomas MREL,</w:t>
            </w:r>
            <w:r w:rsidRPr="00DD05DE">
              <w:t xml:space="preserve"> turėtų laikytis reikalavimo tik individualiai. Galiausiai tam tikri tinkamumo reikalavimai, susiję su atitinkamo įsipareigojimo nuosavybe, nėra aktualūs, nes </w:t>
            </w:r>
            <w:r w:rsidRPr="00DD05DE">
              <w:rPr>
                <w:b/>
                <w:i/>
              </w:rPr>
              <w:t xml:space="preserve">nesinaudojant nurašymo ir konvertavimo įgaliojimais pertvarkytinam subjektui nereikėtų išlaikyti </w:t>
            </w:r>
            <w:r w:rsidRPr="00DD05DE">
              <w:rPr>
                <w:b/>
                <w:i/>
              </w:rPr>
              <w:t>patronuojamosios įmonės kontrolės</w:t>
            </w:r>
            <w:r w:rsidRPr="00DD05DE">
              <w:t>, todėl jie neturėtų būti taikomi;</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9</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14 konstatuojamoji dalis</w:t>
      </w:r>
      <w:r w:rsidRPr="00DD05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 xml:space="preserve">Komisijos </w:t>
            </w:r>
            <w:r w:rsidRPr="00DD05DE">
              <w:t>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(14)</w:t>
            </w:r>
            <w:r w:rsidRPr="00DD05DE">
              <w:tab/>
              <w:t>kadangi šios direktyvos tikslų, t.</w:t>
            </w:r>
            <w:r w:rsidRPr="00DD05DE">
              <w:rPr>
                <w:b/>
                <w:i/>
              </w:rPr>
              <w:t xml:space="preserve"> </w:t>
            </w:r>
            <w:r w:rsidRPr="00DD05DE">
              <w:t xml:space="preserve">y. koreguoti likviduojamiems subjektams pagal MREL sistemą taikomą tvarką ir </w:t>
            </w:r>
            <w:r w:rsidRPr="00DD05DE">
              <w:rPr>
                <w:b/>
                <w:i/>
              </w:rPr>
              <w:t>galimybes laikytis vidinio</w:t>
            </w:r>
            <w:r w:rsidRPr="00DD05DE">
              <w:t xml:space="preserve"> MREL konsoliduotai, valstybės narės negali deramai pasiekti, o iš dalies keičiant taisykles, kurios jau nustatytos Sąjungos lygmeniu, tų tikslų būtų geriau siekti Sąjungos lygmeniu, laikydamasi Europos Sąjungos sutarties 5 straipsnyje nustatyto subsidiaru</w:t>
            </w:r>
            <w:r w:rsidRPr="00DD05DE">
              <w:t>mo principo Sąjunga gali patvirtinti priemones. Pagal tame straipsnyje nustatytą proporcingumo principą šia direktyva neviršijama to, kas būtina nurodytiems tikslams pasiekti,</w:t>
            </w:r>
          </w:p>
        </w:tc>
        <w:tc>
          <w:tcPr>
            <w:tcW w:w="4876" w:type="dxa"/>
            <w:hideMark/>
          </w:tcPr>
          <w:p w:rsidR="00FF437E" w:rsidRPr="00DD05DE" w:rsidRDefault="00836CC4" w:rsidP="003C4223">
            <w:pPr>
              <w:pStyle w:val="Normal6"/>
              <w:rPr>
                <w:szCs w:val="24"/>
              </w:rPr>
            </w:pPr>
            <w:r w:rsidRPr="00DD05DE">
              <w:t>(14)</w:t>
            </w:r>
            <w:r w:rsidRPr="00DD05DE">
              <w:tab/>
              <w:t>kadangi šios direktyvos tikslų, t.</w:t>
            </w:r>
            <w:r w:rsidRPr="00DD05DE">
              <w:rPr>
                <w:b/>
                <w:i/>
              </w:rPr>
              <w:t> </w:t>
            </w:r>
            <w:r w:rsidRPr="00DD05DE">
              <w:t xml:space="preserve">y. koreguoti likviduojamiems subjektams </w:t>
            </w:r>
            <w:r w:rsidRPr="00DD05DE">
              <w:t xml:space="preserve">pagal MREL sistemą taikomą tvarką ir </w:t>
            </w:r>
            <w:r w:rsidRPr="00DD05DE">
              <w:rPr>
                <w:b/>
                <w:i/>
              </w:rPr>
              <w:t>galimybę pertvarkymo institucijoms nustatyti vidinį</w:t>
            </w:r>
            <w:r w:rsidRPr="00DD05DE">
              <w:t xml:space="preserve"> MREL konsoliduotai, valstybės narės negali deramai pasiekti, o iš dalies keičiant taisykles, kurios jau nustatytos Sąjungos lygmeniu, tų tikslų būtų geriau siekti Sąju</w:t>
            </w:r>
            <w:r w:rsidRPr="00DD05DE">
              <w:t>ngos lygmeniu, laikydamasi Europos Sąjungos sutarties 5 straipsnyje nustatyto subsidiarumo principo Sąjunga gali patvirtinti priemones. Pagal tame straipsnyje nustatytą proporcingumo principą šia direktyva neviršijama to, kas būtina nurodytiems tikslams pa</w:t>
            </w:r>
            <w:r w:rsidRPr="00DD05DE">
              <w:t>siekti,</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10</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1 straipsnio 1 dalies 1 punktas</w:t>
      </w:r>
      <w:r w:rsidRPr="00DD05DE">
        <w:rPr>
          <w:rStyle w:val="HideTWBExt"/>
          <w:b w:val="0"/>
        </w:rPr>
        <w:t>&lt;/Article&gt;</w:t>
      </w:r>
    </w:p>
    <w:p w:rsidR="00FF437E" w:rsidRPr="00DD05DE" w:rsidRDefault="00836CC4" w:rsidP="00FF437E">
      <w:pPr>
        <w:keepNext/>
      </w:pPr>
      <w:r w:rsidRPr="00DD05DE">
        <w:rPr>
          <w:rStyle w:val="HideTWBExt"/>
        </w:rPr>
        <w:t>&lt;DocAmend2&gt;</w:t>
      </w:r>
      <w:r w:rsidRPr="00DD05DE">
        <w:t>Direktyva 2014/59/ES</w:t>
      </w:r>
      <w:r w:rsidRPr="00DD05DE">
        <w:rPr>
          <w:rStyle w:val="HideTWBExt"/>
        </w:rPr>
        <w:t>&lt;/DocAmend2&gt;</w:t>
      </w:r>
    </w:p>
    <w:p w:rsidR="00FF437E" w:rsidRPr="00DD05DE" w:rsidRDefault="00836CC4" w:rsidP="00FF437E">
      <w:r w:rsidRPr="00DD05DE">
        <w:rPr>
          <w:rStyle w:val="HideTWBExt"/>
        </w:rPr>
        <w:t>&lt;Article2&gt;</w:t>
      </w:r>
      <w:r w:rsidRPr="00DD05DE">
        <w:t xml:space="preserve">2 straipsnio 1 </w:t>
      </w:r>
      <w:r w:rsidRPr="00DD05DE">
        <w:t>dalies 83aa punktas</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rPr>
                <w:b/>
                <w:i/>
              </w:rPr>
              <w:t>83aa)</w:t>
            </w:r>
            <w:r w:rsidRPr="00DD05DE">
              <w:tab/>
            </w:r>
            <w:r w:rsidRPr="00DD05DE">
              <w:t xml:space="preserve">likviduojamas subjektas – Sąjungoje įsteigtas juridinis asmuo, kurio atžvilgiu grupės pertvarkymo plane arba, grupei nepriklausančių subjektų atveju, pertvarkymo plane numatyta, kad subjektas turi būti </w:t>
            </w:r>
            <w:r w:rsidRPr="00DD05DE">
              <w:rPr>
                <w:b/>
                <w:i/>
              </w:rPr>
              <w:t xml:space="preserve">tvarkingai </w:t>
            </w:r>
            <w:r w:rsidRPr="00DD05DE">
              <w:t xml:space="preserve">likviduojamas </w:t>
            </w:r>
            <w:r w:rsidRPr="00DD05DE">
              <w:rPr>
                <w:b/>
                <w:i/>
              </w:rPr>
              <w:t>laikantis taikytinos nacional</w:t>
            </w:r>
            <w:r w:rsidRPr="00DD05DE">
              <w:rPr>
                <w:b/>
                <w:i/>
              </w:rPr>
              <w:t>inės teisės;“</w:t>
            </w:r>
            <w:r w:rsidRPr="00DD05DE">
              <w:t>;</w:t>
            </w:r>
          </w:p>
        </w:tc>
        <w:tc>
          <w:tcPr>
            <w:tcW w:w="4876" w:type="dxa"/>
            <w:hideMark/>
          </w:tcPr>
          <w:p w:rsidR="00FF437E" w:rsidRPr="00DD05DE" w:rsidRDefault="00836CC4" w:rsidP="003C4223">
            <w:pPr>
              <w:pStyle w:val="Normal6"/>
              <w:rPr>
                <w:szCs w:val="24"/>
              </w:rPr>
            </w:pPr>
            <w:r w:rsidRPr="00DD05DE">
              <w:t>(83aa)</w:t>
            </w:r>
            <w:r w:rsidRPr="00DD05DE">
              <w:tab/>
              <w:t xml:space="preserve">likviduojamas subjektas – Sąjungoje įsteigtas juridinis asmuo, kurio atžvilgiu grupės pertvarkymo plane arba, grupei nepriklausančių subjektų atveju, pertvarkymo plane numatyta, kad subjektas turi būti likviduojamas </w:t>
            </w:r>
            <w:r w:rsidRPr="00DD05DE">
              <w:rPr>
                <w:b/>
                <w:i/>
              </w:rPr>
              <w:t xml:space="preserve">keliant įprastinę </w:t>
            </w:r>
            <w:r w:rsidRPr="00DD05DE">
              <w:rPr>
                <w:b/>
                <w:i/>
              </w:rPr>
              <w:t>bankroto bylą arba kad jo atžvilgiu nenumatoma taikyti nurašymo ir konvertavimo įgaliojimų</w:t>
            </w:r>
            <w:r w:rsidRPr="00DD05DE">
              <w:t>;</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11</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1 straipsnio 1 dalies 1 punkt</w:t>
      </w:r>
      <w:r w:rsidRPr="00DD05DE">
        <w:t>o b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Direktyva 2014/59/ES</w:t>
      </w:r>
      <w:r w:rsidRPr="00DD05DE">
        <w:rPr>
          <w:rStyle w:val="HideTWBExt"/>
        </w:rPr>
        <w:t>&lt;/DocAmend2&gt;</w:t>
      </w:r>
    </w:p>
    <w:p w:rsidR="00FF437E" w:rsidRPr="00DD05DE" w:rsidRDefault="00836CC4" w:rsidP="00FF437E">
      <w:r w:rsidRPr="00DD05DE">
        <w:rPr>
          <w:rStyle w:val="HideTWBExt"/>
        </w:rPr>
        <w:t>&lt;Article2&gt;</w:t>
      </w:r>
      <w:r w:rsidRPr="00DD05DE">
        <w:t>45 c straipsnio 2 a dalies 2 pastraipa</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 xml:space="preserve">Nukrypstant nuo pirmos pastraipos </w:t>
            </w:r>
            <w:r w:rsidRPr="00DD05DE">
              <w:rPr>
                <w:b/>
                <w:i/>
              </w:rPr>
              <w:t xml:space="preserve">ir kai tai būtina siekiant apsaugoti finansinį </w:t>
            </w:r>
            <w:r w:rsidRPr="00DD05DE">
              <w:rPr>
                <w:b/>
                <w:i/>
              </w:rPr>
              <w:t>stabilumą arba apriboti galimą išplitimą finansų sistemoje</w:t>
            </w:r>
            <w:r w:rsidRPr="00DD05DE">
              <w:t xml:space="preserve">, </w:t>
            </w:r>
            <w:r w:rsidRPr="00DD05DE">
              <w:rPr>
                <w:b/>
                <w:i/>
              </w:rPr>
              <w:t>pertvarkymo institucijos išimties tvarka gali</w:t>
            </w:r>
            <w:r w:rsidRPr="00DD05DE">
              <w:t xml:space="preserve"> likviduojamiems subjektams individualiai nustatyti 45 straipsnio 1 dalyje nurodytą reikalavimą, lygų </w:t>
            </w:r>
            <w:r w:rsidRPr="00DD05DE">
              <w:rPr>
                <w:b/>
                <w:i/>
              </w:rPr>
              <w:t>tokiai sumai</w:t>
            </w:r>
            <w:r w:rsidRPr="00DD05DE">
              <w:t xml:space="preserve">, kurios pakaktų nuostoliams </w:t>
            </w:r>
            <w:r w:rsidRPr="00DD05DE">
              <w:t>padengti, kaip numatyta šio straipsnio 2 dalies a punkte</w:t>
            </w:r>
            <w:r w:rsidRPr="00DD05DE">
              <w:rPr>
                <w:b/>
                <w:i/>
              </w:rPr>
              <w:t>, jį padidinant iki sumos, būtinos tiems tikslams pasiekti</w:t>
            </w:r>
            <w:r w:rsidRPr="00DD05DE">
              <w:t>. Tokiais atvejais likviduojami subjektai 45 straipsnio 1 dalyje nurodytą reikalavimą įvykdo vienu ar daugiau iš šių būdų:</w:t>
            </w:r>
          </w:p>
        </w:tc>
        <w:tc>
          <w:tcPr>
            <w:tcW w:w="4876" w:type="dxa"/>
            <w:hideMark/>
          </w:tcPr>
          <w:p w:rsidR="00FF437E" w:rsidRPr="00DD05DE" w:rsidRDefault="00836CC4" w:rsidP="003C4223">
            <w:pPr>
              <w:pStyle w:val="Normal6"/>
              <w:rPr>
                <w:szCs w:val="24"/>
              </w:rPr>
            </w:pPr>
            <w:r w:rsidRPr="00DD05DE">
              <w:t>Nukrypstant nuo pir</w:t>
            </w:r>
            <w:r w:rsidRPr="00DD05DE">
              <w:t xml:space="preserve">mos pastraipos </w:t>
            </w:r>
            <w:r w:rsidRPr="00DD05DE">
              <w:rPr>
                <w:b/>
                <w:i/>
              </w:rPr>
              <w:t>pertvarkymo institucija įvertina</w:t>
            </w:r>
            <w:r w:rsidRPr="00DD05DE">
              <w:t xml:space="preserve">, </w:t>
            </w:r>
            <w:r w:rsidRPr="00DD05DE">
              <w:rPr>
                <w:b/>
                <w:i/>
              </w:rPr>
              <w:t>ar yra pagrįsta</w:t>
            </w:r>
            <w:r w:rsidRPr="00DD05DE">
              <w:t xml:space="preserve"> likviduojamiems subjektams individualiai nustatyti 45 straipsnio 1 dalyje nurodytą reikalavimą, lygų </w:t>
            </w:r>
            <w:r w:rsidRPr="00DD05DE">
              <w:rPr>
                <w:b/>
                <w:i/>
              </w:rPr>
              <w:t>sumai, viršijančiai sumą</w:t>
            </w:r>
            <w:r w:rsidRPr="00DD05DE">
              <w:t>, kurios pakaktų nuostoliams padengti, kaip numatyta šio straipsni</w:t>
            </w:r>
            <w:r w:rsidRPr="00DD05DE">
              <w:t>o 2 dalies a punkte</w:t>
            </w:r>
            <w:r w:rsidRPr="00DD05DE">
              <w:rPr>
                <w:b/>
                <w:i/>
              </w:rPr>
              <w:t>. Atlikdama vertinimą pertvarkymo institucija apsvarsto galimas atitinkamo likviduojamo subjekto žlugimo pasekmes ir visų pirma atsižvelgia į bet kokį galimą poveikį finansiniam stabilumui ir išplitimo į finansų sistemą riziką</w:t>
            </w:r>
            <w:r w:rsidRPr="00DD05DE">
              <w:t>. Tokiais a</w:t>
            </w:r>
            <w:r w:rsidRPr="00DD05DE">
              <w:t>tvejais likviduojami subjektai 45 straipsnio 1 dalyje nurodytą reikalavimą įvykdo vienu ar daugiau iš šių būdų:</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12</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 xml:space="preserve">1 </w:t>
      </w:r>
      <w:r w:rsidRPr="00DD05DE">
        <w:t>straipsnio 1 dalies 2 punkto b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Direktyva 2014/59/ES</w:t>
      </w:r>
      <w:r w:rsidRPr="00DD05DE">
        <w:rPr>
          <w:rStyle w:val="HideTWBExt"/>
        </w:rPr>
        <w:t>&lt;/DocAmend2&gt;</w:t>
      </w:r>
    </w:p>
    <w:p w:rsidR="00FF437E" w:rsidRPr="00DD05DE" w:rsidRDefault="00836CC4" w:rsidP="00FF437E">
      <w:r w:rsidRPr="00DD05DE">
        <w:rPr>
          <w:rStyle w:val="HideTWBExt"/>
        </w:rPr>
        <w:t>&lt;Article2&gt;</w:t>
      </w:r>
      <w:r w:rsidRPr="00DD05DE">
        <w:t>45 c straipsnio 2 a dalies 4 pastraipa</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rPr>
                <w:b/>
                <w:i/>
              </w:rPr>
              <w:t>Turimos</w:t>
            </w:r>
            <w:r w:rsidRPr="00DD05DE">
              <w:t xml:space="preserve"> nuosavų lėšų </w:t>
            </w:r>
            <w:r w:rsidRPr="00DD05DE">
              <w:rPr>
                <w:b/>
                <w:i/>
              </w:rPr>
              <w:t>priemonės arba įsipareigojimai</w:t>
            </w:r>
            <w:r w:rsidRPr="00DD05DE">
              <w:t xml:space="preserve">, </w:t>
            </w:r>
            <w:r w:rsidRPr="00DD05DE">
              <w:rPr>
                <w:b/>
                <w:i/>
              </w:rPr>
              <w:t>kuriuos</w:t>
            </w:r>
            <w:r w:rsidRPr="00DD05DE">
              <w:t xml:space="preserve"> išleido patronuojamosios įmonės, kurios yra likviduojami subjektai, kurių atžvilgiu pertvarkymo institucija nenustatė 45 straipsnio 1 dalyje nurodyto reikalavimo, neatskaitomi pagal Reglamento (ES) Nr. 575/2013 72e straipsnio 5 dalį.“;</w:t>
            </w:r>
          </w:p>
        </w:tc>
        <w:tc>
          <w:tcPr>
            <w:tcW w:w="4876" w:type="dxa"/>
            <w:hideMark/>
          </w:tcPr>
          <w:p w:rsidR="00FF437E" w:rsidRPr="00DD05DE" w:rsidRDefault="00836CC4" w:rsidP="003C4223">
            <w:pPr>
              <w:pStyle w:val="Normal6"/>
              <w:rPr>
                <w:szCs w:val="24"/>
              </w:rPr>
            </w:pPr>
            <w:r w:rsidRPr="00DD05DE">
              <w:rPr>
                <w:b/>
                <w:i/>
              </w:rPr>
              <w:t xml:space="preserve">Turimi </w:t>
            </w:r>
            <w:r w:rsidRPr="00DD05DE">
              <w:rPr>
                <w:b/>
                <w:i/>
              </w:rPr>
              <w:t>įsipareigojimai, kurie nepriskiriami</w:t>
            </w:r>
            <w:r w:rsidRPr="00DD05DE">
              <w:t xml:space="preserve"> nuosavų lėšų </w:t>
            </w:r>
            <w:r w:rsidRPr="00DD05DE">
              <w:rPr>
                <w:b/>
                <w:i/>
              </w:rPr>
              <w:t>priemonėms</w:t>
            </w:r>
            <w:r w:rsidRPr="00DD05DE">
              <w:t xml:space="preserve">, </w:t>
            </w:r>
            <w:r w:rsidRPr="00DD05DE">
              <w:rPr>
                <w:b/>
                <w:i/>
              </w:rPr>
              <w:t>kurias</w:t>
            </w:r>
            <w:r w:rsidRPr="00DD05DE">
              <w:t xml:space="preserve"> išleido patronuojamosios įmonės, kurios yra likviduojami subjektai, kurių atžvilgiu pertvarkymo institucija nenustatė 45 straipsnio 1 dalyje nurodyto reikalavimo, neatskaitomi pagal Reglamento (ES) Nr. 575/2013 72e straipsnio 5 dalį.“;</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13</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1 straipsnio 1 dalies 3 punkto a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Direktyva 2014/59/ES</w:t>
      </w:r>
      <w:r w:rsidRPr="00DD05DE">
        <w:rPr>
          <w:rStyle w:val="HideTWBExt"/>
        </w:rPr>
        <w:t>&lt;/DocAmend2&gt;</w:t>
      </w:r>
    </w:p>
    <w:p w:rsidR="00FF437E" w:rsidRPr="00DD05DE" w:rsidRDefault="00836CC4" w:rsidP="00FF437E">
      <w:r w:rsidRPr="00DD05DE">
        <w:rPr>
          <w:rStyle w:val="HideTWBExt"/>
        </w:rPr>
        <w:t>&lt;Article2&gt;</w:t>
      </w:r>
      <w:r w:rsidRPr="00DD05DE">
        <w:t>45 f straipsnio 1 dalies 3 a past</w:t>
      </w:r>
      <w:r w:rsidRPr="00DD05DE">
        <w:t>raipos a punkto ii papunktis</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ii)</w:t>
            </w:r>
            <w:r w:rsidRPr="00DD05DE">
              <w:tab/>
              <w:t>patronuojamajai įmonei konsoliduotu pagrindu taikomas Direktyvos 2013/36/ES 104a straipsnyje nurodytas</w:t>
            </w:r>
            <w:r w:rsidRPr="00DD05DE">
              <w:rPr>
                <w:b/>
                <w:i/>
              </w:rPr>
              <w:t xml:space="preserve"> reikalavimas arba jungtinio rezervo</w:t>
            </w:r>
            <w:r w:rsidRPr="00DD05DE">
              <w:t xml:space="preserve"> reikalavimas;</w:t>
            </w:r>
          </w:p>
        </w:tc>
        <w:tc>
          <w:tcPr>
            <w:tcW w:w="4876" w:type="dxa"/>
            <w:hideMark/>
          </w:tcPr>
          <w:p w:rsidR="00FF437E" w:rsidRPr="00DD05DE" w:rsidRDefault="00836CC4" w:rsidP="003C4223">
            <w:pPr>
              <w:pStyle w:val="Normal6"/>
              <w:rPr>
                <w:szCs w:val="24"/>
              </w:rPr>
            </w:pPr>
            <w:r w:rsidRPr="00DD05DE">
              <w:t>ii)</w:t>
            </w:r>
            <w:r w:rsidRPr="00DD05DE">
              <w:tab/>
            </w:r>
            <w:r w:rsidRPr="00DD05DE">
              <w:t xml:space="preserve">patronuojamajai įmonei </w:t>
            </w:r>
            <w:r w:rsidRPr="00DD05DE">
              <w:rPr>
                <w:b/>
                <w:i/>
              </w:rPr>
              <w:t xml:space="preserve">tik </w:t>
            </w:r>
            <w:r w:rsidRPr="00DD05DE">
              <w:t>konsoliduotu pagrindu taikomas Direktyvos 2013/36/ES 104a straipsnyje nurodytas reikalavimas;</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14</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4 straipsnio 1 dalies 3 punkto a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Direktyva 2014/59/ES</w:t>
      </w:r>
      <w:r w:rsidRPr="00DD05DE">
        <w:rPr>
          <w:rStyle w:val="HideTWBExt"/>
        </w:rPr>
        <w:t>&lt;/DocAmend2&gt;</w:t>
      </w:r>
    </w:p>
    <w:p w:rsidR="00FF437E" w:rsidRPr="00DD05DE" w:rsidRDefault="00836CC4" w:rsidP="00FF437E">
      <w:r w:rsidRPr="00DD05DE">
        <w:rPr>
          <w:rStyle w:val="HideTWBExt"/>
        </w:rPr>
        <w:t>&lt;Article2&gt;</w:t>
      </w:r>
      <w:r w:rsidRPr="00DD05DE">
        <w:t>45 f straipsnio 1 dalies 3 a pastraipos b punktas</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b)</w:t>
            </w:r>
            <w:r w:rsidRPr="00DD05DE">
              <w:tab/>
            </w:r>
            <w:r w:rsidRPr="00DD05DE">
              <w:t xml:space="preserve">straipsnyje nustatyto reikalavimo laikymasis konsoliduotai nedaro </w:t>
            </w:r>
            <w:r w:rsidRPr="00DD05DE">
              <w:rPr>
                <w:b/>
                <w:i/>
              </w:rPr>
              <w:t xml:space="preserve">didelio </w:t>
            </w:r>
            <w:r w:rsidRPr="00DD05DE">
              <w:t>neigiamo poveikio pertvarkytinos grupės sėkmingam pertvarkymui arba atitinkamos patronuojamosios įmonės arba kitų pertvarkytinos grupės subjektų atitinkamų kapitalo priemonių ir tink</w:t>
            </w:r>
            <w:r w:rsidRPr="00DD05DE">
              <w:t>amų įsipareigojimų nurašymui ar konvertavimui pagal 59 straipsnį.“;</w:t>
            </w:r>
          </w:p>
        </w:tc>
        <w:tc>
          <w:tcPr>
            <w:tcW w:w="4876" w:type="dxa"/>
            <w:hideMark/>
          </w:tcPr>
          <w:p w:rsidR="00FF437E" w:rsidRPr="00DD05DE" w:rsidRDefault="00836CC4" w:rsidP="003C4223">
            <w:pPr>
              <w:pStyle w:val="Normal6"/>
              <w:rPr>
                <w:szCs w:val="24"/>
              </w:rPr>
            </w:pPr>
            <w:r w:rsidRPr="00DD05DE">
              <w:t>b)</w:t>
            </w:r>
            <w:r w:rsidRPr="00DD05DE">
              <w:tab/>
              <w:t>straipsnyje nustatyto reikalavimo laikymasis konsoliduotai nedaro neigiamo poveikio pertvarkytinos grupės sėkmingam pertvarkymui arba atitinkamos patronuojamosios įmonės arba kitų pertv</w:t>
            </w:r>
            <w:r w:rsidRPr="00DD05DE">
              <w:t>arkytinos grupės subjektų atitinkamų kapitalo priemonių ir tinkamų įsipareigojimų nurašymui ar konvertavimui pagal 59 straipsnį.“;</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15</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1 straipsnio 1 dalies 2 punkto b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Reglamentas (ES) Nr. 806/2014</w:t>
      </w:r>
      <w:r w:rsidRPr="00DD05DE">
        <w:rPr>
          <w:rStyle w:val="HideTWBExt"/>
        </w:rPr>
        <w:t>&lt;/DocAmend2&gt;</w:t>
      </w:r>
    </w:p>
    <w:p w:rsidR="00FF437E" w:rsidRPr="00DD05DE" w:rsidRDefault="00836CC4" w:rsidP="00FF437E">
      <w:r w:rsidRPr="00DD05DE">
        <w:rPr>
          <w:rStyle w:val="HideTWBExt"/>
        </w:rPr>
        <w:t>&lt;Article2&gt;</w:t>
      </w:r>
      <w:r w:rsidRPr="00DD05DE">
        <w:t>12 d straipsnio 2 a dalies 2 pastraipa</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 xml:space="preserve">Nukrypstant nuo pirmos pastraipos </w:t>
            </w:r>
            <w:r w:rsidRPr="00DD05DE">
              <w:rPr>
                <w:b/>
                <w:i/>
              </w:rPr>
              <w:t xml:space="preserve">ir </w:t>
            </w:r>
            <w:r w:rsidRPr="00DD05DE">
              <w:rPr>
                <w:b/>
                <w:i/>
              </w:rPr>
              <w:t>kai tai būtina siekiant apsaugoti finansinį stabilumą arba apriboti galimą išplitimą finansų sistemoje</w:t>
            </w:r>
            <w:r w:rsidRPr="00DD05DE">
              <w:t xml:space="preserve">, </w:t>
            </w:r>
            <w:r w:rsidRPr="00DD05DE">
              <w:rPr>
                <w:b/>
                <w:i/>
              </w:rPr>
              <w:t>Valdyba išimties tvarka gali</w:t>
            </w:r>
            <w:r w:rsidRPr="00DD05DE">
              <w:t xml:space="preserve"> likviduojamiems subjektams individualiai nustatyti 12a straipsnio 1 dalyje nurodytą reikalavimą, lygų </w:t>
            </w:r>
            <w:r w:rsidRPr="00DD05DE">
              <w:rPr>
                <w:b/>
                <w:i/>
              </w:rPr>
              <w:t>tokiai sumai</w:t>
            </w:r>
            <w:r w:rsidRPr="00DD05DE">
              <w:t xml:space="preserve">, kurios </w:t>
            </w:r>
            <w:r w:rsidRPr="00DD05DE">
              <w:t>pakaktų nuostoliams padengti, kaip numatyta šio straipsnio 2 dalies a punkte</w:t>
            </w:r>
            <w:r w:rsidRPr="00DD05DE">
              <w:rPr>
                <w:b/>
                <w:i/>
              </w:rPr>
              <w:t>, jį padidinant iki sumos, būtinos tiems tikslams pasiekti</w:t>
            </w:r>
            <w:r w:rsidRPr="00DD05DE">
              <w:t>. Tokiais atvejais likviduojami subjektai 12a straipsnio 1 dalyje nurodytą reikalavimą įvykdo vienu ar daugiau iš šių būdų</w:t>
            </w:r>
            <w:r w:rsidRPr="00DD05DE">
              <w:t>:</w:t>
            </w:r>
          </w:p>
        </w:tc>
        <w:tc>
          <w:tcPr>
            <w:tcW w:w="4876" w:type="dxa"/>
            <w:hideMark/>
          </w:tcPr>
          <w:p w:rsidR="00FF437E" w:rsidRPr="00DD05DE" w:rsidRDefault="00836CC4" w:rsidP="003C4223">
            <w:pPr>
              <w:pStyle w:val="Normal6"/>
              <w:rPr>
                <w:szCs w:val="24"/>
              </w:rPr>
            </w:pPr>
            <w:r w:rsidRPr="00DD05DE">
              <w:t xml:space="preserve">Nukrypstant nuo pirmos pastraipos </w:t>
            </w:r>
            <w:r w:rsidRPr="00DD05DE">
              <w:rPr>
                <w:b/>
                <w:i/>
              </w:rPr>
              <w:t>Valdyba įvertina</w:t>
            </w:r>
            <w:r w:rsidRPr="00DD05DE">
              <w:t xml:space="preserve">, </w:t>
            </w:r>
            <w:r w:rsidRPr="00DD05DE">
              <w:rPr>
                <w:b/>
                <w:i/>
              </w:rPr>
              <w:t>ar yra pagrįsta</w:t>
            </w:r>
            <w:r w:rsidRPr="00DD05DE">
              <w:t xml:space="preserve"> likviduojamiems subjektams individualiai nustatyti 12a straipsnio 1 dalyje nurodytą reikalavimą, lygų </w:t>
            </w:r>
            <w:r w:rsidRPr="00DD05DE">
              <w:rPr>
                <w:b/>
                <w:i/>
              </w:rPr>
              <w:t>sumai, viršijančiai sumą</w:t>
            </w:r>
            <w:r w:rsidRPr="00DD05DE">
              <w:t>, kurios pakaktų nuostoliams padengti, kaip numatyta šio str</w:t>
            </w:r>
            <w:r w:rsidRPr="00DD05DE">
              <w:t>aipsnio 2 dalies a punkte</w:t>
            </w:r>
            <w:r w:rsidRPr="00DD05DE">
              <w:rPr>
                <w:b/>
                <w:i/>
              </w:rPr>
              <w:t>. Atlikdama vertinimą Valdyba apsvarsto galimas atitinkamo likviduojamo subjekto žlugimo pasekmes ir visų pirma atsižvelgia į bet kokį galimą poveikį finansiniam stabilumui ir išplitimo į finansų sistemą riziką</w:t>
            </w:r>
            <w:r w:rsidRPr="00DD05DE">
              <w:t>. Tokiais atvejais li</w:t>
            </w:r>
            <w:r w:rsidRPr="00DD05DE">
              <w:t>kviduojami subjektai 12a straipsnio 1 dalyje nurodytą reikalavimą įvykdo vienu ar daugiau iš šių būdų:</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16</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 xml:space="preserve">2 straipsnio 1 </w:t>
      </w:r>
      <w:r w:rsidRPr="00DD05DE">
        <w:t>dalies 2 punkto b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Reglamentas (ES) Nr. 806/2014</w:t>
      </w:r>
      <w:r w:rsidRPr="00DD05DE">
        <w:rPr>
          <w:rStyle w:val="HideTWBExt"/>
        </w:rPr>
        <w:t>&lt;/DocAmend2&gt;</w:t>
      </w:r>
    </w:p>
    <w:p w:rsidR="00FF437E" w:rsidRPr="00DD05DE" w:rsidRDefault="00836CC4" w:rsidP="00FF437E">
      <w:r w:rsidRPr="00DD05DE">
        <w:rPr>
          <w:rStyle w:val="HideTWBExt"/>
        </w:rPr>
        <w:t>&lt;Article2&gt;</w:t>
      </w:r>
      <w:r w:rsidRPr="00DD05DE">
        <w:t>12 d straipsnio 2 a dalies 4 pastraipa</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rPr>
                <w:b/>
                <w:i/>
              </w:rPr>
              <w:t>Turimos</w:t>
            </w:r>
            <w:r w:rsidRPr="00DD05DE">
              <w:t xml:space="preserve"> nuosavų lėšų </w:t>
            </w:r>
            <w:r w:rsidRPr="00DD05DE">
              <w:rPr>
                <w:b/>
                <w:i/>
              </w:rPr>
              <w:t>priemonės arba įsipareigojimai</w:t>
            </w:r>
            <w:r w:rsidRPr="00DD05DE">
              <w:t xml:space="preserve">, </w:t>
            </w:r>
            <w:r w:rsidRPr="00DD05DE">
              <w:rPr>
                <w:b/>
                <w:i/>
              </w:rPr>
              <w:t>kuriuos</w:t>
            </w:r>
            <w:r w:rsidRPr="00DD05DE">
              <w:t xml:space="preserve"> išleido patronuojamosios įmonės, kurios yra likviduojami subjektai, kurių atžvilgiu pertvarkymo institucija nenustatė 12a straipsnio 1 dalyje nurodyto reikalavimo, neatskaitomi pagal Reglamento (ES) Nr. 575/2013 72e straipsnio 5 dalį.“;</w:t>
            </w:r>
          </w:p>
        </w:tc>
        <w:tc>
          <w:tcPr>
            <w:tcW w:w="4876" w:type="dxa"/>
            <w:hideMark/>
          </w:tcPr>
          <w:p w:rsidR="00FF437E" w:rsidRPr="00DD05DE" w:rsidRDefault="00836CC4" w:rsidP="003C4223">
            <w:pPr>
              <w:pStyle w:val="Normal6"/>
              <w:rPr>
                <w:szCs w:val="24"/>
              </w:rPr>
            </w:pPr>
            <w:r w:rsidRPr="00DD05DE">
              <w:rPr>
                <w:b/>
                <w:i/>
              </w:rPr>
              <w:t xml:space="preserve">Turimi </w:t>
            </w:r>
            <w:r w:rsidRPr="00DD05DE">
              <w:rPr>
                <w:b/>
                <w:i/>
              </w:rPr>
              <w:t>įsipareigojimai, kurie nepriskiriami</w:t>
            </w:r>
            <w:r w:rsidRPr="00DD05DE">
              <w:t xml:space="preserve"> nuosavų lėšų </w:t>
            </w:r>
            <w:r w:rsidRPr="00DD05DE">
              <w:rPr>
                <w:b/>
                <w:i/>
              </w:rPr>
              <w:t>priemonėms</w:t>
            </w:r>
            <w:r w:rsidRPr="00DD05DE">
              <w:t xml:space="preserve">, </w:t>
            </w:r>
            <w:r w:rsidRPr="00DD05DE">
              <w:rPr>
                <w:b/>
                <w:i/>
              </w:rPr>
              <w:t>kurias</w:t>
            </w:r>
            <w:r w:rsidRPr="00DD05DE">
              <w:t xml:space="preserve"> išleido patronuojamosios įmonės, kurios yra likviduojami subjektai, kurių atžvilgiu pertvarkymo institucija nenustatė 12a straipsnio 1 dalyje nurodyto reikalavimo, neatskaitomi pagal Regl</w:t>
            </w:r>
            <w:r w:rsidRPr="00DD05DE">
              <w:t>amento (ES) Nr. 575/2013 72e straipsnio 5 dalį.“;</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17</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2 straipsnio 1 dalies 3 punkto a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Reglame</w:t>
      </w:r>
      <w:r w:rsidRPr="00DD05DE">
        <w:t>ntas (ES) Nr. 806/2014</w:t>
      </w:r>
      <w:r w:rsidRPr="00DD05DE">
        <w:rPr>
          <w:rStyle w:val="HideTWBExt"/>
        </w:rPr>
        <w:t>&lt;/DocAmend2&gt;</w:t>
      </w:r>
    </w:p>
    <w:p w:rsidR="00FF437E" w:rsidRPr="00DD05DE" w:rsidRDefault="00836CC4" w:rsidP="00FF437E">
      <w:r w:rsidRPr="00DD05DE">
        <w:rPr>
          <w:rStyle w:val="HideTWBExt"/>
        </w:rPr>
        <w:t>&lt;Article2&gt;</w:t>
      </w:r>
      <w:r w:rsidRPr="00DD05DE">
        <w:t>12 g straipsnio 1 dalies 3 a pastraipos a punkto ii papunktis</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ii)</w:t>
            </w:r>
            <w:r w:rsidRPr="00DD05DE">
              <w:tab/>
              <w:t xml:space="preserve">patronuojamajai įmonei konsoliduotu pagrindu taikomas Direktyvos 2013/36/ES 104a straipsnyje </w:t>
            </w:r>
            <w:r w:rsidRPr="00DD05DE">
              <w:t>nurodytas</w:t>
            </w:r>
            <w:r w:rsidRPr="00DD05DE">
              <w:rPr>
                <w:b/>
                <w:i/>
              </w:rPr>
              <w:t xml:space="preserve"> reikalavimas arba jungtinio rezervo</w:t>
            </w:r>
            <w:r w:rsidRPr="00DD05DE">
              <w:t xml:space="preserve"> reikalavimas;</w:t>
            </w:r>
          </w:p>
        </w:tc>
        <w:tc>
          <w:tcPr>
            <w:tcW w:w="4876" w:type="dxa"/>
            <w:hideMark/>
          </w:tcPr>
          <w:p w:rsidR="00FF437E" w:rsidRPr="00DD05DE" w:rsidRDefault="00836CC4" w:rsidP="003C4223">
            <w:pPr>
              <w:pStyle w:val="Normal6"/>
              <w:rPr>
                <w:szCs w:val="24"/>
              </w:rPr>
            </w:pPr>
            <w:r w:rsidRPr="00DD05DE">
              <w:t>ii)</w:t>
            </w:r>
            <w:r w:rsidRPr="00DD05DE">
              <w:tab/>
              <w:t xml:space="preserve">patronuojamajai įmonei </w:t>
            </w:r>
            <w:r w:rsidRPr="00DD05DE">
              <w:rPr>
                <w:b/>
                <w:i/>
              </w:rPr>
              <w:t xml:space="preserve">tik </w:t>
            </w:r>
            <w:r w:rsidRPr="00DD05DE">
              <w:t>konsoliduotu pagrindu taikomas Direktyvos 2013/36/ES 104a straipsnyje nurodytas reikalavimas;</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18</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2 straipsnio 1 dalies 3 punkto a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Reglamentas (ES) Nr. 806/2014</w:t>
      </w:r>
      <w:r w:rsidRPr="00DD05DE">
        <w:rPr>
          <w:rStyle w:val="HideTWBExt"/>
        </w:rPr>
        <w:t>&lt;/DocAmend2&gt;</w:t>
      </w:r>
    </w:p>
    <w:p w:rsidR="00FF437E" w:rsidRPr="00DD05DE" w:rsidRDefault="00836CC4" w:rsidP="00FF437E">
      <w:r w:rsidRPr="00DD05DE">
        <w:rPr>
          <w:rStyle w:val="HideTWBExt"/>
        </w:rPr>
        <w:t>&lt;Article2&gt;</w:t>
      </w:r>
      <w:r w:rsidRPr="00DD05DE">
        <w:t>12 g straipsnio 1 dalies 3 a pastraipos b punktas</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 xml:space="preserve">Komisijos </w:t>
            </w:r>
            <w:r w:rsidRPr="00DD05DE">
              <w:t>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b)</w:t>
            </w:r>
            <w:r w:rsidRPr="00DD05DE">
              <w:tab/>
              <w:t xml:space="preserve">straipsnyje nustatyto reikalavimo laikymasis konsoliduotai nedaro </w:t>
            </w:r>
            <w:r w:rsidRPr="00DD05DE">
              <w:rPr>
                <w:b/>
                <w:i/>
              </w:rPr>
              <w:t xml:space="preserve">didelio </w:t>
            </w:r>
            <w:r w:rsidRPr="00DD05DE">
              <w:t>neigiamo poveikio pertvarkytinos grupės sėkmingam pertvarkymui arba atitinkamos patronuojamosios įmonės arba kitų pertvarkytinos grupės subjektų atiti</w:t>
            </w:r>
            <w:r w:rsidRPr="00DD05DE">
              <w:t>nkamų kapitalo priemonių ir tinkamų įsipareigojimų nurašymui ar konvertavimui pagal 21 straipsnį.“;</w:t>
            </w:r>
          </w:p>
        </w:tc>
        <w:tc>
          <w:tcPr>
            <w:tcW w:w="4876" w:type="dxa"/>
            <w:hideMark/>
          </w:tcPr>
          <w:p w:rsidR="00FF437E" w:rsidRPr="00DD05DE" w:rsidRDefault="00836CC4" w:rsidP="003C4223">
            <w:pPr>
              <w:pStyle w:val="Normal6"/>
              <w:rPr>
                <w:szCs w:val="24"/>
              </w:rPr>
            </w:pPr>
            <w:r w:rsidRPr="00DD05DE">
              <w:t>b)</w:t>
            </w:r>
            <w:r w:rsidRPr="00DD05DE">
              <w:tab/>
              <w:t>straipsnyje nustatyto reikalavimo laikymasis konsoliduotai nedaro neigiamo poveikio pertvarkytinos grupės sėkmingam pertvarkymui arba atitinkamos patronu</w:t>
            </w:r>
            <w:r w:rsidRPr="00DD05DE">
              <w:t>ojamosios įmonės arba kitų pertvarkytinos grupės subjektų atitinkamų kapitalo priemonių ir tinkamų įsipareigojimų nurašymui ar konvertavimui pagal 21 straipsnį.“;</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pPr>
        <w:rPr>
          <w:szCs w:val="24"/>
        </w:rPr>
      </w:pPr>
      <w:r w:rsidRPr="00DD05DE">
        <w:rPr>
          <w:rStyle w:val="HideTWBExt"/>
        </w:rPr>
        <w:t>&lt;/Amend&gt;</w:t>
      </w:r>
    </w:p>
    <w:p w:rsidR="00FF437E" w:rsidRPr="00DD05DE" w:rsidRDefault="00836CC4" w:rsidP="00FF437E">
      <w:pPr>
        <w:pStyle w:val="AMNumberTabs0"/>
        <w:keepNext/>
      </w:pPr>
      <w:r w:rsidRPr="00DD05DE">
        <w:rPr>
          <w:rStyle w:val="HideTWBExt"/>
          <w:b w:val="0"/>
        </w:rPr>
        <w:t>&lt;Amend&gt;</w:t>
      </w:r>
      <w:r w:rsidRPr="00DD05DE">
        <w:t>Pakeitimas</w:t>
      </w:r>
      <w:r w:rsidRPr="00DD05DE">
        <w:tab/>
      </w:r>
      <w:r w:rsidRPr="00DD05DE">
        <w:tab/>
      </w:r>
      <w:r w:rsidRPr="00DD05DE">
        <w:rPr>
          <w:rStyle w:val="HideTWBExt"/>
          <w:b w:val="0"/>
        </w:rPr>
        <w:t>&lt;NumAm&gt;</w:t>
      </w:r>
      <w:r w:rsidRPr="00DD05DE">
        <w:t>19</w:t>
      </w:r>
      <w:r w:rsidRPr="00DD05DE">
        <w:rPr>
          <w:rStyle w:val="HideTWBExt"/>
          <w:b w:val="0"/>
        </w:rPr>
        <w:t>&lt;/NumAm&gt;</w:t>
      </w:r>
    </w:p>
    <w:p w:rsidR="00FF437E" w:rsidRPr="00DD05DE" w:rsidRDefault="00836CC4" w:rsidP="00FF437E">
      <w:pPr>
        <w:pStyle w:val="NormalBold12b"/>
        <w:keepNext/>
      </w:pPr>
      <w:r w:rsidRPr="00DD05DE">
        <w:rPr>
          <w:rStyle w:val="HideTWBExt"/>
          <w:b w:val="0"/>
        </w:rPr>
        <w:t>&lt;DocAmend&gt;</w:t>
      </w:r>
      <w:r w:rsidRPr="00DD05DE">
        <w:t>Pasi</w:t>
      </w:r>
      <w:r w:rsidRPr="00DD05DE">
        <w:t>ūlymas dėl direktyvos</w:t>
      </w:r>
      <w:r w:rsidRPr="00DD05DE">
        <w:rPr>
          <w:rStyle w:val="HideTWBExt"/>
          <w:b w:val="0"/>
        </w:rPr>
        <w:t>&lt;/DocAmend&gt;</w:t>
      </w:r>
    </w:p>
    <w:p w:rsidR="00FF437E" w:rsidRPr="00DD05DE" w:rsidRDefault="00836CC4" w:rsidP="00FF437E">
      <w:pPr>
        <w:pStyle w:val="NormalBold"/>
      </w:pPr>
      <w:r w:rsidRPr="00DD05DE">
        <w:rPr>
          <w:rStyle w:val="HideTWBExt"/>
          <w:b w:val="0"/>
        </w:rPr>
        <w:t>&lt;Article&gt;</w:t>
      </w:r>
      <w:r w:rsidRPr="00DD05DE">
        <w:t>2 straipsnio 1 dalies 3 punkto b papunktis</w:t>
      </w:r>
      <w:r w:rsidRPr="00DD05DE">
        <w:rPr>
          <w:rStyle w:val="HideTWBExt"/>
          <w:b w:val="0"/>
        </w:rPr>
        <w:t>&lt;/Article&gt;</w:t>
      </w:r>
    </w:p>
    <w:p w:rsidR="00FF437E" w:rsidRPr="00DD05DE" w:rsidRDefault="00836CC4" w:rsidP="00FF437E">
      <w:pPr>
        <w:keepNext/>
      </w:pPr>
      <w:r w:rsidRPr="00DD05DE">
        <w:rPr>
          <w:rStyle w:val="HideTWBExt"/>
        </w:rPr>
        <w:t>&lt;DocAmend2&gt;</w:t>
      </w:r>
      <w:r w:rsidRPr="00DD05DE">
        <w:t>Reglamentas (ES) Nr. 806/2014</w:t>
      </w:r>
      <w:r w:rsidRPr="00DD05DE">
        <w:rPr>
          <w:rStyle w:val="HideTWBExt"/>
        </w:rPr>
        <w:t>&lt;/DocAmend2&gt;</w:t>
      </w:r>
    </w:p>
    <w:p w:rsidR="00FF437E" w:rsidRPr="00DD05DE" w:rsidRDefault="00836CC4" w:rsidP="00FF437E">
      <w:r w:rsidRPr="00DD05DE">
        <w:rPr>
          <w:rStyle w:val="HideTWBExt"/>
        </w:rPr>
        <w:t>&lt;Article2&gt;</w:t>
      </w:r>
      <w:r w:rsidRPr="00DD05DE">
        <w:t>12 g straipsnio 2 a dalies 2 pastraipos įžanginė dalis</w:t>
      </w:r>
      <w:r w:rsidRPr="00DD05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B7" w:rsidRPr="00DD05DE" w:rsidTr="003C4223">
        <w:trPr>
          <w:jc w:val="center"/>
        </w:trPr>
        <w:tc>
          <w:tcPr>
            <w:tcW w:w="9752" w:type="dxa"/>
            <w:gridSpan w:val="2"/>
          </w:tcPr>
          <w:p w:rsidR="00FF437E" w:rsidRPr="00DD05DE" w:rsidRDefault="00FF437E" w:rsidP="003C4223">
            <w:pPr>
              <w:keepNext/>
            </w:pPr>
          </w:p>
        </w:tc>
      </w:tr>
      <w:tr w:rsidR="00AD3DB7" w:rsidRPr="00DD05DE" w:rsidTr="003C4223">
        <w:trPr>
          <w:jc w:val="center"/>
        </w:trPr>
        <w:tc>
          <w:tcPr>
            <w:tcW w:w="4876" w:type="dxa"/>
            <w:hideMark/>
          </w:tcPr>
          <w:p w:rsidR="00FF437E" w:rsidRPr="00DD05DE" w:rsidRDefault="00836CC4" w:rsidP="003C4223">
            <w:pPr>
              <w:pStyle w:val="ColumnHeading"/>
              <w:keepNext/>
            </w:pPr>
            <w:r w:rsidRPr="00DD05DE">
              <w:t>Komisijos siūlomas tekstas</w:t>
            </w:r>
          </w:p>
        </w:tc>
        <w:tc>
          <w:tcPr>
            <w:tcW w:w="4876" w:type="dxa"/>
            <w:hideMark/>
          </w:tcPr>
          <w:p w:rsidR="00FF437E" w:rsidRPr="00DD05DE" w:rsidRDefault="00836CC4" w:rsidP="003C4223">
            <w:pPr>
              <w:pStyle w:val="ColumnHeading"/>
              <w:keepNext/>
            </w:pPr>
            <w:r w:rsidRPr="00DD05DE">
              <w:t>Pakeitimas</w:t>
            </w:r>
          </w:p>
        </w:tc>
      </w:tr>
      <w:tr w:rsidR="00AD3DB7" w:rsidRPr="00DD05DE" w:rsidTr="003C4223">
        <w:trPr>
          <w:jc w:val="center"/>
        </w:trPr>
        <w:tc>
          <w:tcPr>
            <w:tcW w:w="4876" w:type="dxa"/>
            <w:hideMark/>
          </w:tcPr>
          <w:p w:rsidR="00FF437E" w:rsidRPr="00DD05DE" w:rsidRDefault="00836CC4" w:rsidP="003C4223">
            <w:pPr>
              <w:pStyle w:val="Normal6"/>
            </w:pPr>
            <w:r w:rsidRPr="00DD05DE">
              <w:t xml:space="preserve">Pirmos pastraipos a ir b punktuose nurodyti įsipareigojimai neviršija sumos, nustatytos iš </w:t>
            </w:r>
            <w:r w:rsidRPr="00DD05DE">
              <w:rPr>
                <w:b/>
                <w:i/>
              </w:rPr>
              <w:t>45</w:t>
            </w:r>
            <w:r w:rsidRPr="00DD05DE">
              <w:t xml:space="preserve"> straipsnio 1 dalyje nurodyto reikalavimo, taikomo konsoliduojamai patronuojamajai įmonei, sumos atėmus visų šių elementų sumą:</w:t>
            </w:r>
          </w:p>
        </w:tc>
        <w:tc>
          <w:tcPr>
            <w:tcW w:w="4876" w:type="dxa"/>
            <w:hideMark/>
          </w:tcPr>
          <w:p w:rsidR="00FF437E" w:rsidRPr="00DD05DE" w:rsidRDefault="00836CC4" w:rsidP="003C4223">
            <w:pPr>
              <w:pStyle w:val="Normal6"/>
              <w:rPr>
                <w:szCs w:val="24"/>
              </w:rPr>
            </w:pPr>
            <w:r w:rsidRPr="00DD05DE">
              <w:t xml:space="preserve">Pirmos pastraipos a ir </w:t>
            </w:r>
            <w:r w:rsidRPr="00DD05DE">
              <w:t xml:space="preserve">b punktuose nurodyti įsipareigojimai neviršija sumos, nustatytos iš </w:t>
            </w:r>
            <w:r w:rsidRPr="00DD05DE">
              <w:rPr>
                <w:b/>
                <w:i/>
              </w:rPr>
              <w:t>12</w:t>
            </w:r>
            <w:r w:rsidRPr="00DD05DE">
              <w:t xml:space="preserve"> straipsnio 1 dalyje nurodyto reikalavimo, taikomo konsoliduojamai patronuojamajai įmonei, sumos atėmus visų šių elementų sumą:</w:t>
            </w:r>
          </w:p>
        </w:tc>
      </w:tr>
    </w:tbl>
    <w:p w:rsidR="00FF437E" w:rsidRPr="00DD05DE" w:rsidRDefault="00836CC4" w:rsidP="00FF437E">
      <w:pPr>
        <w:pStyle w:val="Olang"/>
        <w:rPr>
          <w:sz w:val="24"/>
          <w:szCs w:val="24"/>
        </w:rPr>
      </w:pPr>
      <w:r w:rsidRPr="00DD05DE">
        <w:rPr>
          <w:sz w:val="24"/>
          <w:szCs w:val="24"/>
        </w:rPr>
        <w:t xml:space="preserve">Or. </w:t>
      </w:r>
      <w:r w:rsidRPr="00DD05DE">
        <w:rPr>
          <w:rStyle w:val="HideTWBExt"/>
        </w:rPr>
        <w:t>&lt;Original&gt;</w:t>
      </w:r>
      <w:r w:rsidRPr="00DD05DE">
        <w:rPr>
          <w:rStyle w:val="HideTWBInt"/>
          <w:sz w:val="24"/>
          <w:szCs w:val="24"/>
        </w:rPr>
        <w:t>{EN}</w:t>
      </w:r>
      <w:r w:rsidRPr="00DD05DE">
        <w:rPr>
          <w:sz w:val="24"/>
          <w:szCs w:val="24"/>
        </w:rPr>
        <w:t>en</w:t>
      </w:r>
      <w:r w:rsidRPr="00DD05DE">
        <w:rPr>
          <w:rStyle w:val="HideTWBExt"/>
        </w:rPr>
        <w:t>&lt;/Original&gt;</w:t>
      </w:r>
    </w:p>
    <w:p w:rsidR="00FF437E" w:rsidRPr="00DD05DE" w:rsidRDefault="00836CC4" w:rsidP="00FF437E">
      <w:r w:rsidRPr="00DD05DE">
        <w:rPr>
          <w:rStyle w:val="HideTWBExt"/>
        </w:rPr>
        <w:t>&lt;/Amend&gt;</w:t>
      </w:r>
    </w:p>
    <w:p w:rsidR="00FF437E" w:rsidRPr="00DD05DE" w:rsidRDefault="00836CC4" w:rsidP="00FF437E">
      <w:r w:rsidRPr="00DD05DE">
        <w:rPr>
          <w:rStyle w:val="HideTWBExt"/>
        </w:rPr>
        <w:t>&lt;/RepeatBlock-Amend&gt;</w:t>
      </w:r>
    </w:p>
    <w:p w:rsidR="00FF437E" w:rsidRPr="00DD05DE" w:rsidRDefault="00FF437E" w:rsidP="00FF437E"/>
    <w:p w:rsidR="002669B6" w:rsidRPr="00DD05DE" w:rsidRDefault="002669B6" w:rsidP="00FF437E">
      <w:pPr>
        <w:pStyle w:val="NormalBold"/>
      </w:pPr>
    </w:p>
    <w:sectPr w:rsidR="002669B6" w:rsidRPr="00DD05DE" w:rsidSect="00DD05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D05DE" w:rsidRDefault="00836CC4">
      <w:r w:rsidRPr="00DD05DE">
        <w:separator/>
      </w:r>
    </w:p>
  </w:endnote>
  <w:endnote w:type="continuationSeparator" w:id="0">
    <w:p w:rsidR="00000000" w:rsidRPr="00DD05DE" w:rsidRDefault="00836CC4">
      <w:r w:rsidRPr="00DD05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5DE" w:rsidRPr="00DD05DE" w:rsidRDefault="00DD05DE" w:rsidP="00DD05DE">
    <w:pPr>
      <w:pStyle w:val="EPFooter"/>
    </w:pPr>
    <w:r w:rsidRPr="00DD05DE">
      <w:t>PE</w:t>
    </w:r>
    <w:r w:rsidRPr="00DD05DE">
      <w:rPr>
        <w:rStyle w:val="HideTWBExt"/>
      </w:rPr>
      <w:t>&lt;NoPE&gt;</w:t>
    </w:r>
    <w:r w:rsidRPr="00DD05DE">
      <w:t>752.913</w:t>
    </w:r>
    <w:r w:rsidRPr="00DD05DE">
      <w:rPr>
        <w:rStyle w:val="HideTWBExt"/>
      </w:rPr>
      <w:t>&lt;/NoPE&gt;&lt;Version&gt;</w:t>
    </w:r>
    <w:r w:rsidRPr="00DD05DE">
      <w:t>v01-00</w:t>
    </w:r>
    <w:r w:rsidRPr="00DD05DE">
      <w:rPr>
        <w:rStyle w:val="HideTWBExt"/>
      </w:rPr>
      <w:t>&lt;/Version&gt;</w:t>
    </w:r>
    <w:r w:rsidRPr="00DD05DE">
      <w:tab/>
    </w:r>
    <w:r w:rsidRPr="00DD05DE">
      <w:fldChar w:fldCharType="begin"/>
    </w:r>
    <w:r w:rsidRPr="00DD05DE">
      <w:instrText xml:space="preserve"> PAGE  \* MERGEFORMAT </w:instrText>
    </w:r>
    <w:r w:rsidRPr="00DD05DE">
      <w:fldChar w:fldCharType="separate"/>
    </w:r>
    <w:r w:rsidR="00836CC4">
      <w:rPr>
        <w:noProof/>
      </w:rPr>
      <w:t>2</w:t>
    </w:r>
    <w:r w:rsidRPr="00DD05DE">
      <w:fldChar w:fldCharType="end"/>
    </w:r>
    <w:r w:rsidRPr="00DD05DE">
      <w:t>/</w:t>
    </w:r>
    <w:fldSimple w:instr=" NUMPAGES  \* MERGEFORMAT ">
      <w:r w:rsidR="00836CC4">
        <w:rPr>
          <w:noProof/>
        </w:rPr>
        <w:t>19</w:t>
      </w:r>
    </w:fldSimple>
    <w:r w:rsidRPr="00DD05DE">
      <w:tab/>
    </w:r>
    <w:r w:rsidRPr="00DD05DE">
      <w:rPr>
        <w:rStyle w:val="HideTWBExt"/>
      </w:rPr>
      <w:t>&lt;PathFdR&gt;</w:t>
    </w:r>
    <w:r w:rsidRPr="00DD05DE">
      <w:t>PR\1285454LT.docx</w:t>
    </w:r>
    <w:r w:rsidRPr="00DD05DE">
      <w:rPr>
        <w:rStyle w:val="HideTWBExt"/>
      </w:rPr>
      <w:t>&lt;/PathFdR&gt;</w:t>
    </w:r>
  </w:p>
  <w:p w:rsidR="00FB52FE" w:rsidRPr="00DD05DE" w:rsidRDefault="00DD05DE" w:rsidP="00DD05DE">
    <w:pPr>
      <w:pStyle w:val="EPFooter2"/>
    </w:pPr>
    <w:r w:rsidRPr="00DD05D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5DE" w:rsidRPr="00DD05DE" w:rsidRDefault="00DD05DE" w:rsidP="00DD05DE">
    <w:pPr>
      <w:pStyle w:val="EPFooter"/>
    </w:pPr>
    <w:r w:rsidRPr="00DD05DE">
      <w:rPr>
        <w:rStyle w:val="HideTWBExt"/>
      </w:rPr>
      <w:t>&lt;PathFdR&gt;</w:t>
    </w:r>
    <w:r w:rsidRPr="00DD05DE">
      <w:t>PR\1285454LT.docx</w:t>
    </w:r>
    <w:r w:rsidRPr="00DD05DE">
      <w:rPr>
        <w:rStyle w:val="HideTWBExt"/>
      </w:rPr>
      <w:t>&lt;/PathFdR&gt;</w:t>
    </w:r>
    <w:r w:rsidRPr="00DD05DE">
      <w:tab/>
    </w:r>
    <w:r w:rsidRPr="00DD05DE">
      <w:fldChar w:fldCharType="begin"/>
    </w:r>
    <w:r w:rsidRPr="00DD05DE">
      <w:instrText xml:space="preserve"> PAGE  \* MERGEFORMAT </w:instrText>
    </w:r>
    <w:r w:rsidRPr="00DD05DE">
      <w:fldChar w:fldCharType="separate"/>
    </w:r>
    <w:r w:rsidR="00836CC4">
      <w:rPr>
        <w:noProof/>
      </w:rPr>
      <w:t>19</w:t>
    </w:r>
    <w:r w:rsidRPr="00DD05DE">
      <w:fldChar w:fldCharType="end"/>
    </w:r>
    <w:r w:rsidRPr="00DD05DE">
      <w:t>/</w:t>
    </w:r>
    <w:fldSimple w:instr=" NUMPAGES  \* MERGEFORMAT ">
      <w:r w:rsidR="00836CC4">
        <w:rPr>
          <w:noProof/>
        </w:rPr>
        <w:t>19</w:t>
      </w:r>
    </w:fldSimple>
    <w:r w:rsidRPr="00DD05DE">
      <w:tab/>
      <w:t>PE</w:t>
    </w:r>
    <w:r w:rsidRPr="00DD05DE">
      <w:rPr>
        <w:rStyle w:val="HideTWBExt"/>
      </w:rPr>
      <w:t>&lt;NoPE&gt;</w:t>
    </w:r>
    <w:r w:rsidRPr="00DD05DE">
      <w:t>752.913</w:t>
    </w:r>
    <w:r w:rsidRPr="00DD05DE">
      <w:rPr>
        <w:rStyle w:val="HideTWBExt"/>
      </w:rPr>
      <w:t>&lt;/NoPE&gt;&lt;Version&gt;</w:t>
    </w:r>
    <w:r w:rsidRPr="00DD05DE">
      <w:t>v01-00</w:t>
    </w:r>
    <w:r w:rsidRPr="00DD05DE">
      <w:rPr>
        <w:rStyle w:val="HideTWBExt"/>
      </w:rPr>
      <w:t>&lt;/Version&gt;</w:t>
    </w:r>
  </w:p>
  <w:p w:rsidR="00FB52FE" w:rsidRPr="00DD05DE" w:rsidRDefault="00DD05DE" w:rsidP="00DD05DE">
    <w:pPr>
      <w:pStyle w:val="EPFooter2"/>
    </w:pPr>
    <w:r w:rsidRPr="00DD05DE">
      <w:tab/>
    </w:r>
    <w:r w:rsidRPr="00DD05D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5DE" w:rsidRPr="00DD05DE" w:rsidRDefault="00DD05DE" w:rsidP="00DD05DE">
    <w:pPr>
      <w:pStyle w:val="EPFooter"/>
    </w:pPr>
    <w:r w:rsidRPr="00DD05DE">
      <w:rPr>
        <w:rStyle w:val="HideTWBExt"/>
      </w:rPr>
      <w:t>&lt;PathFdR&gt;</w:t>
    </w:r>
    <w:r w:rsidRPr="00DD05DE">
      <w:t>PR\1285454LT.docx</w:t>
    </w:r>
    <w:r w:rsidRPr="00DD05DE">
      <w:rPr>
        <w:rStyle w:val="HideTWBExt"/>
      </w:rPr>
      <w:t>&lt;/PathFdR&gt;</w:t>
    </w:r>
    <w:r w:rsidRPr="00DD05DE">
      <w:tab/>
    </w:r>
    <w:r w:rsidRPr="00DD05DE">
      <w:tab/>
      <w:t>PE</w:t>
    </w:r>
    <w:r w:rsidRPr="00DD05DE">
      <w:rPr>
        <w:rStyle w:val="HideTWBExt"/>
      </w:rPr>
      <w:t>&lt;NoPE&gt;</w:t>
    </w:r>
    <w:r w:rsidRPr="00DD05DE">
      <w:t>752.913</w:t>
    </w:r>
    <w:r w:rsidRPr="00DD05DE">
      <w:rPr>
        <w:rStyle w:val="HideTWBExt"/>
      </w:rPr>
      <w:t>&lt;/NoPE&gt;&lt;Version&gt;</w:t>
    </w:r>
    <w:r w:rsidRPr="00DD05DE">
      <w:t>v01-00</w:t>
    </w:r>
    <w:r w:rsidRPr="00DD05DE">
      <w:rPr>
        <w:rStyle w:val="HideTWBExt"/>
      </w:rPr>
      <w:t>&lt;/Version&gt;</w:t>
    </w:r>
  </w:p>
  <w:p w:rsidR="00FB52FE" w:rsidRPr="00DD05DE" w:rsidRDefault="00DD05DE" w:rsidP="00DD05DE">
    <w:pPr>
      <w:pStyle w:val="EPFooter2"/>
    </w:pPr>
    <w:r w:rsidRPr="00DD05DE">
      <w:t>LT</w:t>
    </w:r>
    <w:r w:rsidRPr="00DD05DE">
      <w:tab/>
    </w:r>
    <w:r w:rsidRPr="00DD05DE">
      <w:rPr>
        <w:b w:val="0"/>
        <w:i/>
        <w:color w:val="C0C0C0"/>
        <w:sz w:val="22"/>
      </w:rPr>
      <w:t>Suvienijusi įvairovę</w:t>
    </w:r>
    <w:r w:rsidRPr="00DD05DE">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68F" w:rsidRPr="00DD05DE" w:rsidRDefault="00836CC4">
      <w:r w:rsidRPr="00DD05DE">
        <w:separator/>
      </w:r>
    </w:p>
  </w:footnote>
  <w:footnote w:type="continuationSeparator" w:id="0">
    <w:p w:rsidR="00BB768F" w:rsidRPr="00DD05DE" w:rsidRDefault="00836CC4">
      <w:r w:rsidRPr="00DD05DE">
        <w:continuationSeparator/>
      </w:r>
    </w:p>
  </w:footnote>
  <w:footnote w:id="1">
    <w:p w:rsidR="00FF437E" w:rsidRPr="00DD05DE" w:rsidRDefault="00836CC4" w:rsidP="00FF437E">
      <w:pPr>
        <w:pStyle w:val="FootnoteText"/>
        <w:rPr>
          <w:sz w:val="24"/>
          <w:szCs w:val="24"/>
        </w:rPr>
      </w:pPr>
      <w:r w:rsidRPr="00DD05DE">
        <w:rPr>
          <w:rStyle w:val="FootnoteReference"/>
          <w:sz w:val="24"/>
          <w:szCs w:val="24"/>
        </w:rPr>
        <w:footnoteRef/>
      </w:r>
      <w:r w:rsidRPr="00DD05DE">
        <w:rPr>
          <w:sz w:val="24"/>
        </w:rPr>
        <w:t xml:space="preserve"> </w:t>
      </w:r>
      <w:r w:rsidRPr="00DD05DE">
        <w:rPr>
          <w:sz w:val="24"/>
        </w:rPr>
        <w:tab/>
      </w:r>
      <w:r w:rsidRPr="00DD05DE">
        <w:t>OL C 307, 2023 8 31, p. 19.</w:t>
      </w:r>
    </w:p>
  </w:footnote>
  <w:footnote w:id="2">
    <w:p w:rsidR="00FF437E" w:rsidRPr="00DD05DE" w:rsidRDefault="00836CC4" w:rsidP="00FF437E">
      <w:pPr>
        <w:pStyle w:val="FootnoteText"/>
      </w:pPr>
      <w:r w:rsidRPr="00DD05DE">
        <w:rPr>
          <w:rStyle w:val="FootnoteReference"/>
          <w:sz w:val="24"/>
          <w:szCs w:val="24"/>
        </w:rPr>
        <w:footnoteRef/>
      </w:r>
      <w:r w:rsidRPr="00DD05DE">
        <w:t xml:space="preserve"> </w:t>
      </w:r>
      <w:r w:rsidRPr="00DD05DE">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C4" w:rsidRDefault="00836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C4" w:rsidRDefault="00836C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C4" w:rsidRDefault="00836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ECON"/>
    <w:docVar w:name="DOCMNU" w:val=" 2"/>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07904 HideTWBExt;}{\*\cs18 \additive \v\f1\fs20\cf15 _x000d__x000a_\spriority0 \styrsid4407904 HideTWBInt;}{\s19\ql \li0\ri0\sa120\nowidctlpar\wrapdefault\aspalpha\aspnum\faauto\adjustright\rin0\lin0\itap0 \rtlch\fcs1 \af0\afs20\alang1025 \ltrch\fcs0 \fs24\lang1063\langfe2057\cgrid\langnp1063\langfenp2057 _x000d__x000a_\sbasedon0 \snext19 \spriority0 \styrsid4407904 Normal6a;}{\s20\ql \li0\ri0\nowidctlpar\wrapdefault\aspalpha\aspnum\faauto\adjustright\rin0\lin0\itap0 \rtlch\fcs1 \af0\afs20\alang1025 \ltrch\fcs0 \b\fs24\lang1063\langfe2057\cgrid\langnp1063\langfenp2057 _x000d__x000a_\sbasedon0 \snext20 \spriority0 \styrsid4407904 NormalBold;}{\s21\ql \li0\ri0\sa240\nowidctlpar\wrapdefault\aspalpha\aspnum\faauto\adjustright\rin0\lin0\itap0 \rtlch\fcs1 \af0\afs20\alang1025 \ltrch\fcs0 _x000d__x000a_\i\fs24\lang1063\langfe2057\cgrid\langnp1063\langfenp2057 \sbasedon0 \snext21 \spriority0 \styrsid4407904 AmJustText;}{\s22\qc \li0\ri0\sb240\sa240\nowidctlpar\wrapdefault\aspalpha\aspnum\faauto\adjustright\rin0\lin0\itap0 \rtlch\fcs1 _x000d__x000a_\af0\afs20\alang1025 \ltrch\fcs0 \i\fs24\lang1063\langfe2057\cgrid\langnp1063\langfenp2057 \sbasedon0 \snext22 \spriority0 \styrsid4407904 AmCrossRef;}{_x000d__x000a_\s23\qc \li0\ri0\sb240\sa240\keepn\nowidctlpar\wrapdefault\aspalpha\aspnum\faauto\adjustright\rin0\lin0\itap0 \rtlch\fcs1 \af0\afs20\alang1025 \ltrch\fcs0 \i\fs24\lang1063\langfe2057\cgrid\langnp1063\langfenp2057 _x000d__x000a_\sbasedon0 \snext21 \spriority0 \styrsid4407904 AmJustTitle;}{\s24\qr \li0\ri0\sb240\sa240\nowidctlpar\wrapdefault\aspalpha\aspnum\faauto\adjustright\rin0\lin0\itap0 \rtlch\fcs1 \af0\afs20\alang1025 \ltrch\fcs0 _x000d__x000a_\fs24\lang1063\langfe2057\cgrid\langnp1063\langfenp2057 \sbasedon0 \snext24 \spriority0 \styrsid4407904 AmOrLang;}{\s25\qc \li0\ri0\sa240\nowidctlpar\wrapdefault\aspalpha\aspnum\faauto\adjustright\rin0\lin0\itap0 \rtlch\fcs1 \af0\afs20\alang1025 _x000d__x000a_\ltrch\fcs0 \i\fs24\lang1063\langfe2057\cgrid\langnp1063\langfenp2057 \sbasedon0 \snext25 \spriority0 \styrsid44079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4407904 AmNumberTabs;}{\s27\ql \li0\ri0\sb240\nowidctlpar\wrapdefault\aspalpha\aspnum\faauto\adjustright\rin0\lin0\itap0 \rtlch\fcs1 _x000d__x000a_\af0\afs20\alang1025 \ltrch\fcs0 \b\fs24\lang1063\langfe2057\cgrid\langnp1063\langfenp2057 \sbasedon0 \snext27 \spriority0 \styrsid4407904 NormalBold12b;}}{\*\rsidtbl \rsid24658\rsid223860\rsid735077\rsid1718133\rsid2892074\rsid3565327\rsid4407904_x000d__x000a_\rsid4666813\rsid6641733\rsid677634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THERS Margarita}{\operator MATHERS Margarita}{\creatim\yr2023\mo9\dy5\hr9\min36}{\revtim\yr2023\mo9\dy5\hr9\min36}{\version1}{\edmins0}{\nofpages1}_x000d__x000a_{\nofwords107}{\nofchars607}{\nofcharsws71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07904\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6776343 \chftnsep _x000d__x000a_\par }}{\*\ftnsepc \ltrpar \pard\plain \ltrpar\ql \li0\ri0\widctlpar\wrapdefault\aspalpha\aspnum\faauto\adjustright\rin0\lin0\itap0 \rtlch\fcs1 \af0\afs20\alang1025 \ltrch\fcs0 \fs24\lang2057\langfe2057\cgrid\langnp2057\langfenp2057 {\rtlch\fcs1 \af0 _x000d__x000a_\ltrch\fcs0 \insrsid6776343 \chftnsepc _x000d__x000a_\par }}{\*\aftnsep \ltrpar \pard\plain \ltrpar\ql \li0\ri0\widctlpar\wrapdefault\aspalpha\aspnum\faauto\adjustright\rin0\lin0\itap0 \rtlch\fcs1 \af0\afs20\alang1025 \ltrch\fcs0 \fs24\lang2057\langfe2057\cgrid\langnp2057\langfenp2057 {\rtlch\fcs1 \af0 _x000d__x000a_\ltrch\fcs0 \insrsid6776343 \chftnsep _x000d__x000a_\par }}{\*\aftnsepc \ltrpar \pard\plain \ltrpar\ql \li0\ri0\widctlpar\wrapdefault\aspalpha\aspnum\faauto\adjustright\rin0\lin0\itap0 \rtlch\fcs1 \af0\afs20\alang1025 \ltrch\fcs0 \fs24\lang2057\langfe2057\cgrid\langnp2057\langfenp2057 {\rtlch\fcs1 \af0 _x000d__x000a_\ltrch\fcs0 \insrsid67763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407904 \rtlch\fcs1 _x000d__x000a_\af0\afs20\alang1025 \ltrch\fcs0 \b\fs24\lang1063\langfe2057\cgrid\langnp1063\langfenp2057 {\rtlch\fcs1 \af0 \ltrch\fcs0 \cs17\b0\v\fs20\cf9\lang1024\langfe1024\loch\af1\hich\af1\dbch\af31501\noproof\insrsid4407904\charrsid16256988 {\*\bkmkstart restart}_x000d__x000a_\hich\af1\dbch\af31501\loch\f1 &lt;Amend&gt;}{\rtlch\fcs1 \af0 \ltrch\fcs0 \insrsid4407904\charrsid16256988 Pakeitimas\tab \tab }{\rtlch\fcs1 \af0 \ltrch\fcs0 _x000d__x000a_\cs17\b0\v\fs20\cf9\lang1024\langfe1024\loch\af1\hich\af1\dbch\af31501\noproof\insrsid4407904\charrsid16256988 \hich\af1\dbch\af31501\loch\f1 &lt;NumAm&gt;}{\rtlch\fcs1 \af0 \ltrch\fcs0 \insrsid4407904\charrsid16256988 #}{\rtlch\fcs1 \af1 \ltrch\fcs0 _x000d__x000a_\cs18\v\f1\fs20\cf15\insrsid4407904\charrsid16256988 ENMIENDA@NRAM@}{\rtlch\fcs1 \af0 \ltrch\fcs0 \insrsid4407904\charrsid16256988 #}{\rtlch\fcs1 \af0 \ltrch\fcs0 _x000d__x000a_\cs17\b0\v\fs20\cf9\lang1024\langfe1024\loch\af1\hich\af1\dbch\af31501\noproof\insrsid4407904\charrsid16256988 \hich\af1\dbch\af31501\loch\f1 &lt;/NumAm&gt;}{\rtlch\fcs1 \af0 \ltrch\fcs0 \insrsid4407904\charrsid16256988 _x000d__x000a_\par }\pard\plain \ltrpar\s27\ql \li0\ri0\sb240\keepn\nowidctlpar\wrapdefault\aspalpha\aspnum\faauto\adjustright\rin0\lin0\itap0\pararsid4407904 \rtlch\fcs1 \af0\afs20\alang1025 \ltrch\fcs0 \b\fs24\lang1063\langfe2057\cgrid\langnp1063\langfenp2057 {_x000d__x000a_\rtlch\fcs1 \af0 \ltrch\fcs0 \cs17\b0\v\fs20\cf9\lang1024\langfe1024\loch\af1\hich\af1\dbch\af31501\noproof\insrsid4407904\charrsid16256988 \hich\af1\dbch\af31501\loch\f1 &lt;DocAmend&gt;}{\rtlch\fcs1 \af309 \ltrch\fcs0 \f309\insrsid4407904\charrsid16256988 _x000d__x000a_Pasi\'fblymas d\'ebl }{\rtlch\fcs1 \af0 \ltrch\fcs0 \insrsid4407904\charrsid16256988 #}{\rtlch\fcs1 \af1 \ltrch\fcs0 \cs18\v\f1\fs20\cf15\insrsid4407904\charrsid16256988 MNU[DOC1][DOC2][DOC3]@DOCMSG@DOCMNU}{\rtlch\fcs1 \af0 \ltrch\fcs0 _x000d__x000a_\insrsid4407904\charrsid16256988 ##}{\rtlch\fcs1 \af1 \ltrch\fcs0 \cs18\v\f1\fs20\cf15\insrsid4407904\charrsid16256988 MNU[AMACTYES][NOTAPP]@CHOICE@AMACTMNU}{\rtlch\fcs1 \af0 \ltrch\fcs0 \insrsid4407904\charrsid16256988 #}{\rtlch\fcs1 \af0 \ltrch\fcs0 _x000d__x000a_\cs17\b0\v\fs20\cf9\lang1024\langfe1024\loch\af1\hich\af1\dbch\af31501\noproof\insrsid4407904\charrsid16256988 \hich\af1\dbch\af31501\loch\f1 &lt;/DocAmend&gt;}{\rtlch\fcs1 \af0 \ltrch\fcs0 \insrsid4407904\charrsid16256988 _x000d__x000a_\par }\pard\plain \ltrpar\s20\ql \li0\ri0\keepn\nowidctlpar\wrapdefault\aspalpha\aspnum\faauto\adjustright\rin0\lin0\itap0\pararsid4407904 \rtlch\fcs1 \af0\afs20\alang1025 \ltrch\fcs0 \b\fs24\lang1063\langfe2057\cgrid\langnp1063\langfenp2057 {\rtlch\fcs1 \af0 _x000d__x000a_\ltrch\fcs0 \cs17\b0\v\fs20\cf9\lang1024\langfe1024\loch\af1\hich\af1\dbch\af31501\noproof\insrsid4407904\charrsid16256988 \hich\af1\dbch\af31501\loch\f1 &lt;Article&gt;}{\rtlch\fcs1 \af0 \ltrch\fcs0 \insrsid4407904\charrsid16256988 #}{\rtlch\fcs1 \af1 _x000d__x000a_\ltrch\fcs0 \cs18\v\f1\fs20\cf15\insrsid4407904\charrsid16256988 MNU[AMACTPARTYES][AMACTPARTNO]@CHOICE@AMACTMNU}{\rtlch\fcs1 \af0 \ltrch\fcs0 \insrsid4407904\charrsid16256988 #}{\rtlch\fcs1 \af0 \ltrch\fcs0 _x000d__x000a_\cs17\b0\v\fs20\cf9\lang1024\langfe1024\loch\af1\hich\af1\dbch\af31501\noproof\insrsid4407904\charrsid16256988 \hich\af1\dbch\af31501\loch\f1 &lt;/Article&gt;}{\rtlch\fcs1 \af0 \ltrch\fcs0 \insrsid4407904\charrsid16256988 _x000d__x000a_\par }\pard\plain \ltrpar\ql \li0\ri0\keepn\widctlpar\wrapdefault\aspalpha\aspnum\faauto\adjustright\rin0\lin0\itap0\pararsid4407904 \rtlch\fcs1 \af0\afs20\alang1025 \ltrch\fcs0 \fs24\lang2057\langfe2057\cgrid\langnp2057\langfenp2057 {\rtlch\fcs1 \af0 _x000d__x000a_\ltrch\fcs0 \cs17\v\fs20\cf9\lang1024\langfe1024\loch\af1\hich\af1\dbch\af31501\noproof\langnp1063\insrsid4407904\charrsid16256988 \hich\af1\dbch\af31501\loch\f1 &lt;DocAmend2&gt;&lt;OptDel&gt;}{\rtlch\fcs1 \af0 \ltrch\fcs0 _x000d__x000a_\lang1063\langfe2057\langnp1063\insrsid4407904\charrsid16256988 #}{\rtlch\fcs1 \af1 \ltrch\fcs0 \cs18\v\f1\fs20\cf15\lang1063\langfe2057\langnp1063\insrsid4407904\charrsid16256988 MNU[OPTNRACTYES][NOTAPP]@CHOICE@AMACTMNU}{\rtlch\fcs1 \af0 \ltrch\fcs0 _x000d__x000a_\lang1063\langfe2057\langnp1063\insrsid4407904\charrsid16256988 #}{\rtlch\fcs1 \af0 \ltrch\fcs0 \cs17\v\fs20\cf9\lang1024\langfe1024\loch\af1\hich\af1\dbch\af31501\noproof\langnp1063\insrsid4407904\charrsid16256988 \hich\af1\dbch\af31501\loch\f1 _x000d__x000a_&lt;/OptDel&gt;&lt;/DocAmend2&gt;}{\rtlch\fcs1 \af0 \ltrch\fcs0 \lang1063\langfe2057\langnp1063\insrsid4407904\charrsid16256988 _x000d__x000a_\par }\pard \ltrpar\ql \li0\ri0\widctlpar\wrapdefault\aspalpha\aspnum\faauto\adjustright\rin0\lin0\itap0\pararsid4407904 {\rtlch\fcs1 \af0 \ltrch\fcs0 _x000d__x000a_\cs17\v\fs20\cf9\lang1024\langfe1024\loch\af1\hich\af1\dbch\af31501\noproof\langnp1063\insrsid4407904\charrsid16256988 \hich\af1\dbch\af31501\loch\f1 &lt;Article2&gt;&lt;OptDel&gt;}{\rtlch\fcs1 \af0 \ltrch\fcs0 _x000d__x000a_\lang1063\langfe2057\langnp1063\insrsid4407904\charrsid16256988 #}{\rtlch\fcs1 \af1 \ltrch\fcs0 \cs18\v\f1\fs20\cf15\lang1063\langfe2057\langnp1063\insrsid4407904\charrsid16256988 MNU[OPTACTPARTYES][NOTAPP]@CHOICE@AMACTMNU}{\rtlch\fcs1 \af0 \ltrch\fcs0 _x000d__x000a_\lang1063\langfe2057\langnp1063\insrsid4407904\charrsid16256988 #}{\rtlch\fcs1 \af0 \ltrch\fcs0 \cs17\v\fs20\cf9\lang1024\langfe1024\loch\af1\hich\af1\dbch\af31501\noproof\langnp1063\insrsid4407904\charrsid16256988 \hich\af1\dbch\af31501\loch\f1 _x000d__x000a_&lt;/OptDel&gt;&lt;/Article2&gt;}{\rtlch\fcs1 \af0 \ltrch\fcs0 \lang1063\langfe2057\langnp1063\insrsid4407904\charrsid1625698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3\langfe2057\langnp1063\insrsid4407904\charrsid16256988 \cell }\pard\plain \ltrpar_x000d__x000a_\ql \li0\ri0\widctlpar\intbl\wrapdefault\aspalpha\aspnum\faauto\adjustright\rin0\lin0 \rtlch\fcs1 \af0\afs20\alang1025 \ltrch\fcs0 \fs24\lang2057\langfe2057\cgrid\langnp2057\langfenp2057 {\rtlch\fcs1 \af0 \ltrch\fcs0 _x000d__x000a_\lang1063\langfe2057\langnp1063\insrsid4407904\charrsid1625698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4407904\charrsid16256988 #}{\rtlch\fcs1 \af1 \ltrch\fcs0 \cs18\v\f1\fs20\cf15\insrsid4407904\charrsid16256988 MNU[OPTLEFTAMACT][LEFTPROP]@CHOICE@AMACTMNU}{\rtlch\fcs1 \af0 \ltrch\fcs0 \insrsid4407904\charrsid16256988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4407904\charrsid16256988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3\langfe2057\cgrid\langnp1063\langfenp2057 {\rtlch\fcs1 \af0 \ltrch\fcs0 _x000d__x000a_\insrsid4407904\charrsid16256988 #}{\rtlch\fcs1 \af1 \ltrch\fcs0 \cs18\v\f1\fs20\cf15\insrsid4407904\charrsid16256988 Tekstas}{\rtlch\fcs1 \af0 \ltrch\fcs0 \insrsid4407904\charrsid16256988 #\cell #}{\rtlch\fcs1 \af1 \ltrch\fcs0 _x000d__x000a_\cs18\v\f1\fs20\cf15\insrsid4407904\charrsid16256988 Tekstas}{\rtlch\fcs1 \af0 \ltrch\fcs0 \insrsid4407904\charrsid16256988 #}{\rtlch\fcs1 \af0\afs24 \ltrch\fcs0 \insrsid4407904\charrsid16256988 \cell }\pard\plain \ltrpar_x000d__x000a_\ql \li0\ri0\widctlpar\intbl\wrapdefault\aspalpha\aspnum\faauto\adjustright\rin0\lin0 \rtlch\fcs1 \af0\afs20\alang1025 \ltrch\fcs0 \fs24\lang2057\langfe2057\cgrid\langnp2057\langfenp2057 {\rtlch\fcs1 \af0 \ltrch\fcs0 _x000d__x000a_\lang1063\langfe2057\langnp1063\insrsid4407904\charrsid1625698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407904 \rtlch\fcs1 \af0\afs20\alang1025 \ltrch\fcs0 \fs24\lang1063\langfe2057\cgrid\langnp1063\langfenp2057 {\rtlch\fcs1 \af0 \ltrch\fcs0 _x000d__x000a_\insrsid4407904\charrsid16256988 Or. }{\rtlch\fcs1 \af0 \ltrch\fcs0 \cs17\v\fs20\cf9\lang1024\langfe1024\loch\af1\hich\af1\dbch\af31501\noproof\insrsid4407904\charrsid16256988 \hich\af1\dbch\af31501\loch\f1 &lt;Original&gt;}{\rtlch\fcs1 \af0 \ltrch\fcs0 _x000d__x000a_\insrsid4407904\charrsid16256988 #}{\rtlch\fcs1 \af1 \ltrch\fcs0 \cs18\v\f1\fs20\cf15\insrsid4407904\charrsid16256988 MNU[ORLANGONE][ORLANGMORE]@CHOICE@ORLANGMNU}{\rtlch\fcs1 \af0 \ltrch\fcs0 \insrsid4407904\charrsid16256988 #}{\rtlch\fcs1 \af0 _x000d__x000a_\ltrch\fcs0 \cs17\v\fs20\cf9\lang1024\langfe1024\loch\af1\hich\af1\dbch\af31501\noproof\insrsid4407904\charrsid16256988 \hich\af1\dbch\af31501\loch\f1 &lt;/Original&gt;}{\rtlch\fcs1 \af0 \ltrch\fcs0 \insrsid4407904\charrsid16256988 _x000d__x000a_\par }\pard\plain \ltrpar\s22\qc \li0\ri0\sb240\sa240\nowidctlpar\wrapdefault\aspalpha\aspnum\faauto\adjustright\rin0\lin0\itap0\pararsid4407904 \rtlch\fcs1 \af0\afs20\alang1025 \ltrch\fcs0 \i\fs24\lang1063\langfe2057\cgrid\langnp1063\langfenp2057 {_x000d__x000a_\rtlch\fcs1 \af0 \ltrch\fcs0 \cs17\i0\v\fs20\cf9\lang1024\langfe1024\loch\af1\hich\af1\dbch\af31501\noproof\insrsid4407904\charrsid16256988 \hich\af1\dbch\af31501\loch\f1 &lt;OptDel&gt;}{\rtlch\fcs1 \af0 \ltrch\fcs0 \insrsid4407904\charrsid16256988 #}{_x000d__x000a_\rtlch\fcs1 \af1 \ltrch\fcs0 \cs18\v\f1\fs20\cf15\insrsid4407904\charrsid16256988 MNU[CROSSREFNO][CROSSREFYES]@CHOICE@}{\rtlch\fcs1 \af0 \ltrch\fcs0 \insrsid4407904\charrsid16256988 #}{\rtlch\fcs1 \af0 \ltrch\fcs0 _x000d__x000a_\cs17\i0\v\fs20\cf9\lang1024\langfe1024\loch\af1\hich\af1\dbch\af31501\noproof\insrsid4407904\charrsid16256988 \hich\af1\dbch\af31501\loch\f1 &lt;/OptDel&gt;}{\rtlch\fcs1 \af0 \ltrch\fcs0 \insrsid4407904\charrsid16256988 _x000d__x000a_\par }\pard\plain \ltrpar\s23\qc \li0\ri0\sb240\sa240\keepn\nowidctlpar\wrapdefault\aspalpha\aspnum\faauto\adjustright\rin0\lin0\itap0\pararsid4407904 \rtlch\fcs1 \af0\afs20\alang1025 \ltrch\fcs0 \i\fs24\lang1063\langfe2057\cgrid\langnp1063\langfenp2057 {_x000d__x000a_\rtlch\fcs1 \af0 \ltrch\fcs0 \cs17\i0\v\fs20\cf9\lang1024\langfe1024\loch\af1\hich\af1\dbch\af31501\noproof\insrsid4407904\charrsid16256988 \hich\af1\dbch\af31501\loch\f1 &lt;TitreJust&gt;}{\rtlch\fcs1 \af0 \ltrch\fcs0 \insrsid4407904\charrsid16256988 _x000d__x000a_Pagrindimas}{\rtlch\fcs1 \af0 \ltrch\fcs0 \cs17\i0\v\fs20\cf9\lang1024\langfe1024\loch\af1\hich\af1\dbch\af31501\noproof\insrsid4407904\charrsid16256988 \hich\af1\dbch\af31501\loch\f1 &lt;/TitreJust&gt;}{\rtlch\fcs1 \af0 \ltrch\fcs0 _x000d__x000a_\insrsid4407904\charrsid16256988 _x000d__x000a_\par }\pard\plain \ltrpar\s21\ql \li0\ri0\sa240\nowidctlpar\wrapdefault\aspalpha\aspnum\faauto\adjustright\rin0\lin0\itap0\pararsid4407904 \rtlch\fcs1 \af0\afs20\alang1025 \ltrch\fcs0 \i\fs24\lang1063\langfe2057\cgrid\langnp1063\langfenp2057 {\rtlch\fcs1 \af0 _x000d__x000a_\ltrch\fcs0 \cs17\i0\v\fs20\cf9\lang1024\langfe1024\loch\af1\hich\af1\dbch\af31501\noproof\insrsid4407904\charrsid16256988 \hich\af1\dbch\af31501\loch\f1 &lt;OptDelPrev&gt;}{\rtlch\fcs1 \af0 \ltrch\fcs0 \insrsid4407904\charrsid16256988 #}{\rtlch\fcs1 \af1 _x000d__x000a_\ltrch\fcs0 \cs18\v\f1\fs20\cf15\insrsid4407904\charrsid16256988 MNU[TEXTJUSTYES][TEXTJUSTNO]@CHOICE@}{\rtlch\fcs1 \af0 \ltrch\fcs0 \insrsid4407904\charrsid16256988 #}{\rtlch\fcs1 \af0 \ltrch\fcs0 _x000d__x000a_\cs17\i0\v\fs20\cf9\lang1024\langfe1024\loch\af1\hich\af1\dbch\af31501\noproof\insrsid4407904\charrsid16256988 \hich\af1\dbch\af31501\loch\f1 &lt;/OptDelPrev&gt;}{\rtlch\fcs1 \af0 \ltrch\fcs0 \insrsid4407904\charrsid16256988 _x000d__x000a_\par }\pard\plain \ltrpar\ql \li0\ri0\widctlpar\wrapdefault\aspalpha\aspnum\faauto\adjustright\rin0\lin0\itap0\pararsid4407904 \rtlch\fcs1 \af0\afs20\alang1025 \ltrch\fcs0 \fs24\lang2057\langfe2057\cgrid\langnp2057\langfenp2057 {\rtlch\fcs1 \af0 \ltrch\fcs0 _x000d__x000a_\cs17\v\fs20\cf9\lang1024\langfe1024\loch\af1\hich\af1\dbch\af31501\noproof\langnp1063\insrsid4407904\charrsid1625698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5_x000d__x000a_c4b9cbd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Jonás Fernández"/>
    <w:docVar w:name="TXTLANGUE" w:val="LT"/>
    <w:docVar w:name="TXTLANGUEMIN" w:val="lt"/>
    <w:docVar w:name="TXTNRPE" w:val="752.913"/>
    <w:docVar w:name="TXTPEorAP" w:val="PE"/>
    <w:docVar w:name="TXTROUTE" w:val="PR\1285454LT.docx"/>
    <w:docVar w:name="TXTVERSION" w:val="01-00"/>
  </w:docVars>
  <w:rsids>
    <w:rsidRoot w:val="00BB768F"/>
    <w:rsid w:val="00011AAB"/>
    <w:rsid w:val="00012351"/>
    <w:rsid w:val="000139E5"/>
    <w:rsid w:val="00084DD2"/>
    <w:rsid w:val="00084E89"/>
    <w:rsid w:val="000B7489"/>
    <w:rsid w:val="000F1096"/>
    <w:rsid w:val="00104CF2"/>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3C4223"/>
    <w:rsid w:val="004100B1"/>
    <w:rsid w:val="00426E47"/>
    <w:rsid w:val="00455743"/>
    <w:rsid w:val="00461601"/>
    <w:rsid w:val="004C0915"/>
    <w:rsid w:val="004D424E"/>
    <w:rsid w:val="004E42C8"/>
    <w:rsid w:val="004E733D"/>
    <w:rsid w:val="004F3FA5"/>
    <w:rsid w:val="0051271F"/>
    <w:rsid w:val="00521F46"/>
    <w:rsid w:val="00533450"/>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932B3"/>
    <w:rsid w:val="00793EA9"/>
    <w:rsid w:val="007D6F68"/>
    <w:rsid w:val="00823E6B"/>
    <w:rsid w:val="00826780"/>
    <w:rsid w:val="00836CC4"/>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3DB7"/>
    <w:rsid w:val="00AD7FA6"/>
    <w:rsid w:val="00AE4643"/>
    <w:rsid w:val="00AF0416"/>
    <w:rsid w:val="00B10CB4"/>
    <w:rsid w:val="00B13D6F"/>
    <w:rsid w:val="00B23B72"/>
    <w:rsid w:val="00B42702"/>
    <w:rsid w:val="00B57B8B"/>
    <w:rsid w:val="00B85407"/>
    <w:rsid w:val="00B95702"/>
    <w:rsid w:val="00BB768F"/>
    <w:rsid w:val="00BC6489"/>
    <w:rsid w:val="00BD480C"/>
    <w:rsid w:val="00C20954"/>
    <w:rsid w:val="00C23324"/>
    <w:rsid w:val="00C42A41"/>
    <w:rsid w:val="00C47E74"/>
    <w:rsid w:val="00C57A72"/>
    <w:rsid w:val="00C73602"/>
    <w:rsid w:val="00C85D0F"/>
    <w:rsid w:val="00CF60C8"/>
    <w:rsid w:val="00D30DE2"/>
    <w:rsid w:val="00D32924"/>
    <w:rsid w:val="00D503A3"/>
    <w:rsid w:val="00D73633"/>
    <w:rsid w:val="00DA6ED0"/>
    <w:rsid w:val="00DC5011"/>
    <w:rsid w:val="00DD05DE"/>
    <w:rsid w:val="00E171B6"/>
    <w:rsid w:val="00E72695"/>
    <w:rsid w:val="00EB1753"/>
    <w:rsid w:val="00EB6CFF"/>
    <w:rsid w:val="00EE3996"/>
    <w:rsid w:val="00F07062"/>
    <w:rsid w:val="00F23CFC"/>
    <w:rsid w:val="00F433E2"/>
    <w:rsid w:val="00F72672"/>
    <w:rsid w:val="00F904AE"/>
    <w:rsid w:val="00F934F8"/>
    <w:rsid w:val="00FB52FE"/>
    <w:rsid w:val="00FC0A34"/>
    <w:rsid w:val="00FD1DEF"/>
    <w:rsid w:val="00FE3B3F"/>
    <w:rsid w:val="00FF437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56EF6C-52DB-4E2B-8853-EC8C8122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437E"/>
    <w:pPr>
      <w:tabs>
        <w:tab w:val="right" w:pos="454"/>
        <w:tab w:val="left" w:pos="737"/>
      </w:tabs>
      <w:ind w:left="737" w:hanging="737"/>
    </w:pPr>
    <w:rPr>
      <w:snapToGrid w:val="0"/>
      <w:sz w:val="18"/>
      <w:lang w:eastAsia="en-US"/>
    </w:rPr>
  </w:style>
  <w:style w:type="paragraph" w:customStyle="1" w:styleId="Lgendetitre">
    <w:name w:val="Légende titre"/>
    <w:basedOn w:val="Normal"/>
    <w:rsid w:val="00FF437E"/>
    <w:pPr>
      <w:spacing w:before="240" w:after="240"/>
    </w:pPr>
    <w:rPr>
      <w:b/>
      <w:i/>
      <w:snapToGrid w:val="0"/>
      <w:lang w:eastAsia="en-US"/>
    </w:rPr>
  </w:style>
  <w:style w:type="paragraph" w:customStyle="1" w:styleId="Lgendestandard">
    <w:name w:val="Légende standard"/>
    <w:basedOn w:val="Normal"/>
    <w:rsid w:val="00FF437E"/>
    <w:rPr>
      <w:sz w:val="18"/>
    </w:rPr>
  </w:style>
  <w:style w:type="paragraph" w:styleId="FootnoteText">
    <w:name w:val="footnote text"/>
    <w:basedOn w:val="Normal"/>
    <w:link w:val="FootnoteTextChar"/>
    <w:rsid w:val="00FF437E"/>
    <w:rPr>
      <w:sz w:val="20"/>
    </w:rPr>
  </w:style>
  <w:style w:type="character" w:customStyle="1" w:styleId="FootnoteTextChar">
    <w:name w:val="Footnote Text Char"/>
    <w:basedOn w:val="DefaultParagraphFont"/>
    <w:link w:val="FootnoteText"/>
    <w:rsid w:val="00FF437E"/>
  </w:style>
  <w:style w:type="character" w:styleId="FootnoteReference">
    <w:name w:val="footnote reference"/>
    <w:basedOn w:val="DefaultParagraphFont"/>
    <w:rsid w:val="00FF437E"/>
    <w:rPr>
      <w:vertAlign w:val="superscript"/>
    </w:rPr>
  </w:style>
  <w:style w:type="character" w:customStyle="1" w:styleId="Normal6Char">
    <w:name w:val="Normal6 Char"/>
    <w:basedOn w:val="DefaultParagraphFont"/>
    <w:link w:val="Normal6"/>
    <w:locked/>
    <w:rsid w:val="00FF437E"/>
    <w:rPr>
      <w:sz w:val="24"/>
      <w:lang w:val="lt-LT"/>
    </w:rPr>
  </w:style>
  <w:style w:type="paragraph" w:customStyle="1" w:styleId="Normal6">
    <w:name w:val="Normal6"/>
    <w:basedOn w:val="Normal"/>
    <w:link w:val="Normal6Char"/>
    <w:rsid w:val="00FF437E"/>
    <w:pPr>
      <w:spacing w:after="120"/>
    </w:pPr>
  </w:style>
  <w:style w:type="character" w:customStyle="1" w:styleId="NormalBoldChar">
    <w:name w:val="NormalBold Char"/>
    <w:basedOn w:val="DefaultParagraphFont"/>
    <w:link w:val="NormalBold"/>
    <w:locked/>
    <w:rsid w:val="00FF437E"/>
    <w:rPr>
      <w:b/>
      <w:sz w:val="24"/>
      <w:lang w:val="lt-LT"/>
    </w:rPr>
  </w:style>
  <w:style w:type="paragraph" w:customStyle="1" w:styleId="ColumnHeading">
    <w:name w:val="ColumnHeading"/>
    <w:basedOn w:val="Normal"/>
    <w:rsid w:val="00FF437E"/>
    <w:pPr>
      <w:spacing w:after="240"/>
      <w:jc w:val="center"/>
    </w:pPr>
    <w:rPr>
      <w:i/>
    </w:rPr>
  </w:style>
  <w:style w:type="paragraph" w:customStyle="1" w:styleId="AMNumberTabs0">
    <w:name w:val="AMNumberTabs"/>
    <w:basedOn w:val="Normal"/>
    <w:rsid w:val="00FF43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F437E"/>
    <w:pPr>
      <w:jc w:val="right"/>
    </w:pPr>
  </w:style>
  <w:style w:type="paragraph" w:styleId="Footer">
    <w:name w:val="footer"/>
    <w:basedOn w:val="Normal"/>
    <w:link w:val="FooterChar"/>
    <w:semiHidden/>
    <w:rsid w:val="00836CC4"/>
    <w:pPr>
      <w:tabs>
        <w:tab w:val="center" w:pos="4513"/>
        <w:tab w:val="right" w:pos="9026"/>
      </w:tabs>
    </w:pPr>
  </w:style>
  <w:style w:type="character" w:customStyle="1" w:styleId="FooterChar">
    <w:name w:val="Footer Char"/>
    <w:basedOn w:val="DefaultParagraphFont"/>
    <w:link w:val="Footer"/>
    <w:semiHidden/>
    <w:rsid w:val="00836CC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thers\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758E5-8F6D-4EEC-B356-8E2E9EF65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19</Pages>
  <Words>4985</Words>
  <Characters>35593</Characters>
  <Application>Microsoft Office Word</Application>
  <DocSecurity>0</DocSecurity>
  <Lines>1186</Lines>
  <Paragraphs>276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MATHERS Margarita</dc:creator>
  <cp:lastModifiedBy>MATHERS Margarita</cp:lastModifiedBy>
  <cp:revision>2</cp:revision>
  <cp:lastPrinted>2004-11-04T09:41:00Z</cp:lastPrinted>
  <dcterms:created xsi:type="dcterms:W3CDTF">2023-09-18T11:10:00Z</dcterms:created>
  <dcterms:modified xsi:type="dcterms:W3CDTF">2023-09-18T11:10:00Z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\\eiciLUXpr1\pdocep$\DocEP\TRANSFIL\LT\PR_COD_1amCom.LT(29/06/2022 10:24:16)</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PR\1285454LT.docx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Bookout">
    <vt:lpwstr>OK - 2023/09/18 13:10</vt:lpwstr>
  </property>
</Properties>
</file>