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87F81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4F7271" w:rsidRDefault="00AF65B7" w:rsidP="00C85D0F">
            <w:pPr>
              <w:pStyle w:val="EPName"/>
            </w:pPr>
            <w:bookmarkStart w:id="0" w:name="_GoBack"/>
            <w:bookmarkEnd w:id="0"/>
            <w:r>
              <w:t>Parlament Ewropew</w:t>
            </w:r>
          </w:p>
          <w:p w:rsidR="00B13D6F" w:rsidRPr="00A85A26" w:rsidRDefault="00AF65B7" w:rsidP="00A85A26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4F7271" w:rsidRDefault="00AF65B7" w:rsidP="00C85D0F">
            <w:pPr>
              <w:pStyle w:val="EPLogo"/>
            </w:pPr>
            <w:r w:rsidRPr="004F727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4F7271" w:rsidRDefault="00461601" w:rsidP="00461601">
      <w:pPr>
        <w:pStyle w:val="LineTop"/>
      </w:pPr>
    </w:p>
    <w:p w:rsidR="00461601" w:rsidRPr="004F7271" w:rsidRDefault="00AF65B7" w:rsidP="00461601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{ECON}</w:t>
      </w:r>
      <w:r>
        <w:t>Kumitat għall-Affarijiet Ekonomiċi u Monetarji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461601" w:rsidRPr="004F7271" w:rsidRDefault="00461601" w:rsidP="00461601">
      <w:pPr>
        <w:pStyle w:val="LineBottom"/>
      </w:pPr>
    </w:p>
    <w:p w:rsidR="00793EA9" w:rsidRPr="004F7271" w:rsidRDefault="00AF65B7">
      <w:pPr>
        <w:pStyle w:val="CoverReference"/>
      </w:pPr>
      <w:r>
        <w:rPr>
          <w:rStyle w:val="HideTWBExt"/>
          <w:b w:val="0"/>
        </w:rPr>
        <w:t>&lt;RefProc&gt;</w:t>
      </w:r>
      <w:r>
        <w:t>2023/0113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793EA9" w:rsidRPr="004F7271" w:rsidRDefault="00AF65B7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{11/09/2023}</w:t>
      </w:r>
      <w:r>
        <w:t>11.9.2023</w:t>
      </w:r>
      <w:r>
        <w:rPr>
          <w:rStyle w:val="HideTWBExt"/>
        </w:rPr>
        <w:t>&lt;/Date&gt;</w:t>
      </w:r>
    </w:p>
    <w:p w:rsidR="00793EA9" w:rsidRPr="004F7271" w:rsidRDefault="00AF65B7">
      <w:pPr>
        <w:pStyle w:val="CoverDocType"/>
      </w:pPr>
      <w:r>
        <w:rPr>
          <w:rStyle w:val="HideTWBExt"/>
          <w:b w:val="0"/>
        </w:rPr>
        <w:t>&lt;RefProcLect&gt;</w:t>
      </w:r>
      <w:r>
        <w:t>***I</w:t>
      </w:r>
      <w:r>
        <w:rPr>
          <w:rStyle w:val="HideTWBExt"/>
          <w:b w:val="0"/>
        </w:rPr>
        <w:t>&lt;/RefProcLect&gt;</w:t>
      </w:r>
    </w:p>
    <w:p w:rsidR="00793EA9" w:rsidRPr="004F7271" w:rsidRDefault="00AF65B7">
      <w:pPr>
        <w:pStyle w:val="CoverDocType24a"/>
      </w:pPr>
      <w:r>
        <w:rPr>
          <w:rStyle w:val="HideTWBExt"/>
          <w:b w:val="0"/>
        </w:rPr>
        <w:t>&lt;TitreType&gt;</w:t>
      </w:r>
      <w:r>
        <w:t>ABBOZZ TA’ RAPPORT</w:t>
      </w:r>
      <w:r>
        <w:rPr>
          <w:rStyle w:val="HideTWBExt"/>
          <w:b w:val="0"/>
        </w:rPr>
        <w:t>&lt;/TitreType&gt;</w:t>
      </w:r>
    </w:p>
    <w:p w:rsidR="00793EA9" w:rsidRPr="004F7271" w:rsidRDefault="00AF65B7">
      <w:pPr>
        <w:pStyle w:val="CoverNormal"/>
      </w:pPr>
      <w:r>
        <w:rPr>
          <w:rStyle w:val="HideTWBExt"/>
        </w:rPr>
        <w:t>&lt;Titre&gt;</w:t>
      </w:r>
      <w:r>
        <w:t>dwar il-proposta għal direttiva tal-Parlament Ewropew u tal-Kunsill li temenda d-Direttiva 2014/59/UE u r-Regolament (UE) Nru 806/2014 fir-rigward ta’ ċerti aspetti tar-rekwiżit minimu għal fondi proprji u obbligazzjon</w:t>
      </w:r>
      <w:r>
        <w:t>ijiet eliġibbli</w:t>
      </w:r>
      <w:r>
        <w:rPr>
          <w:rStyle w:val="HideTWBExt"/>
        </w:rPr>
        <w:t>&lt;/Titre&gt;</w:t>
      </w:r>
    </w:p>
    <w:p w:rsidR="00793EA9" w:rsidRPr="004F7271" w:rsidRDefault="00AF65B7">
      <w:pPr>
        <w:pStyle w:val="CoverNormal24a"/>
      </w:pPr>
      <w:r>
        <w:rPr>
          <w:rStyle w:val="HideTWBExt"/>
        </w:rPr>
        <w:t>&lt;DocRef&gt;</w:t>
      </w:r>
      <w:r>
        <w:t>( COM(2023)0229 – C9</w:t>
      </w:r>
      <w:r>
        <w:noBreakHyphen/>
        <w:t>0134/2023 – 2023/0113(COD))</w:t>
      </w:r>
      <w:r>
        <w:rPr>
          <w:rStyle w:val="HideTWBExt"/>
        </w:rPr>
        <w:t>&lt;/DocRef&gt;</w:t>
      </w:r>
    </w:p>
    <w:p w:rsidR="00793EA9" w:rsidRPr="004F7271" w:rsidRDefault="00AF65B7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{ECON}</w:t>
      </w:r>
      <w:r>
        <w:t>Kumitat għall-Affarijiet Ekonomiċi u Monetarji</w:t>
      </w:r>
      <w:r>
        <w:rPr>
          <w:rStyle w:val="HideTWBExt"/>
        </w:rPr>
        <w:t>&lt;/Commission&gt;</w:t>
      </w:r>
    </w:p>
    <w:p w:rsidR="00793EA9" w:rsidRPr="004F7271" w:rsidRDefault="00AF65B7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 xml:space="preserve"> Jonás Fernández </w:t>
      </w:r>
      <w:r>
        <w:rPr>
          <w:rStyle w:val="HideTWBExt"/>
        </w:rPr>
        <w:t>&lt;/Depute&gt;</w:t>
      </w:r>
    </w:p>
    <w:p w:rsidR="001C5B44" w:rsidRPr="004F7271" w:rsidRDefault="001C5B44" w:rsidP="001C5B44">
      <w:pPr>
        <w:pStyle w:val="CoverNormal"/>
      </w:pPr>
    </w:p>
    <w:p w:rsidR="00A85A26" w:rsidRDefault="00AF65B7" w:rsidP="00894923">
      <w:r>
        <w:br w:type="page"/>
      </w:r>
      <w:r>
        <w:lastRenderedPageBreak/>
        <w:fldChar w:fldCharType="begin"/>
      </w:r>
      <w:r>
        <w:instrText xml:space="preserve"> TITLE  \* MERGEFORMAT </w:instrText>
      </w:r>
      <w:r>
        <w:fldChar w:fldCharType="separate"/>
      </w:r>
      <w:r w:rsidRPr="00AF65B7">
        <w:rPr>
          <w:lang w:val="fr-FR"/>
        </w:rPr>
        <w:t>PR_COD_1amCom</w:t>
      </w:r>
      <w:r>
        <w:rPr>
          <w:lang w:val="fr-FR"/>
        </w:rPr>
        <w:fldChar w:fldCharType="end"/>
      </w:r>
    </w:p>
    <w:p w:rsidR="00A85A26" w:rsidRDefault="00A85A26" w:rsidP="00894923">
      <w:pPr>
        <w:rPr>
          <w:lang w:val="fr-FR"/>
        </w:rPr>
      </w:pPr>
    </w:p>
    <w:p w:rsidR="00A85A26" w:rsidRDefault="00A85A26" w:rsidP="00894923">
      <w:pPr>
        <w:rPr>
          <w:lang w:val="fr-FR"/>
        </w:rPr>
      </w:pP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887F81">
        <w:tc>
          <w:tcPr>
            <w:tcW w:w="5811" w:type="dxa"/>
          </w:tcPr>
          <w:p w:rsidR="00A85A26" w:rsidRDefault="00AF65B7" w:rsidP="00894923">
            <w:pPr>
              <w:pStyle w:val="Lgendetitre"/>
            </w:pPr>
            <w:r>
              <w:t>Tifsira tas-simboli użati</w:t>
            </w:r>
          </w:p>
        </w:tc>
      </w:tr>
      <w:tr w:rsidR="00887F81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A85A26" w:rsidRDefault="00AF65B7" w:rsidP="001A03FF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Proċedura ta’ konsultazzjoni</w:t>
            </w:r>
          </w:p>
          <w:p w:rsidR="00A85A26" w:rsidRDefault="00AF65B7" w:rsidP="001A03FF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Proċedura ta’ approvazzjoni</w:t>
            </w:r>
          </w:p>
          <w:p w:rsidR="00A85A26" w:rsidRDefault="00AF65B7" w:rsidP="001A03FF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:rsidR="00A85A26" w:rsidRDefault="00AF65B7" w:rsidP="001A03FF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:rsidR="00A85A26" w:rsidRDefault="00AF65B7" w:rsidP="001A03FF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Proċedura leġiżlattiva ordinarja (it-tielet</w:t>
            </w:r>
            <w:r>
              <w:t xml:space="preserve"> qari)</w:t>
            </w:r>
          </w:p>
          <w:p w:rsidR="00A85A26" w:rsidRPr="001C0B4B" w:rsidRDefault="00A85A26" w:rsidP="001A03FF">
            <w:pPr>
              <w:pStyle w:val="Lgendestandard"/>
            </w:pPr>
          </w:p>
          <w:p w:rsidR="00A85A26" w:rsidRPr="001C0B4B" w:rsidRDefault="00AF65B7" w:rsidP="001A03FF">
            <w:pPr>
              <w:pStyle w:val="Lgendestandard"/>
            </w:pPr>
            <w:r>
              <w:t>(It-tip ta’ proċedura jiddependi mill-bażi ġuridika proposta mill-abbozz ta’ att.)</w:t>
            </w:r>
          </w:p>
          <w:p w:rsidR="00A85A26" w:rsidRPr="001C0B4B" w:rsidRDefault="00A85A26" w:rsidP="007F43F3">
            <w:pPr>
              <w:pStyle w:val="Lgendestandard"/>
            </w:pPr>
          </w:p>
        </w:tc>
      </w:tr>
    </w:tbl>
    <w:p w:rsidR="00A85A26" w:rsidRPr="001C0B4B" w:rsidRDefault="00A85A26" w:rsidP="00894923"/>
    <w:p w:rsidR="00A85A26" w:rsidRPr="001C0B4B" w:rsidRDefault="00A85A26" w:rsidP="00894923"/>
    <w:p w:rsidR="00A85A26" w:rsidRPr="001C0B4B" w:rsidRDefault="00A85A26" w:rsidP="00894923"/>
    <w:p w:rsidR="00A85A26" w:rsidRPr="001C0B4B" w:rsidRDefault="00A85A26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887F81">
        <w:tc>
          <w:tcPr>
            <w:tcW w:w="5811" w:type="dxa"/>
          </w:tcPr>
          <w:p w:rsidR="00A85A26" w:rsidRPr="00817843" w:rsidRDefault="00AF65B7" w:rsidP="00894923">
            <w:pPr>
              <w:pStyle w:val="Lgendetitre"/>
            </w:pPr>
            <w:r>
              <w:t>Emendi għal abbozz ta’ att</w:t>
            </w:r>
          </w:p>
        </w:tc>
      </w:tr>
      <w:tr w:rsidR="00887F81" w:rsidTr="0094769F">
        <w:trPr>
          <w:trHeight w:val="4638"/>
        </w:trPr>
        <w:tc>
          <w:tcPr>
            <w:tcW w:w="5811" w:type="dxa"/>
          </w:tcPr>
          <w:p w:rsidR="00A85A26" w:rsidRDefault="00AF65B7" w:rsidP="007F43F3">
            <w:pPr>
              <w:pStyle w:val="Lgendestandard"/>
              <w:rPr>
                <w:szCs w:val="24"/>
              </w:rPr>
            </w:pPr>
            <w:r>
              <w:rPr>
                <w:b/>
              </w:rPr>
              <w:t>Emendi tal-Parlament f’żewġ kolonni</w:t>
            </w:r>
          </w:p>
          <w:p w:rsidR="00A85A26" w:rsidRDefault="00A85A26" w:rsidP="007F43F3">
            <w:pPr>
              <w:pStyle w:val="Lgendestandard"/>
              <w:rPr>
                <w:szCs w:val="24"/>
              </w:rPr>
            </w:pPr>
          </w:p>
          <w:p w:rsidR="00A85A26" w:rsidRDefault="00AF65B7" w:rsidP="007F43F3">
            <w:pPr>
              <w:pStyle w:val="Lgendestandard"/>
              <w:rPr>
                <w:szCs w:val="24"/>
              </w:rPr>
            </w:pPr>
            <w:r>
              <w:t>It-tħassir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tax-xellug. </w:t>
            </w:r>
            <w:r>
              <w:t>Is-sostituzzjoni hija indikata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fiż-żewġ kolonni. It-test ġdid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tal-lemin.</w:t>
            </w:r>
          </w:p>
          <w:p w:rsidR="00A85A26" w:rsidRDefault="00A85A26" w:rsidP="007F43F3">
            <w:pPr>
              <w:pStyle w:val="Lgendestandard"/>
              <w:rPr>
                <w:szCs w:val="24"/>
              </w:rPr>
            </w:pPr>
          </w:p>
          <w:p w:rsidR="00A85A26" w:rsidRDefault="00AF65B7" w:rsidP="007F43F3">
            <w:pPr>
              <w:pStyle w:val="Lgendestandard"/>
              <w:rPr>
                <w:szCs w:val="24"/>
              </w:rPr>
            </w:pPr>
            <w:r>
              <w:t>L-ewwel u t-tieni linji tal-intestatura ta’ kull emenda jidentifikaw il-parti tat-test ik</w:t>
            </w:r>
            <w:r>
              <w:t>konċernata fl-abbozz ta’ att inkwistjoni. Meta emenda tirrigwarda att eżistenti, li l-abbozz ta’ att ikollu l-ħsieb li jemenda, l-intestatura jkun fiha wkoll it-tielet u r-raba’ linji li jidentifikaw rispettivament l-att eżistenti u d-dispożizzjoni kkonċer</w:t>
            </w:r>
            <w:r>
              <w:t xml:space="preserve">nata f’dak l-att. </w:t>
            </w:r>
          </w:p>
          <w:p w:rsidR="00A85A26" w:rsidRDefault="00A85A26" w:rsidP="007F43F3">
            <w:pPr>
              <w:pStyle w:val="Lgendestandard"/>
              <w:rPr>
                <w:szCs w:val="24"/>
              </w:rPr>
            </w:pPr>
          </w:p>
          <w:p w:rsidR="00A85A26" w:rsidRDefault="00AF65B7" w:rsidP="007F43F3">
            <w:pPr>
              <w:pStyle w:val="Lgendestandard"/>
              <w:rPr>
                <w:b/>
                <w:szCs w:val="24"/>
              </w:rPr>
            </w:pPr>
            <w:r>
              <w:rPr>
                <w:b/>
              </w:rPr>
              <w:t>Emendi tal-Parlament li jieħdu l-forma ta’ test konsolidat</w:t>
            </w:r>
          </w:p>
          <w:p w:rsidR="00A85A26" w:rsidRDefault="00A85A26" w:rsidP="007F43F3">
            <w:pPr>
              <w:pStyle w:val="Lgendestandard"/>
              <w:rPr>
                <w:szCs w:val="24"/>
              </w:rPr>
            </w:pPr>
          </w:p>
          <w:p w:rsidR="00A85A26" w:rsidRDefault="00AF65B7" w:rsidP="007F43F3">
            <w:pPr>
              <w:pStyle w:val="Lgendestandard"/>
              <w:rPr>
                <w:szCs w:val="24"/>
              </w:rPr>
            </w:pPr>
            <w:r>
              <w:t>Il-partijiet ġodda tat-test huma indikati permezz tat-tipa</w:t>
            </w:r>
            <w:r>
              <w:rPr>
                <w:b/>
                <w:i/>
              </w:rPr>
              <w:t xml:space="preserve"> korsiva u grassa.</w:t>
            </w:r>
            <w:r>
              <w:t xml:space="preserve"> Il-partijiet imħassra tat-test huma indikati permezz tas-simbolu ▌ jew huma ingassati. Is-sostituzz</w:t>
            </w:r>
            <w:r>
              <w:t>joni tintwera billi jiġi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t-test il-ġdid u billi jitħassar jew jiġi ingassat it-test sostitwit. </w:t>
            </w:r>
          </w:p>
          <w:p w:rsidR="00A85A26" w:rsidRDefault="00AF65B7" w:rsidP="007F43F3">
            <w:pPr>
              <w:pStyle w:val="Lgendestandard"/>
            </w:pPr>
            <w:r>
              <w:tab/>
              <w:t>Bħala eċċezzjoni, it-tibdil ta’ natura strettament teknika magħmul mis-servizzi fil-preparazzjoni tat-test finali mhu</w:t>
            </w:r>
            <w:r>
              <w:t>wiex indikat.</w:t>
            </w:r>
          </w:p>
          <w:p w:rsidR="00A85A26" w:rsidRDefault="00A85A26" w:rsidP="0069092A">
            <w:pPr>
              <w:pStyle w:val="Lgendestandard"/>
              <w:rPr>
                <w:lang w:val="fr-FR"/>
              </w:rPr>
            </w:pPr>
          </w:p>
        </w:tc>
      </w:tr>
    </w:tbl>
    <w:p w:rsidR="00A85A26" w:rsidRDefault="00A85A26" w:rsidP="00894923">
      <w:pPr>
        <w:rPr>
          <w:lang w:val="fr-FR"/>
        </w:rPr>
      </w:pPr>
    </w:p>
    <w:p w:rsidR="00793EA9" w:rsidRPr="00A85A26" w:rsidRDefault="00793EA9" w:rsidP="00012351">
      <w:pPr>
        <w:widowControl/>
        <w:tabs>
          <w:tab w:val="center" w:pos="4677"/>
        </w:tabs>
      </w:pPr>
    </w:p>
    <w:p w:rsidR="00793EA9" w:rsidRPr="004F7271" w:rsidRDefault="00AF65B7">
      <w:pPr>
        <w:pStyle w:val="TOCHeading"/>
      </w:pPr>
      <w:r>
        <w:br w:type="page"/>
      </w:r>
      <w:r>
        <w:lastRenderedPageBreak/>
        <w:t>WERREJ</w:t>
      </w:r>
    </w:p>
    <w:p w:rsidR="00793EA9" w:rsidRPr="004F7271" w:rsidRDefault="00AF65B7">
      <w:pPr>
        <w:pStyle w:val="TOCPage"/>
      </w:pPr>
      <w:r>
        <w:t>Paġna</w:t>
      </w:r>
    </w:p>
    <w:p w:rsidR="00AF65B7" w:rsidRDefault="00AF65B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4F7271">
        <w:rPr>
          <w:b/>
        </w:rPr>
        <w:fldChar w:fldCharType="begin"/>
      </w:r>
      <w:r w:rsidRPr="004F7271">
        <w:rPr>
          <w:b/>
        </w:rPr>
        <w:instrText xml:space="preserve"> TOC \t "PageHeading</w:instrText>
      </w:r>
      <w:r>
        <w:rPr>
          <w:b/>
        </w:rPr>
        <w:instrText>;</w:instrText>
      </w:r>
      <w:r w:rsidRPr="004F7271">
        <w:rPr>
          <w:b/>
        </w:rPr>
        <w:instrText xml:space="preserve">1" </w:instrText>
      </w:r>
      <w:r w:rsidRPr="004F7271">
        <w:rPr>
          <w:b/>
        </w:rPr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_Toc146557135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346B0" w:rsidRPr="004F7271" w:rsidRDefault="00AF65B7" w:rsidP="00C23324">
      <w:r w:rsidRPr="004F7271">
        <w:rPr>
          <w:b/>
        </w:rPr>
        <w:fldChar w:fldCharType="end"/>
      </w:r>
    </w:p>
    <w:p w:rsidR="00793EA9" w:rsidRPr="004F7271" w:rsidRDefault="00AF65B7">
      <w:pPr>
        <w:pStyle w:val="PageHeading"/>
      </w:pPr>
      <w:r>
        <w:br w:type="page"/>
      </w:r>
      <w:r>
        <w:lastRenderedPageBreak/>
        <w:br w:type="page"/>
      </w:r>
      <w:bookmarkStart w:id="1" w:name="_Toc146557135"/>
      <w:r>
        <w:lastRenderedPageBreak/>
        <w:t xml:space="preserve">ABBOZZ TA’ RIŻOLUZZJONI LEĠIŻLATTIVA </w:t>
      </w:r>
      <w:r>
        <w:t>TAL-PARLAMENT EWROPEW</w:t>
      </w:r>
      <w:bookmarkEnd w:id="1"/>
    </w:p>
    <w:p w:rsidR="00A85A26" w:rsidRPr="00A85A26" w:rsidRDefault="00AF65B7" w:rsidP="00A85A26">
      <w:pPr>
        <w:pStyle w:val="NormalBold12a"/>
      </w:pPr>
      <w:r>
        <w:t>dwar il-proposta għal direttiva tal-Parlament Ewropew u tal-Kunsill li temenda d-Direttiva 2014/59/UE u r-Regolament (UE) Nru 806/2014 fir-rigward ta’ ċerti aspetti tar-rekwiżit minimu għal fondi proprji u obbligazzjonijiet eliġibbli</w:t>
      </w:r>
    </w:p>
    <w:p w:rsidR="00A85A26" w:rsidRPr="00A85A26" w:rsidRDefault="00AF65B7" w:rsidP="00A85A26">
      <w:pPr>
        <w:pStyle w:val="NormalBold12a"/>
      </w:pPr>
      <w:r>
        <w:t>(COM(2023)0229 – C9</w:t>
      </w:r>
      <w:r>
        <w:noBreakHyphen/>
        <w:t>0134/2023 – 2023/0113(COD))</w:t>
      </w:r>
    </w:p>
    <w:p w:rsidR="00793EA9" w:rsidRPr="004F7271" w:rsidRDefault="00AF65B7" w:rsidP="00A910C9">
      <w:pPr>
        <w:pStyle w:val="NormalBold"/>
      </w:pPr>
      <w:r>
        <w:t>(Proċedura leġiżlattiva ordinarja: l-ewwel qari)</w:t>
      </w:r>
    </w:p>
    <w:p w:rsidR="00793EA9" w:rsidRPr="004F7271" w:rsidRDefault="00AF65B7" w:rsidP="00A910C9">
      <w:pPr>
        <w:pStyle w:val="EPComma"/>
      </w:pPr>
      <w:r>
        <w:rPr>
          <w:i/>
        </w:rPr>
        <w:t>Il-Parlament Ewropew</w:t>
      </w:r>
      <w:r>
        <w:t>,</w:t>
      </w:r>
    </w:p>
    <w:p w:rsidR="00A85A26" w:rsidRPr="0046639E" w:rsidRDefault="00AF65B7" w:rsidP="00A85A26">
      <w:pPr>
        <w:pStyle w:val="NormalHanging12a"/>
      </w:pPr>
      <w:r>
        <w:t>–</w:t>
      </w:r>
      <w:r>
        <w:tab/>
        <w:t>wara li kkunsidra l-proposta tal-Kummissjoni lill-Parlament Ewropew u lill-Kunsill (COM(2023)0229),</w:t>
      </w:r>
    </w:p>
    <w:p w:rsidR="00A85A26" w:rsidRPr="0046639E" w:rsidRDefault="00AF65B7" w:rsidP="00A85A26">
      <w:pPr>
        <w:pStyle w:val="NormalHanging12a"/>
      </w:pPr>
      <w:r>
        <w:t>–</w:t>
      </w:r>
      <w:r>
        <w:tab/>
        <w:t>wara li kkunsidra l-Artikolu 294(</w:t>
      </w:r>
      <w:r>
        <w:t>2) u l-Artikolu 114 tat-Trattat dwar il-Funzjonament tal-Unjoni Ewropea, skont liema artikoli l-Kummissjoni ppreżentat il-proposta lill-Parlament (C9</w:t>
      </w:r>
      <w:r>
        <w:noBreakHyphen/>
        <w:t>0134/2023),</w:t>
      </w:r>
    </w:p>
    <w:p w:rsidR="00A85A26" w:rsidRPr="0046639E" w:rsidRDefault="00AF65B7" w:rsidP="00A85A26">
      <w:pPr>
        <w:pStyle w:val="NormalHanging12a"/>
      </w:pPr>
      <w:r>
        <w:t>–</w:t>
      </w:r>
      <w:r>
        <w:tab/>
        <w:t>wara li kkunsidra l-Artikolu 294(3) tat-Trattat dwar il-Funzjonament tal-Unjoni Ewropea,</w:t>
      </w:r>
    </w:p>
    <w:p w:rsidR="00A85A26" w:rsidRPr="0046639E" w:rsidRDefault="00AF65B7" w:rsidP="00A85A26">
      <w:pPr>
        <w:pStyle w:val="NormalHanging12a"/>
      </w:pPr>
      <w:r>
        <w:t>–</w:t>
      </w:r>
      <w:r>
        <w:tab/>
        <w:t>w</w:t>
      </w:r>
      <w:r>
        <w:t>ara li kkunsidra l-opinjoni tal-Bank Ċentrali Ewropew tal-5 ta’ Lulju 2023</w:t>
      </w:r>
      <w:r>
        <w:rPr>
          <w:rStyle w:val="FootnoteReference"/>
        </w:rPr>
        <w:footnoteReference w:id="1"/>
      </w:r>
      <w:r>
        <w:t>,</w:t>
      </w:r>
    </w:p>
    <w:p w:rsidR="00A85A26" w:rsidRPr="0046639E" w:rsidRDefault="00AF65B7" w:rsidP="00A85A26">
      <w:pPr>
        <w:pStyle w:val="NormalHanging12a"/>
      </w:pPr>
      <w:r>
        <w:t>–</w:t>
      </w:r>
      <w:r>
        <w:tab/>
        <w:t>wara li kkunsidra l-opinjoni tal-Kumitat Ekonomiku u Soċjali tat-13 ta’ Lulju 2023</w:t>
      </w:r>
      <w:r>
        <w:rPr>
          <w:rStyle w:val="FootnoteReference"/>
          <w:szCs w:val="24"/>
        </w:rPr>
        <w:footnoteReference w:id="2"/>
      </w:r>
      <w:r>
        <w:t>,</w:t>
      </w:r>
    </w:p>
    <w:p w:rsidR="00A85A26" w:rsidRPr="0046639E" w:rsidRDefault="00AF65B7" w:rsidP="00A85A26">
      <w:pPr>
        <w:pStyle w:val="NormalHanging12a"/>
      </w:pPr>
      <w:r>
        <w:t>–</w:t>
      </w:r>
      <w:r>
        <w:tab/>
        <w:t>wara li kkunsidra l-Artikolu 59 tar-Regoli ta’ Proċedura tiegħu,</w:t>
      </w:r>
    </w:p>
    <w:p w:rsidR="00A85A26" w:rsidRPr="0046639E" w:rsidRDefault="00AF65B7" w:rsidP="00A85A26">
      <w:pPr>
        <w:pStyle w:val="NormalHanging12a"/>
      </w:pPr>
      <w:r>
        <w:t>–</w:t>
      </w:r>
      <w:r>
        <w:tab/>
        <w:t>wara li kkunsidra r-rap</w:t>
      </w:r>
      <w:r>
        <w:t>port tal-Kumitat għall-Affarijiet Ekonomiċi u Monetarji (A9</w:t>
      </w:r>
      <w:r>
        <w:noBreakHyphen/>
        <w:t>0000/2023),</w:t>
      </w:r>
    </w:p>
    <w:p w:rsidR="00A85A26" w:rsidRPr="0046639E" w:rsidRDefault="00AF65B7" w:rsidP="00A85A26">
      <w:pPr>
        <w:pStyle w:val="NormalHanging12a"/>
      </w:pPr>
      <w:r>
        <w:t>1.</w:t>
      </w:r>
      <w:r>
        <w:tab/>
        <w:t>Jadotta l-pożizzjoni fl-ewwel qari li tidher hawn taħt;</w:t>
      </w:r>
    </w:p>
    <w:p w:rsidR="00A85A26" w:rsidRPr="0046639E" w:rsidRDefault="00AF65B7" w:rsidP="00A85A26">
      <w:pPr>
        <w:pStyle w:val="NormalHanging12a"/>
      </w:pPr>
      <w:r>
        <w:t>2.</w:t>
      </w:r>
      <w:r>
        <w:tab/>
        <w:t>Jitlob lill-Kummissjoni terġa’ tirreferi l-kwistjoni lill-Parlament jekk tibdel il-proposta tagħha, temendaha b’mod sustan</w:t>
      </w:r>
      <w:r>
        <w:t>zjali jew ikollha l-ħsieb li temendaha b’mod sustanzjali;</w:t>
      </w:r>
    </w:p>
    <w:p w:rsidR="00A85A26" w:rsidRPr="0046639E" w:rsidRDefault="00AF65B7" w:rsidP="00A85A26">
      <w:pPr>
        <w:pStyle w:val="NormalHanging12a"/>
      </w:pPr>
      <w:r>
        <w:t>3.</w:t>
      </w:r>
      <w:r>
        <w:tab/>
        <w:t>Jagħti istruzzjonijiet lill-President tiegħu biex tgħaddi l-pożizzjoni tal-Parlament lill-Kunsill u lill-Kummissjoni kif ukoll lill-parlamenti nazzjonali.</w:t>
      </w:r>
    </w:p>
    <w:p w:rsidR="00A85A26" w:rsidRDefault="00A85A26" w:rsidP="00A85A26"/>
    <w:p w:rsidR="00A85A26" w:rsidRDefault="00A85A26" w:rsidP="00A85A26"/>
    <w:p w:rsidR="00A85A26" w:rsidRDefault="00A85A26" w:rsidP="00A85A26"/>
    <w:p w:rsidR="00A85A26" w:rsidRDefault="00A85A26" w:rsidP="00A85A26"/>
    <w:p w:rsidR="00A85A26" w:rsidRPr="0046639E" w:rsidRDefault="00A85A26" w:rsidP="00A85A26"/>
    <w:p w:rsidR="00A85A26" w:rsidRPr="0046639E" w:rsidRDefault="00AF65B7" w:rsidP="00A85A26">
      <w:pPr>
        <w:pStyle w:val="AmNumberTabs"/>
        <w:keepNext/>
      </w:pPr>
      <w:r>
        <w:rPr>
          <w:rStyle w:val="HideTWBExt"/>
          <w:b w:val="0"/>
        </w:rPr>
        <w:lastRenderedPageBreak/>
        <w:t>&lt;RepeatBlock-Amend&gt;</w:t>
      </w:r>
      <w:bookmarkStart w:id="2" w:name="restart"/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</w:t>
      </w:r>
      <w:r>
        <w:rPr>
          <w:rStyle w:val="HideTWBExt"/>
          <w:b w:val="0"/>
        </w:rPr>
        <w:t>NumAm&gt;</w:t>
      </w:r>
      <w:r>
        <w:t>1</w:t>
      </w:r>
      <w:r>
        <w:rPr>
          <w:rStyle w:val="HideTWBExt"/>
          <w:b w:val="0"/>
        </w:rPr>
        <w:t>&lt;/NumAm&gt;</w:t>
      </w:r>
    </w:p>
    <w:p w:rsidR="00A85A26" w:rsidRPr="0046639E" w:rsidRDefault="00AF65B7" w:rsidP="00A85A26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A85A26" w:rsidRPr="0046639E" w:rsidRDefault="00AF65B7" w:rsidP="00A85A26">
      <w:pPr>
        <w:pStyle w:val="NormalBold"/>
      </w:pPr>
      <w:r>
        <w:rPr>
          <w:rStyle w:val="HideTWBExt"/>
          <w:b w:val="0"/>
        </w:rPr>
        <w:t>&lt;Article&gt;</w:t>
      </w:r>
      <w:r>
        <w:t>Premessa 1</w:t>
      </w:r>
      <w:r>
        <w:rPr>
          <w:rStyle w:val="HideTWBExt"/>
          <w:b w:val="0"/>
        </w:rPr>
        <w:t>&lt;/Article&gt;</w:t>
      </w:r>
      <w:bookmarkEnd w:id="2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87F81" w:rsidTr="00250087">
        <w:trPr>
          <w:jc w:val="center"/>
        </w:trPr>
        <w:tc>
          <w:tcPr>
            <w:tcW w:w="9752" w:type="dxa"/>
            <w:gridSpan w:val="2"/>
          </w:tcPr>
          <w:p w:rsidR="00A85A26" w:rsidRPr="0046639E" w:rsidRDefault="00A85A26" w:rsidP="00250087">
            <w:pPr>
              <w:keepNext/>
            </w:pP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Emenda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t>(1)</w:t>
            </w:r>
            <w:r>
              <w:tab/>
              <w:t>Id-Direttiva (UE) 2019/879 tal-Parlament Ewropew u tal-Kunsill</w:t>
            </w:r>
            <w:r>
              <w:rPr>
                <w:vertAlign w:val="superscript"/>
              </w:rPr>
              <w:t>16</w:t>
            </w:r>
            <w:r>
              <w:t xml:space="preserve"> u r-Regolament (UE) 2019/877 tal-Parlament Ewropew u tal-Kunsill</w:t>
            </w:r>
            <w:r>
              <w:rPr>
                <w:vertAlign w:val="superscript"/>
              </w:rPr>
              <w:t>17</w:t>
            </w:r>
            <w:r>
              <w:t xml:space="preserve"> emendaw ir-rekwiżit minimu għal fondi proprji u obbligazzjonijiet eliġibbli (“MREL”) stabbilit fid-Direttiva 2014/59/UE tal-Parlament Ewropew u tal-Kunsill</w:t>
            </w:r>
            <w:r>
              <w:rPr>
                <w:vertAlign w:val="superscript"/>
              </w:rPr>
              <w:t>18</w:t>
            </w:r>
            <w:r>
              <w:t xml:space="preserve"> u fir-Regolament (UE) Nru 806/</w:t>
            </w:r>
            <w:r>
              <w:t>2014 tal-Parlament Ewropew u tal-Kunsill</w:t>
            </w:r>
            <w:r>
              <w:rPr>
                <w:vertAlign w:val="superscript"/>
              </w:rPr>
              <w:t>19</w:t>
            </w:r>
            <w:r>
              <w:t>, li japplika għall-istituzzjonijiet ta’ kreditu u għad-ditti ta’ investiment (istituzzjonijiet) stabbiliti fl-Unjoni kif ukoll għal kwalunkwe entità oħra li taqa’ fil-kamp ta’ applikazzjoni tad-Direttiva 2014/59/U</w:t>
            </w:r>
            <w:r>
              <w:t>E jew tar-Regolament (UE) Nru 806/2014 (entitajiet). Dawk l-emendi stabbilew li l-MREL intern, jiġifieri, l-MREL applikabbli għall-istituzzjonijiet u għall-entitajiet li huma sussidjarji ta’ entitajiet ta’ riżoluzzjoni iżda li ma humiex huma nfushom entita</w:t>
            </w:r>
            <w:r>
              <w:t>jiet ta’ riżoluzzjoni, jistgħu jiġu ssodisfati minn dawk l-entitajiet billi jintużaw strumenti maħruġa lil u mixtrija mill-entità ta’ riżoluzzjoni direttament jew indirettament permezz ta’ entitajiet oħra fl-istess grupp ta’ riżoluzzjoni.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t>(1)</w:t>
            </w:r>
            <w:r>
              <w:tab/>
              <w:t xml:space="preserve">Id-Direttiva </w:t>
            </w:r>
            <w:r>
              <w:t>(UE) 2019/879 tal-Parlament Ewropew u tal-Kunsill</w:t>
            </w:r>
            <w:r>
              <w:rPr>
                <w:vertAlign w:val="superscript"/>
              </w:rPr>
              <w:t>16</w:t>
            </w:r>
            <w:r>
              <w:t xml:space="preserve"> u r-Regolament (UE) 2019/877 tal-Parlament Ewropew u tal-Kunsill</w:t>
            </w:r>
            <w:r>
              <w:rPr>
                <w:vertAlign w:val="superscript"/>
              </w:rPr>
              <w:t>17</w:t>
            </w:r>
            <w:r>
              <w:t xml:space="preserve"> emendaw ir-rekwiżit minimu għal fondi proprji u obbligazzjonijiet eliġibbli (“MREL”) stabbilit fid-Direttiva 2014/59/UE tal-Parlament Ewr</w:t>
            </w:r>
            <w:r>
              <w:t>opew u tal-Kunsill</w:t>
            </w:r>
            <w:r>
              <w:rPr>
                <w:vertAlign w:val="superscript"/>
              </w:rPr>
              <w:t>18</w:t>
            </w:r>
            <w:r>
              <w:t xml:space="preserve"> u fir-Regolament (UE) Nru 806/2014 tal-Parlament Ewropew u tal-Kunsill</w:t>
            </w:r>
            <w:r>
              <w:rPr>
                <w:vertAlign w:val="superscript"/>
              </w:rPr>
              <w:t>19</w:t>
            </w:r>
            <w:r>
              <w:t>, li japplika għall-istituzzjonijiet ta’ kreditu u għad-ditti ta’ investiment (istituzzjonijiet) stabbiliti fl-Unjoni kif ukoll għal kwalunkwe entità oħra li taqa’</w:t>
            </w:r>
            <w:r>
              <w:t xml:space="preserve"> fil-kamp ta’ applikazzjoni tad-Direttiva 2014/59/UE jew tar-Regolament (UE) Nru 806/2014 (entitajiet). Dawk l-emendi stabbilew li l-MREL intern, jiġifieri, l-MREL applikabbli għall-istituzzjonijiet u għall-entitajiet li huma sussidjarji ta’ entitajiet ta’</w:t>
            </w:r>
            <w:r>
              <w:t xml:space="preserve"> riżoluzzjoni iżda li ma humiex huma nfushom entitajiet ta’ riżoluzzjoni, jistgħu jiġu ssodisfati minn dawk </w:t>
            </w:r>
            <w:r>
              <w:rPr>
                <w:b/>
                <w:bCs/>
                <w:i/>
                <w:iCs/>
              </w:rPr>
              <w:t>l-istituzzjonijiet u</w:t>
            </w:r>
            <w:r>
              <w:t xml:space="preserve"> l-entitajiet billi jintużaw strumenti maħruġa lil u mixtrija mill-entità ta’ riżoluzzjoni direttament jew indirettament permezz</w:t>
            </w:r>
            <w:r>
              <w:t xml:space="preserve"> ta’ entitajiet oħra fl-istess grupp ta’ riżoluzzjoni.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rPr>
                <w:vertAlign w:val="superscript"/>
              </w:rPr>
              <w:t>16</w:t>
            </w:r>
            <w:r>
              <w:t xml:space="preserve"> Id-Direttiva (UE) 2019/879 tal-Parlament Ewropew u tal-Kunsill tal-20 ta’ Mejju 2019 li temenda d-Direttiva 2014/59/UE fir-rigward tal-kapaċità ta’ assorbimen</w:t>
            </w:r>
            <w:r>
              <w:t>t tat-telf u ta’ rikapitalizzazzjoni ta’ istituzzjonijiet tal-kreditu u ditti tal-investiment u d-Direttiva 98/26/KE (ĠU L 150, 7.6.2019, p. 296).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16</w:t>
            </w:r>
            <w:r>
              <w:t xml:space="preserve"> Id-Direttiva (UE) 2019/879 tal-Parlament Ewropew u tal-Kunsill tal-20 ta’ Mejju 2019 li temenda d-Direttiv</w:t>
            </w:r>
            <w:r>
              <w:t>a 2014/59/UE fir-rigward tal-kapaċità ta’ assorbiment tat-telf u ta’ rikapitalizzazzjoni ta’ istituzzjonijiet tal-kreditu u ditti tal-investiment u d-Direttiva 98/26/KE (ĠU L 150, 7.6.2019, p. 296).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rPr>
                <w:vertAlign w:val="superscript"/>
              </w:rPr>
              <w:t xml:space="preserve">17 </w:t>
            </w:r>
            <w:r>
              <w:t xml:space="preserve">Ir-Regolament (UE) 2019/877 tal-Parlament Ewropew u </w:t>
            </w:r>
            <w:r>
              <w:t>tal-Kunsill tal-</w:t>
            </w:r>
            <w:r>
              <w:lastRenderedPageBreak/>
              <w:t>20 ta’ Mejju 2019 li jemenda r-Regolament (UE) Nru 806/2014 dwar il-kapaċità ta’ assorbiment tat-telf u ta’ rikapitalizzazzjoni ta’ istituzzjonijiet ta’ kreditu u ditti ta’ investiment (ĠU L 150, 7.6.2019, p. 226).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lastRenderedPageBreak/>
              <w:t>17</w:t>
            </w:r>
            <w:r>
              <w:t xml:space="preserve"> Ir-Regolament (UE) 201</w:t>
            </w:r>
            <w:r>
              <w:t>9/877 tal-Parlament Ewropew u tal-Kunsill tal-</w:t>
            </w:r>
            <w:r>
              <w:lastRenderedPageBreak/>
              <w:t>20 ta’ Mejju 2019 li jemenda r-Regolament (UE) Nru 806/2014 dwar il-kapaċità ta’ assorbiment tat-telf u ta’ rikapitalizzazzjoni ta’ istituzzjonijiet ta’ kreditu u ditti ta’ investiment (ĠU L 150, 7.6.2019, p. 2</w:t>
            </w:r>
            <w:r>
              <w:t>26).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rPr>
                <w:vertAlign w:val="superscript"/>
              </w:rPr>
              <w:lastRenderedPageBreak/>
              <w:t>18</w:t>
            </w:r>
            <w:r>
              <w:t xml:space="preserve"> Id-Direttiva 2014/59/UE tal-Parlament Ewropew u tal-Kunsill tal-15 ta’ Mejju 2014 li tistabbilixxi qafas għall-irkupru u r-riżoluzzjoni ta’ istituzzjonijiet ta’ kreditu u ditti ta’ investiment u li temenda d-Direttiva tal-Kunsill 82/891/KE u d-Dir</w:t>
            </w:r>
            <w:r>
              <w:t>ettivi 2001/24/KE, 2002/47/KE, 2004/25/KE, 2005/56/KE, 2007/36/KE, 2011/35/KE, 2012/30/UE u 2013/36/UE, u r-Regolamenti (UE) Nru 1093/2010 u (UE) Nru 648/2012, tal-Parlament Ewropew u tal-Kunsill (ĠU L 173, 12.6.2014, p. 190).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18</w:t>
            </w:r>
            <w:r>
              <w:t xml:space="preserve"> Id-Direttiva 2014/59/UE ta</w:t>
            </w:r>
            <w:r>
              <w:t>l-Parlament Ewropew u tal-Kunsill tal-15 ta’ Mejju 2014 li tistabbilixxi qafas għall-irkupru u r-riżoluzzjoni ta’ istituzzjonijiet ta’ kreditu u ditti ta’ investiment u li temenda d-Direttiva tal-Kunsill 82/891/KE u d-Direttivi 2001/24/KE, 2002/47/KE, 2004</w:t>
            </w:r>
            <w:r>
              <w:t>/25/KE, 2005/56/KE, 2007/36/KE, 2011/35/KE, 2012/30/UE u 2013/36/UE, u r-Regolamenti (UE) Nru 1093/2010 u (UE) Nru 648/2012, tal-Parlament Ewropew u tal-Kunsill (ĠU L 173, 12.6.2014, p. 190).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rPr>
                <w:vertAlign w:val="superscript"/>
              </w:rPr>
              <w:t>19</w:t>
            </w:r>
            <w:r>
              <w:t xml:space="preserve"> Ir-Regolament (UE) Nru 806/2014 tal-Parlament Ewropew u tal-</w:t>
            </w:r>
            <w:r>
              <w:t>Kunsill tal-15 ta’ Lulju 2014 li jistabbilixxi regoli uniformi u proċedura uniformi għar-riżoluzzjoni tal-istituzzjonijiet ta’ kreditu u ċerti ditti tal-investiment fil-qafas ta’ Mekkaniżmu Uniku ta’ Riżoluzzjoni u Fond Uniku għar-Riżoluzzjoni u li jemenda</w:t>
            </w:r>
            <w:r>
              <w:t xml:space="preserve"> r-Regolament (UE) Nru 1093/2010 (ĠU L 225, 30.7.2014, p. 1).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19</w:t>
            </w:r>
            <w:r>
              <w:t xml:space="preserve"> Ir-Regolament (UE) Nru 806/2014 tal-Parlament Ewropew u tal-Kunsill tal-15 ta’ Lulju 2014 li jistabbilixxi regoli uniformi u proċedura uniformi għar-riżoluzzjoni tal-istituzzjonijiet ta’ kred</w:t>
            </w:r>
            <w:r>
              <w:t>itu u ċerti ditti tal-investiment fil-qafas ta’ Mekkaniżmu Uniku ta’ Riżoluzzjoni u Fond Uniku għar-Riżoluzzjoni u li jemenda r-Regolament (UE) Nru 1093/2010 (ĠU L 225, 30.7.2014, p. 1).</w:t>
            </w:r>
          </w:p>
        </w:tc>
      </w:tr>
    </w:tbl>
    <w:p w:rsidR="00A85A26" w:rsidRPr="0046639E" w:rsidRDefault="00AF65B7" w:rsidP="00A85A26">
      <w:pPr>
        <w:pStyle w:val="Olang"/>
        <w:rPr>
          <w:sz w:val="24"/>
          <w:szCs w:val="24"/>
        </w:rPr>
      </w:pPr>
      <w:r w:rsidRPr="0046639E">
        <w:rPr>
          <w:sz w:val="24"/>
          <w:szCs w:val="24"/>
        </w:rPr>
        <w:t xml:space="preserve">Or. </w:t>
      </w:r>
      <w:r w:rsidRPr="0046639E">
        <w:rPr>
          <w:rStyle w:val="HideTWBExt"/>
        </w:rPr>
        <w:t>&lt;Original&gt;</w:t>
      </w:r>
      <w:r w:rsidRPr="0046639E">
        <w:rPr>
          <w:rStyle w:val="HideTWBInt"/>
          <w:sz w:val="24"/>
          <w:szCs w:val="24"/>
        </w:rPr>
        <w:t>{EN}</w:t>
      </w:r>
      <w:r w:rsidRPr="0046639E">
        <w:rPr>
          <w:sz w:val="24"/>
          <w:szCs w:val="24"/>
        </w:rPr>
        <w:t>en</w:t>
      </w:r>
      <w:r w:rsidRPr="0046639E">
        <w:rPr>
          <w:rStyle w:val="HideTWBExt"/>
        </w:rPr>
        <w:t>&lt;/Original&gt;</w:t>
      </w:r>
    </w:p>
    <w:p w:rsidR="00A85A26" w:rsidRPr="0046639E" w:rsidRDefault="00AF65B7" w:rsidP="00A85A26">
      <w:pPr>
        <w:rPr>
          <w:szCs w:val="24"/>
        </w:rPr>
      </w:pPr>
      <w:r>
        <w:rPr>
          <w:rStyle w:val="HideTWBExt"/>
        </w:rPr>
        <w:t>&lt;/Amend&gt;</w:t>
      </w:r>
    </w:p>
    <w:p w:rsidR="00A85A26" w:rsidRPr="008C37B3" w:rsidRDefault="00AF65B7" w:rsidP="00A85A26">
      <w:pPr>
        <w:pStyle w:val="AMNumberTabs0"/>
        <w:keepNext/>
      </w:pPr>
      <w:r>
        <w:rPr>
          <w:rStyle w:val="HideTWBExt"/>
          <w:b w:val="0"/>
          <w:lang w:val="pt-P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pt-PT"/>
        </w:rPr>
        <w:t>&lt;NumAm&gt;</w:t>
      </w:r>
      <w:r>
        <w:t>2</w:t>
      </w:r>
      <w:r>
        <w:rPr>
          <w:rStyle w:val="HideTWBExt"/>
          <w:b w:val="0"/>
          <w:lang w:val="pt-PT"/>
        </w:rPr>
        <w:t>&lt;/Nu</w:t>
      </w:r>
      <w:r>
        <w:rPr>
          <w:rStyle w:val="HideTWBExt"/>
          <w:b w:val="0"/>
          <w:lang w:val="pt-PT"/>
        </w:rPr>
        <w:t>mAm&gt;</w:t>
      </w:r>
    </w:p>
    <w:p w:rsidR="00A85A26" w:rsidRPr="008C37B3" w:rsidRDefault="00AF65B7" w:rsidP="00A85A26">
      <w:pPr>
        <w:pStyle w:val="NormalBold12b"/>
        <w:keepNext/>
      </w:pPr>
      <w:r>
        <w:rPr>
          <w:rStyle w:val="HideTWBExt"/>
          <w:b w:val="0"/>
          <w:lang w:val="pt-PT"/>
        </w:rPr>
        <w:t>&lt;DocAmend&gt;</w:t>
      </w:r>
      <w:r>
        <w:t>Proposta għal direttiva</w:t>
      </w:r>
      <w:r>
        <w:rPr>
          <w:rStyle w:val="HideTWBExt"/>
          <w:b w:val="0"/>
          <w:lang w:val="pt-PT"/>
        </w:rPr>
        <w:t>&lt;/DocAmend&gt;</w:t>
      </w:r>
    </w:p>
    <w:p w:rsidR="00A85A26" w:rsidRPr="0046639E" w:rsidRDefault="00AF65B7" w:rsidP="00A85A26">
      <w:pPr>
        <w:pStyle w:val="NormalBold"/>
      </w:pPr>
      <w:r>
        <w:rPr>
          <w:rStyle w:val="HideTWBExt"/>
          <w:b w:val="0"/>
        </w:rPr>
        <w:t>&lt;Article&gt;</w:t>
      </w:r>
      <w:r>
        <w:t>Premessa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87F81" w:rsidTr="00250087">
        <w:trPr>
          <w:jc w:val="center"/>
        </w:trPr>
        <w:tc>
          <w:tcPr>
            <w:tcW w:w="9752" w:type="dxa"/>
            <w:gridSpan w:val="2"/>
          </w:tcPr>
          <w:p w:rsidR="00A85A26" w:rsidRPr="0046639E" w:rsidRDefault="00A85A26" w:rsidP="00250087">
            <w:pPr>
              <w:keepNext/>
            </w:pP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Emenda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t>(3)</w:t>
            </w:r>
            <w:r>
              <w:tab/>
            </w:r>
            <w:r>
              <w:t>Ir-rieżami tal-Kummissjoni sab li jkun xieraq u proporzjonat għall-objettivi segwiti mir-regoli dwar l-MREL intern li l-awtoritajiet ta’ riżoluzzjoni jkunu jistgħu jistabbilixxu l-MREL intern fuq bażi konsolidata għal firxa ta’ entitajiet li hija aktar wie</w:t>
            </w:r>
            <w:r>
              <w:t xml:space="preserve">sgħa mill-firxa li tirriżulta mill-applikazzjoni tad-Direttiva 2014/59/UE u tar-Regolament (UE) Nru 806/2014, fejn </w:t>
            </w:r>
            <w:r>
              <w:lastRenderedPageBreak/>
              <w:t>tali firxa aktar wiesgħa tkopri istituzzjonijiet u entitajiet li ma humiex entitajiet ta’ riżoluzzjoni huma stess, iżda li huma sussidjarji t</w:t>
            </w:r>
            <w:r>
              <w:t xml:space="preserve">a’ entitajiet ta’ riżoluzzjoni u jikkontrollaw huma stess sussidjarji </w:t>
            </w:r>
            <w:r>
              <w:rPr>
                <w:b/>
                <w:i/>
              </w:rPr>
              <w:t>soġġetti għal MREL</w:t>
            </w:r>
            <w:r>
              <w:t xml:space="preserve"> (“entitajiet intermedji”). Dan ikun b’mod partikolari l-każ għal dawk il-gruppi bankarji li huma mmexxija minn kumpanija azzjonarja. F’każijiet bħal dawn, l-entitajiet</w:t>
            </w:r>
            <w:r>
              <w:t xml:space="preserve"> intermedji jiċċentralizzaw b’mod naturali l-iskoperturi intragrupp u jinkanalaw ir-riżorsi eliġibbli għall-MREL intern prepożizzjonati mill-entità ta’ riżoluzzjoni. Minħabba dik l-istruttura, tali entitajiet intermedji jkunu affettwati b’mod sproporzjonat</w:t>
            </w:r>
            <w:r>
              <w:t xml:space="preserve"> mir-regoli tat-tnaqqis. Il-Kummissjoni kkonkludiet ukoll li l-qafas tal-MREL ikun aktar proporzjonat </w:t>
            </w:r>
            <w:r>
              <w:rPr>
                <w:b/>
                <w:i/>
              </w:rPr>
              <w:t>bit-tneħħija tal-ħruġ ta’ entitajiet</w:t>
            </w:r>
            <w:r>
              <w:t xml:space="preserve"> ta’ </w:t>
            </w:r>
            <w:r>
              <w:rPr>
                <w:b/>
                <w:i/>
              </w:rPr>
              <w:t>likwidazzjoni</w:t>
            </w:r>
            <w:r>
              <w:t xml:space="preserve"> mill-ambitu </w:t>
            </w:r>
            <w:r>
              <w:rPr>
                <w:b/>
                <w:i/>
              </w:rPr>
              <w:t>tal-iskoperturi</w:t>
            </w:r>
            <w:r>
              <w:t xml:space="preserve"> li entità intermedja hija meħtieġa tnaqqas</w:t>
            </w:r>
            <w:r>
              <w:rPr>
                <w:b/>
                <w:i/>
              </w:rPr>
              <w:t xml:space="preserve"> skont il-mekkaniżmu ta’ tnaq</w:t>
            </w:r>
            <w:r>
              <w:rPr>
                <w:b/>
                <w:i/>
              </w:rPr>
              <w:t>qis għas-sottoskrizzjoni indiretta</w:t>
            </w:r>
            <w:r>
              <w:t xml:space="preserve"> ta’ </w:t>
            </w:r>
            <w:r>
              <w:rPr>
                <w:b/>
                <w:i/>
              </w:rPr>
              <w:t>riżorsi eliġibbli għall-MREL intern</w:t>
            </w:r>
            <w:r>
              <w:t xml:space="preserve">. </w:t>
            </w:r>
            <w:r>
              <w:rPr>
                <w:b/>
                <w:i/>
              </w:rPr>
              <w:t>Entità</w:t>
            </w:r>
            <w:r>
              <w:t xml:space="preserve"> ta’ </w:t>
            </w:r>
            <w:r>
              <w:rPr>
                <w:b/>
                <w:i/>
              </w:rPr>
              <w:t>likwidazzjoni mhux se jkollha tiġi appoġġata mill-entità</w:t>
            </w:r>
            <w:r>
              <w:t xml:space="preserve"> ta’ </w:t>
            </w:r>
            <w:r>
              <w:rPr>
                <w:b/>
                <w:i/>
              </w:rPr>
              <w:t>riżoluzzjoni f’każ</w:t>
            </w:r>
            <w:r>
              <w:t xml:space="preserve"> ta’ </w:t>
            </w:r>
            <w:r>
              <w:rPr>
                <w:b/>
                <w:i/>
              </w:rPr>
              <w:t>falliment</w:t>
            </w:r>
            <w:r>
              <w:t xml:space="preserve">, u b’hekk titneħħa l-ħtieġa li </w:t>
            </w:r>
            <w:r>
              <w:rPr>
                <w:b/>
                <w:i/>
              </w:rPr>
              <w:t>jiġi ssalvagwardjat kwalunkwe mekkaniżmu</w:t>
            </w:r>
            <w:r>
              <w:t xml:space="preserve"> ta’</w:t>
            </w:r>
            <w:r>
              <w:t xml:space="preserve"> telf u trasferiment ta’ kapital fi ħdan il-gruppi ta’ riżoluzzjoni, li kien l-iskop tar-regoli ta’ tnaqqis introdotti mir-Regolament (UE) 2022/2036. B’kuntrast għal dan, l-entitajiet li jifdal tal-grupp ta’ riżoluzzjoni se jkollhom jiġu appoġġati mill-ent</w:t>
            </w:r>
            <w:r>
              <w:t>ità ta’ riżoluzzjoni f’każ ta’ diffikultà jew falliment. Ir-riżorsi meħtieġa tal-MREL għalhekk jenħtieġ li jkunu preżenti fil-livelli kollha tal-grupp ta’ riżoluzzjoni u d-disponibbiltà tagħhom għall-assorbiment tat-telf u r-rikapitalizzazzjoni jenħtieġ li</w:t>
            </w:r>
            <w:r>
              <w:t xml:space="preserve"> tiġi żgurata permezz tal-mekkaniżmu ta’ tnaqqis. Għalhekk, ir-rieżami tal-Kummissjoni kkonkluda li l-entitajiet intermedji jenħtieġ li jkomplu jnaqqsu l-ammont sħiħ tal-holdings tagħhom ta’ riżorsi eliġibbli għall-MREL intern maħruġa minn entitajiet oħra </w:t>
            </w:r>
            <w:r>
              <w:t xml:space="preserve">mhux ta’ likwidazzjoni fl-istess grupp ta’ </w:t>
            </w:r>
            <w:r>
              <w:lastRenderedPageBreak/>
              <w:t>riżoluzzjoni.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lastRenderedPageBreak/>
              <w:t>(3)</w:t>
            </w:r>
            <w:r>
              <w:tab/>
              <w:t>Ir-rieżami tal-Kummissjoni sab li jkun xieraq u proporzjonat għall-objettivi segwiti mir-regoli dwar l-MREL intern li l-awtoritajiet ta’ riżoluzzjoni jkunu jistgħu jistabbilixxu l-MREL intern fuq</w:t>
            </w:r>
            <w:r>
              <w:t xml:space="preserve"> bażi konsolidata għal firxa ta’ entitajiet li hija aktar wiesgħa mill-firxa li tirriżulta mill-applikazzjoni tad-Direttiva 2014/59/UE u tar-Regolament (UE) Nru 806/2014, fejn </w:t>
            </w:r>
            <w:r>
              <w:lastRenderedPageBreak/>
              <w:t>tali firxa aktar wiesgħa tkopri istituzzjonijiet u entitajiet li ma humiex entit</w:t>
            </w:r>
            <w:r>
              <w:t xml:space="preserve">ajiet ta’ riżoluzzjoni huma stess, iżda li huma sussidjarji ta’ entitajiet ta’ riżoluzzjoni u jikkontrollaw huma stess sussidjarji </w:t>
            </w:r>
            <w:r>
              <w:rPr>
                <w:b/>
                <w:i/>
              </w:rPr>
              <w:t>oħra</w:t>
            </w:r>
            <w:r>
              <w:t xml:space="preserve"> (“entitajiet intermedji”)</w:t>
            </w:r>
            <w:r>
              <w:rPr>
                <w:b/>
                <w:i/>
              </w:rPr>
              <w:t xml:space="preserve"> fi ħdan l-istess grupp ta’ riżoluzzjoni</w:t>
            </w:r>
            <w:r>
              <w:t xml:space="preserve">. Dan ikun b’mod partikolari l-każ għal dawk il-gruppi </w:t>
            </w:r>
            <w:r>
              <w:t>bankarji li huma mmexxija minn kumpanija azzjonarja. F’każijiet bħal dawn, l-entitajiet intermedji jiċċentralizzaw b’mod naturali l-iskoperturi intragrupp u jinkanalaw ir-riżorsi eliġibbli għall-MREL intern prepożizzjonati mill-entità ta’ riżoluzzjoni. Min</w:t>
            </w:r>
            <w:r>
              <w:t xml:space="preserve">ħabba dik l-istruttura, tali entitajiet intermedji </w:t>
            </w:r>
            <w:r>
              <w:rPr>
                <w:b/>
                <w:i/>
              </w:rPr>
              <w:t xml:space="preserve">jistgħu </w:t>
            </w:r>
            <w:r>
              <w:t xml:space="preserve">jkunu affettwati b’mod sproporzjonat mir-regoli tat-tnaqqis. Il-Kummissjoni kkonkludiet ukoll li l-qafas tal-MREL ikun aktar proporzjonat </w:t>
            </w:r>
            <w:r>
              <w:rPr>
                <w:b/>
                <w:i/>
              </w:rPr>
              <w:t>bl-aġġustament</w:t>
            </w:r>
            <w:r>
              <w:t xml:space="preserve"> ta’ </w:t>
            </w:r>
            <w:r>
              <w:rPr>
                <w:b/>
                <w:i/>
              </w:rPr>
              <w:t>regoli</w:t>
            </w:r>
            <w:r>
              <w:t xml:space="preserve"> mill-ambitu </w:t>
            </w:r>
            <w:r>
              <w:rPr>
                <w:b/>
                <w:i/>
              </w:rPr>
              <w:t>tal-iskoperti</w:t>
            </w:r>
            <w:r>
              <w:t xml:space="preserve"> li enti</w:t>
            </w:r>
            <w:r>
              <w:t>tà intermedja hija meħtieġa tnaqqas</w:t>
            </w:r>
            <w:r>
              <w:rPr>
                <w:b/>
                <w:i/>
              </w:rPr>
              <w:t>, fejn l-entità emittenti tkun entità</w:t>
            </w:r>
            <w:r>
              <w:t xml:space="preserve"> ta’ </w:t>
            </w:r>
            <w:r>
              <w:rPr>
                <w:b/>
                <w:i/>
              </w:rPr>
              <w:t>likwidazzjoni mhux soġġetta għal deċiżjoni tal-MREL</w:t>
            </w:r>
            <w:r>
              <w:t>.</w:t>
            </w:r>
            <w:r>
              <w:rPr>
                <w:b/>
                <w:i/>
              </w:rPr>
              <w:t xml:space="preserve"> F’dawk il-każijiet, mhuwiex mistenni li s-setgħat</w:t>
            </w:r>
            <w:r>
              <w:t xml:space="preserve"> ta’ </w:t>
            </w:r>
            <w:r>
              <w:rPr>
                <w:b/>
                <w:i/>
              </w:rPr>
              <w:t>valwazzjoni negattiva u ta’ konverżjoni jkollhom jiġu eżerċitati fir-rig</w:t>
            </w:r>
            <w:r>
              <w:rPr>
                <w:b/>
                <w:i/>
              </w:rPr>
              <w:t>ward</w:t>
            </w:r>
            <w:r>
              <w:t xml:space="preserve"> ta’ </w:t>
            </w:r>
            <w:r>
              <w:rPr>
                <w:b/>
                <w:i/>
              </w:rPr>
              <w:t>tali entitajiet</w:t>
            </w:r>
            <w:r>
              <w:t xml:space="preserve"> ta’ </w:t>
            </w:r>
            <w:r>
              <w:rPr>
                <w:b/>
                <w:i/>
              </w:rPr>
              <w:t>likwidazzjoni</w:t>
            </w:r>
            <w:r>
              <w:t xml:space="preserve">, u b’hekk titneħħa l-ħtieġa li </w:t>
            </w:r>
            <w:r>
              <w:rPr>
                <w:b/>
                <w:i/>
              </w:rPr>
              <w:t>jiġu ssalvagwardjati l-mekkaniżmi</w:t>
            </w:r>
            <w:r>
              <w:t xml:space="preserve"> ta’ telf u trasferiment ta’ kapital fi ħdan il-gruppi ta’ riżoluzzjoni, li kien l-iskop tar-regoli ta’ tnaqqis introdotti mir-Regolament (UE) 2022/2</w:t>
            </w:r>
            <w:r>
              <w:t>036. B’kuntrast għal dan, l-entitajiet li jifdal tal-grupp ta’ riżoluzzjoni se jkollhom jiġu appoġġati mill-entità ta’ riżoluzzjoni f’każ ta’ diffikultà jew falliment. Ir-riżorsi meħtieġa tal-MREL għalhekk jenħtieġ li jkunu preżenti fil-livelli kollha tal-</w:t>
            </w:r>
            <w:r>
              <w:t>grupp ta’ riżoluzzjoni u d-disponibbiltà tagħhom għall-assorbiment tat-telf u r-rikapitalizzazzjoni jenħtieġ li tiġi żgurata permezz tal-mekkaniżmu ta’ tnaqqis. Għalhekk, ir-rieżami tal-Kummissjoni kkonkluda li l-entitajiet intermedji jenħtieġ li jkomplu j</w:t>
            </w:r>
            <w:r>
              <w:t>naqqsu l-ammont sħiħ tal-holdings tagħhom ta’ riżorsi eliġibbli għall-</w:t>
            </w:r>
            <w:r>
              <w:lastRenderedPageBreak/>
              <w:t>MREL intern maħruġa minn entitajiet oħra mhux ta’ likwidazzjoni fl-istess grupp ta’ riżoluzzjoni.</w:t>
            </w:r>
          </w:p>
        </w:tc>
      </w:tr>
    </w:tbl>
    <w:p w:rsidR="00A85A26" w:rsidRPr="0046639E" w:rsidRDefault="00AF65B7" w:rsidP="00A85A26">
      <w:pPr>
        <w:pStyle w:val="Olang"/>
        <w:rPr>
          <w:sz w:val="24"/>
          <w:szCs w:val="24"/>
        </w:rPr>
      </w:pPr>
      <w:r w:rsidRPr="0046639E">
        <w:rPr>
          <w:sz w:val="24"/>
          <w:szCs w:val="24"/>
        </w:rPr>
        <w:lastRenderedPageBreak/>
        <w:t xml:space="preserve">Or. </w:t>
      </w:r>
      <w:r w:rsidRPr="0046639E">
        <w:rPr>
          <w:rStyle w:val="HideTWBExt"/>
        </w:rPr>
        <w:t>&lt;Original&gt;</w:t>
      </w:r>
      <w:r w:rsidRPr="0046639E">
        <w:rPr>
          <w:rStyle w:val="HideTWBInt"/>
          <w:sz w:val="24"/>
          <w:szCs w:val="24"/>
        </w:rPr>
        <w:t>{EN}</w:t>
      </w:r>
      <w:r w:rsidRPr="0046639E">
        <w:rPr>
          <w:sz w:val="24"/>
          <w:szCs w:val="24"/>
        </w:rPr>
        <w:t>en</w:t>
      </w:r>
      <w:r w:rsidRPr="0046639E">
        <w:rPr>
          <w:rStyle w:val="HideTWBExt"/>
        </w:rPr>
        <w:t>&lt;/Original&gt;</w:t>
      </w:r>
    </w:p>
    <w:p w:rsidR="00A85A26" w:rsidRPr="0046639E" w:rsidRDefault="00AF65B7" w:rsidP="00A85A26">
      <w:pPr>
        <w:rPr>
          <w:szCs w:val="24"/>
        </w:rPr>
      </w:pPr>
      <w:r>
        <w:rPr>
          <w:rStyle w:val="HideTWBExt"/>
        </w:rPr>
        <w:t>&lt;/Amend&gt;</w:t>
      </w:r>
    </w:p>
    <w:p w:rsidR="00A85A26" w:rsidRPr="008C37B3" w:rsidRDefault="00AF65B7" w:rsidP="00A85A26">
      <w:pPr>
        <w:pStyle w:val="AMNumberTabs0"/>
        <w:keepNext/>
      </w:pPr>
      <w:r>
        <w:rPr>
          <w:rStyle w:val="HideTWBExt"/>
          <w:b w:val="0"/>
          <w:lang w:val="pt-P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pt-PT"/>
        </w:rPr>
        <w:t>&lt;NumAm&gt;</w:t>
      </w:r>
      <w:r>
        <w:t>3</w:t>
      </w:r>
      <w:r>
        <w:rPr>
          <w:rStyle w:val="HideTWBExt"/>
          <w:b w:val="0"/>
          <w:lang w:val="pt-PT"/>
        </w:rPr>
        <w:t>&lt;/NumAm&gt;</w:t>
      </w:r>
    </w:p>
    <w:p w:rsidR="00A85A26" w:rsidRPr="008C37B3" w:rsidRDefault="00AF65B7" w:rsidP="00A85A26">
      <w:pPr>
        <w:pStyle w:val="NormalBold12b"/>
        <w:keepNext/>
      </w:pPr>
      <w:r>
        <w:rPr>
          <w:rStyle w:val="HideTWBExt"/>
          <w:b w:val="0"/>
          <w:lang w:val="pt-PT"/>
        </w:rPr>
        <w:t>&lt;DocAmend&gt;</w:t>
      </w:r>
      <w:r>
        <w:t>Proposta għal direttiva</w:t>
      </w:r>
      <w:r>
        <w:rPr>
          <w:rStyle w:val="HideTWBExt"/>
          <w:b w:val="0"/>
          <w:lang w:val="pt-PT"/>
        </w:rPr>
        <w:t>&lt;/DocAmend&gt;</w:t>
      </w:r>
    </w:p>
    <w:p w:rsidR="00A85A26" w:rsidRPr="0046639E" w:rsidRDefault="00AF65B7" w:rsidP="00A85A26">
      <w:pPr>
        <w:pStyle w:val="NormalBold"/>
      </w:pPr>
      <w:r>
        <w:rPr>
          <w:rStyle w:val="HideTWBExt"/>
          <w:b w:val="0"/>
        </w:rPr>
        <w:t>&lt;Article&gt;</w:t>
      </w:r>
      <w:r>
        <w:t>Premessa 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87F81" w:rsidTr="00250087">
        <w:trPr>
          <w:jc w:val="center"/>
        </w:trPr>
        <w:tc>
          <w:tcPr>
            <w:tcW w:w="9752" w:type="dxa"/>
            <w:gridSpan w:val="2"/>
          </w:tcPr>
          <w:p w:rsidR="00A85A26" w:rsidRPr="0046639E" w:rsidRDefault="00A85A26" w:rsidP="00250087">
            <w:pPr>
              <w:keepNext/>
            </w:pP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Emenda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t>(5)</w:t>
            </w:r>
            <w:r>
              <w:tab/>
              <w:t xml:space="preserve">Biex jiġi żgurat li l-possibbiltà ta’ konformità mal-MREL fuq bażi konsolidata tkun disponibbli biss fil-każijiet rilevanti identifikati </w:t>
            </w:r>
            <w:r>
              <w:t>fir-rieżami tal-Kummissjoni u ma twassalx għal nuqqas ta’ riżorsi eliġibbli għall-MREL intern fil-grupp ta’ riżoluzzjoni kollu, is-setgħa li l-MREL intern jiġi stabbilit fuq bażi konsolidata għall-entitajiet intermedji jenħtieġ li tkun setgħa diskrezzjonal</w:t>
            </w:r>
            <w:r>
              <w:t>i tal-awtorità ta’ riżoluzzjoni u jenħtieġ li tkun soġġetta għal ċerti kundizzjonijiet. L-entità intermedja jenħtieġ li tkun l-unika sussidjarja diretta, jiġifieri istituzzjoni jew entità, ta’ entità ta’ riżoluzzjoni li tkun kumpanija azzjonarja finanzjarj</w:t>
            </w:r>
            <w:r>
              <w:t>a prinċipali tal-Unjoni jew kumpanija azzjonarja finanzjarja mħallta prinċipali tal-Unjoni, tkun stabbilita fl-istess Stat Membru u tkun parti mill-istess grupp ta’ riżoluzzjoni. B’mod alternattiv, l-entità intermedja kkonċernata jenħtieġ li tikkonforma ma</w:t>
            </w:r>
            <w:r>
              <w:t>r-rekwiżit ta’ fondi proprji addizzjonali jew mar-rekwiżit ta’ riżerva kombinata abbażi tas-sitwazzjoni konsolidata tagħha. Fiż-żewġ każijiet, madankollu, il-konformità mal-MREL intern fuq bażi konsolidata jenħtieġ li, fil-valutazzjoni tal-awtorità ta’ riż</w:t>
            </w:r>
            <w:r>
              <w:t xml:space="preserve">oluzzjoni, ma taffettwax negattivament </w:t>
            </w:r>
            <w:r>
              <w:rPr>
                <w:b/>
                <w:i/>
              </w:rPr>
              <w:t>b’mod sinifikanti r-riżolvibbiltà</w:t>
            </w:r>
            <w:r>
              <w:t xml:space="preserve"> tal-grupp ta’ riżoluzzjoni kkonċernat, u lanqas l-applikazzjoni mill-awtorità ta’ riżoluzzjoni tas-setgħa ta’ valwazzjoni negattiva jew konverżjoni ta’ strumenti kapitali rilevanti u </w:t>
            </w:r>
            <w:r>
              <w:t xml:space="preserve">obbligazzjonijiet eliġibbli tal-entità </w:t>
            </w:r>
            <w:r>
              <w:lastRenderedPageBreak/>
              <w:t>intermedja kkonċernata jew ta’ entitajiet oħra fil-grupp ta’ riżoluzzjoni tagħha.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lastRenderedPageBreak/>
              <w:t>(5)</w:t>
            </w:r>
            <w:r>
              <w:tab/>
              <w:t>Biex jiġi żgurat li l-possibbiltà ta’ konformità mal-MREL fuq bażi konsolidata tkun disponibbli biss fil-każijiet rilevanti identif</w:t>
            </w:r>
            <w:r>
              <w:t>ikati fir-rieżami tal-Kummissjoni u ma twassalx għal nuqqas ta’ riżorsi eliġibbli għall-MREL intern fil-grupp ta’ riżoluzzjoni kollu, is-setgħa li l-MREL intern jiġi stabbilit fuq bażi konsolidata għall-entitajiet intermedji jenħtieġ li tkun setgħa diskrez</w:t>
            </w:r>
            <w:r>
              <w:t>zjonali tal-awtorità ta’ riżoluzzjoni u jenħtieġ li tkun soġġetta għal ċerti kundizzjonijiet. L-entità intermedja jenħtieġ li tkun l-unika sussidjarja diretta, jiġifieri istituzzjoni jew entità, ta’ entità ta’ riżoluzzjoni li tkun kumpanija azzjonarja fina</w:t>
            </w:r>
            <w:r>
              <w:t>nzjarja prinċipali tal-Unjoni jew kumpanija azzjonarja finanzjarja mħallta prinċipali tal-Unjoni, tkun stabbilita fl-istess Stat Membru u tkun parti mill-istess grupp ta’ riżoluzzjoni. B’mod alternattiv, l-entità intermedja kkonċernata jenħtieġ li tikkonfo</w:t>
            </w:r>
            <w:r>
              <w:t>rma mar-rekwiżit ta’ fondi proprji addizzjonali jew mar-rekwiżit ta’ riżerva kombinata abbażi tas-sitwazzjoni konsolidata tagħha. Fiż-żewġ każijiet, madankollu, il-konformità mal-MREL intern fuq bażi konsolidata jenħtieġ li, fil-valutazzjoni tal-awtorità t</w:t>
            </w:r>
            <w:r>
              <w:t xml:space="preserve">a’ riżoluzzjoni, ma taffettwax negattivament </w:t>
            </w:r>
            <w:r>
              <w:rPr>
                <w:b/>
                <w:i/>
              </w:rPr>
              <w:t>ir-riżolvibbiltà</w:t>
            </w:r>
            <w:r>
              <w:t xml:space="preserve"> tal-grupp ta’ riżoluzzjoni kkonċernat, u lanqas l-applikazzjoni mill-awtorità ta’ riżoluzzjoni tas-setgħa ta’ valwazzjoni negattiva jew konverżjoni ta’ strumenti kapitali rilevanti u obbligazzjo</w:t>
            </w:r>
            <w:r>
              <w:t xml:space="preserve">nijiet eliġibbli tal-entità </w:t>
            </w:r>
            <w:r>
              <w:lastRenderedPageBreak/>
              <w:t xml:space="preserve">intermedja kkonċernata jew ta’ entitajiet oħra fil-grupp ta’ riżoluzzjoni tagħha. </w:t>
            </w:r>
            <w:r>
              <w:rPr>
                <w:b/>
                <w:i/>
              </w:rPr>
              <w:t>Sitwazzjoni waħda fejn l-istabbiliment ta’ MREL intern fuq bażi konsolidata jkun ta’ detriment għar-riżolvibbiltà tal-grupp ta’ riżoluzzjoni, hija</w:t>
            </w:r>
            <w:r>
              <w:rPr>
                <w:b/>
                <w:i/>
              </w:rPr>
              <w:t xml:space="preserve"> fejn l-ammont ta’ dak l-MREL ma jiżgurax konformità mar-rekwiżiti ta’ fondi proprji individwali applikabbli wara l-eżerċizzju tas-setgħat ta’ valwazzjoni negattiva u ta’ konverżjoni.</w:t>
            </w:r>
          </w:p>
        </w:tc>
      </w:tr>
    </w:tbl>
    <w:p w:rsidR="00A85A26" w:rsidRPr="0046639E" w:rsidRDefault="00AF65B7" w:rsidP="00A85A26">
      <w:pPr>
        <w:pStyle w:val="Olang"/>
        <w:rPr>
          <w:sz w:val="24"/>
          <w:szCs w:val="24"/>
        </w:rPr>
      </w:pPr>
      <w:r w:rsidRPr="0046639E">
        <w:rPr>
          <w:sz w:val="24"/>
          <w:szCs w:val="24"/>
        </w:rPr>
        <w:lastRenderedPageBreak/>
        <w:t xml:space="preserve">Or. </w:t>
      </w:r>
      <w:r w:rsidRPr="0046639E">
        <w:rPr>
          <w:rStyle w:val="HideTWBExt"/>
        </w:rPr>
        <w:t>&lt;Original&gt;</w:t>
      </w:r>
      <w:r w:rsidRPr="0046639E">
        <w:rPr>
          <w:rStyle w:val="HideTWBInt"/>
          <w:sz w:val="24"/>
          <w:szCs w:val="24"/>
        </w:rPr>
        <w:t>{EN}</w:t>
      </w:r>
      <w:r w:rsidRPr="0046639E">
        <w:rPr>
          <w:sz w:val="24"/>
          <w:szCs w:val="24"/>
        </w:rPr>
        <w:t>en</w:t>
      </w:r>
      <w:r w:rsidRPr="0046639E">
        <w:rPr>
          <w:rStyle w:val="HideTWBExt"/>
        </w:rPr>
        <w:t>&lt;/Original&gt;</w:t>
      </w:r>
    </w:p>
    <w:p w:rsidR="00A85A26" w:rsidRPr="0046639E" w:rsidRDefault="00AF65B7" w:rsidP="00A85A26">
      <w:pPr>
        <w:rPr>
          <w:szCs w:val="24"/>
        </w:rPr>
      </w:pPr>
      <w:r>
        <w:rPr>
          <w:rStyle w:val="HideTWBExt"/>
        </w:rPr>
        <w:t>&lt;/Amend&gt;</w:t>
      </w:r>
    </w:p>
    <w:p w:rsidR="00A85A26" w:rsidRPr="008C37B3" w:rsidRDefault="00AF65B7" w:rsidP="00A85A26">
      <w:pPr>
        <w:pStyle w:val="AMNumberTabs0"/>
        <w:keepNext/>
      </w:pPr>
      <w:r>
        <w:rPr>
          <w:rStyle w:val="HideTWBExt"/>
          <w:b w:val="0"/>
          <w:lang w:val="pt-P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pt-PT"/>
        </w:rPr>
        <w:t>&lt;NumAm&gt;</w:t>
      </w:r>
      <w:r>
        <w:t>4</w:t>
      </w:r>
      <w:r>
        <w:rPr>
          <w:rStyle w:val="HideTWBExt"/>
          <w:b w:val="0"/>
          <w:lang w:val="pt-PT"/>
        </w:rPr>
        <w:t>&lt;/NumAm</w:t>
      </w:r>
      <w:r>
        <w:rPr>
          <w:rStyle w:val="HideTWBExt"/>
          <w:b w:val="0"/>
          <w:lang w:val="pt-PT"/>
        </w:rPr>
        <w:t>&gt;</w:t>
      </w:r>
    </w:p>
    <w:p w:rsidR="00A85A26" w:rsidRPr="008C37B3" w:rsidRDefault="00AF65B7" w:rsidP="00A85A26">
      <w:pPr>
        <w:pStyle w:val="NormalBold12b"/>
        <w:keepNext/>
      </w:pPr>
      <w:r>
        <w:rPr>
          <w:rStyle w:val="HideTWBExt"/>
          <w:b w:val="0"/>
          <w:lang w:val="pt-PT"/>
        </w:rPr>
        <w:t>&lt;DocAmend&gt;</w:t>
      </w:r>
      <w:r>
        <w:t>Proposta għal direttiva</w:t>
      </w:r>
      <w:r>
        <w:rPr>
          <w:rStyle w:val="HideTWBExt"/>
          <w:b w:val="0"/>
          <w:lang w:val="pt-PT"/>
        </w:rPr>
        <w:t>&lt;/DocAmend&gt;</w:t>
      </w:r>
    </w:p>
    <w:p w:rsidR="00A85A26" w:rsidRPr="0046639E" w:rsidRDefault="00AF65B7" w:rsidP="00A85A26">
      <w:pPr>
        <w:pStyle w:val="NormalBold"/>
      </w:pPr>
      <w:r>
        <w:rPr>
          <w:rStyle w:val="HideTWBExt"/>
          <w:b w:val="0"/>
        </w:rPr>
        <w:t>&lt;Article&gt;</w:t>
      </w:r>
      <w:r>
        <w:t>Premessa 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87F81" w:rsidTr="00250087">
        <w:trPr>
          <w:jc w:val="center"/>
        </w:trPr>
        <w:tc>
          <w:tcPr>
            <w:tcW w:w="9752" w:type="dxa"/>
            <w:gridSpan w:val="2"/>
          </w:tcPr>
          <w:p w:rsidR="00A85A26" w:rsidRPr="0046639E" w:rsidRDefault="00A85A26" w:rsidP="00250087">
            <w:pPr>
              <w:keepNext/>
            </w:pP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Emenda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t>(6)</w:t>
            </w:r>
            <w:r>
              <w:tab/>
              <w:t xml:space="preserve">Skont l-Artikolu 45f(2) tad-Direttiva 2014/59/UE u l-Artikolu 12g(2) tar-Regolament (UE) Nru 806/2014, l-entitajiet intermedji jistgħu </w:t>
            </w:r>
            <w:r>
              <w:t>jikkonformaw mal-MREL intern konsolidat billi jużaw fondi proprji u obbligazzjonijiet eliġibbli. Biex titwettaq b’mod sħiħ il-possibbiltà ta’ konformità mal-MREL fuq bażi konsolidata, huwa meħtieġ li jiġi żgurat li l-obbligazzjonijiet eliġibbli tal-entitaj</w:t>
            </w:r>
            <w:r>
              <w:t>iet intermedji jiġu kkalkulati b’mod li jkun simili għall-komputazzjoni tal-fondi proprji. Il-kriterji ta’ eliġibbiltà għall-obbligazzjonijiet eliġibbli li jistgħu jintużaw għall-konformità mal-MREL intern fuq bażi konsolidata jenħtieġ għalhekk li jiġu all</w:t>
            </w:r>
            <w:r>
              <w:t>injati mar-regoli dwar il-kalkolu tal-fondi proprji konsolidati stabbiliti fir-Regolament (UE) Nru 575/2013. Biex tiġi żgurata l-konsistenza mar-regoli eżistenti dwar l-MREL estern, dak l-allinjament jenħtieġ li jirrifletti wkoll ir-regoli eżistenti stabbi</w:t>
            </w:r>
            <w:r>
              <w:t xml:space="preserve">liti fl-Artikolu 45b(3) tad-Direttiva 2014/59/UE u l-Artikolu 12d(3) tar-Regolament (UE) Nru 806/2014 għall-kalkolu tal-obbligazzjonijiet eliġibbli li l-entitajiet ta’ </w:t>
            </w:r>
            <w:r>
              <w:lastRenderedPageBreak/>
              <w:t>riżoluzzjoni jistgħu jużaw biex jikkonformaw mal-MREL konsolidat tagħhom. B’mod partikol</w:t>
            </w:r>
            <w:r>
              <w:t>ari, huwa meħtieġ li jiġi żgurat li l-obbligazzjonijiet eliġibbli maħruġa mis-sussidjarji tal-entità soġġetta għal MREL intern konsolidat u miżmuma minn entitajiet oħra tal-istess grupp ta’ riżoluzzjoni iżda barra mill-ambitu tal-konsolidament</w:t>
            </w:r>
            <w:r>
              <w:rPr>
                <w:b/>
                <w:bCs/>
                <w:i/>
                <w:iCs/>
              </w:rPr>
              <w:t>, inkluża l-e</w:t>
            </w:r>
            <w:r>
              <w:rPr>
                <w:b/>
                <w:bCs/>
                <w:i/>
                <w:iCs/>
              </w:rPr>
              <w:t>ntità ta’ riżoluzzjoni,</w:t>
            </w:r>
            <w:r>
              <w:t xml:space="preserve"> jew minn azzjonisti eżistenti li ma jappartjenux għall-istess grupp ta’ riżoluzzjoni, jgħoddu għall-fondi proprji u l-obbligazzjonijiet eliġibbli tal-entità soġġetta għal MREL intern konsolidat.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lastRenderedPageBreak/>
              <w:t>(6)</w:t>
            </w:r>
            <w:r>
              <w:tab/>
              <w:t>Skont l-Artikolu 45f(2) tad-Diret</w:t>
            </w:r>
            <w:r>
              <w:t>tiva 2014/59/UE u l-Artikolu 12g(2) tar-Regolament (UE) Nru 806/2014, l-entitajiet intermedji jistgħu jikkonformaw mal-MREL intern konsolidat billi jużaw fondi proprji u obbligazzjonijiet eliġibbli. Biex titwettaq b’mod sħiħ il-possibbiltà ta’ konformità m</w:t>
            </w:r>
            <w:r>
              <w:t>al-MREL fuq bażi konsolidata, huwa meħtieġ li jiġi żgurat li l-obbligazzjonijiet eliġibbli tal-entitajiet intermedji jiġu kkalkulati b’mod li jkun simili għall-komputazzjoni tal-fondi proprji. Il-kriterji ta’ eliġibbiltà għall-obbligazzjonijiet eliġibbli l</w:t>
            </w:r>
            <w:r>
              <w:t>i jistgħu jintużaw għall-konformità mal-MREL intern fuq bażi konsolidata jenħtieġ għalhekk li jiġu allinjati mar-regoli dwar il-kalkolu tal-fondi proprji konsolidati stabbiliti fir-Regolament (UE) Nru 575/2013. Biex tiġi żgurata l-konsistenza mar-regoli eż</w:t>
            </w:r>
            <w:r>
              <w:t>istenti dwar l-MREL estern, dak l-allinjament jenħtieġ li jirrifletti wkoll ir-regoli eżistenti stabbiliti fl-Artikolu 45b(3) tad-Direttiva 2014/59/UE u l-Artikolu 12d(3) tar-Regolament (UE) Nru 806/2014 għall-kalkolu tal-obbligazzjonijiet eliġibbli li l-e</w:t>
            </w:r>
            <w:r>
              <w:t xml:space="preserve">ntitajiet ta’ </w:t>
            </w:r>
            <w:r>
              <w:lastRenderedPageBreak/>
              <w:t xml:space="preserve">riżoluzzjoni jistgħu jużaw biex jikkonformaw mal-MREL konsolidat tagħhom. B’mod partikolari, huwa meħtieġ li jiġi żgurat li l-obbligazzjonijiet eliġibbli maħruġa mis-sussidjarji tal-entità soġġetta għal MREL intern konsolidat u miżmuma minn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</w:rPr>
              <w:t xml:space="preserve">ntità ta’ riżoluzzjoni, jew diretta jew indiretta permezz ta’ </w:t>
            </w:r>
            <w:r>
              <w:t>entitajiet oħra tal-istess grupp ta’ riżoluzzjoni iżda barra mill-ambitu tal-konsolidament, inkluża l-entità ta’ riżoluzzjoni, jew minn azzjonisti eżistenti li ma jappartjenux għall-istess grupp</w:t>
            </w:r>
            <w:r>
              <w:t xml:space="preserve"> ta’ riżoluzzjoni, jgħoddu għall-fondi proprji u l-obbligazzjonijiet eliġibbli tal-entità soġġetta għal MREL intern konsolidat.</w:t>
            </w:r>
          </w:p>
        </w:tc>
      </w:tr>
    </w:tbl>
    <w:p w:rsidR="00A85A26" w:rsidRPr="0046639E" w:rsidRDefault="00AF65B7" w:rsidP="00A85A26">
      <w:pPr>
        <w:pStyle w:val="Olang"/>
        <w:rPr>
          <w:sz w:val="24"/>
          <w:szCs w:val="24"/>
        </w:rPr>
      </w:pPr>
      <w:r w:rsidRPr="0046639E">
        <w:rPr>
          <w:sz w:val="24"/>
          <w:szCs w:val="24"/>
        </w:rPr>
        <w:lastRenderedPageBreak/>
        <w:t xml:space="preserve">Or. </w:t>
      </w:r>
      <w:r w:rsidRPr="0046639E">
        <w:rPr>
          <w:rStyle w:val="HideTWBExt"/>
        </w:rPr>
        <w:t>&lt;Original&gt;</w:t>
      </w:r>
      <w:r w:rsidRPr="0046639E">
        <w:rPr>
          <w:rStyle w:val="HideTWBInt"/>
          <w:sz w:val="24"/>
          <w:szCs w:val="24"/>
        </w:rPr>
        <w:t>{EN}</w:t>
      </w:r>
      <w:r w:rsidRPr="0046639E">
        <w:rPr>
          <w:sz w:val="24"/>
          <w:szCs w:val="24"/>
        </w:rPr>
        <w:t>en</w:t>
      </w:r>
      <w:r w:rsidRPr="0046639E">
        <w:rPr>
          <w:rStyle w:val="HideTWBExt"/>
        </w:rPr>
        <w:t>&lt;/Original&gt;</w:t>
      </w:r>
    </w:p>
    <w:p w:rsidR="00A85A26" w:rsidRPr="0046639E" w:rsidRDefault="00AF65B7" w:rsidP="00A85A26">
      <w:pPr>
        <w:rPr>
          <w:szCs w:val="24"/>
        </w:rPr>
      </w:pPr>
      <w:r>
        <w:rPr>
          <w:rStyle w:val="HideTWBExt"/>
        </w:rPr>
        <w:t>&lt;/Amend&gt;</w:t>
      </w:r>
    </w:p>
    <w:p w:rsidR="00A85A26" w:rsidRPr="008C37B3" w:rsidRDefault="00AF65B7" w:rsidP="00A85A26">
      <w:pPr>
        <w:pStyle w:val="AMNumberTabs0"/>
        <w:keepNext/>
      </w:pPr>
      <w:r>
        <w:rPr>
          <w:rStyle w:val="HideTWBExt"/>
          <w:b w:val="0"/>
          <w:lang w:val="pt-P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pt-PT"/>
        </w:rPr>
        <w:t>&lt;NumAm&gt;</w:t>
      </w:r>
      <w:r>
        <w:t>5</w:t>
      </w:r>
      <w:r>
        <w:rPr>
          <w:rStyle w:val="HideTWBExt"/>
          <w:b w:val="0"/>
          <w:lang w:val="pt-PT"/>
        </w:rPr>
        <w:t>&lt;/NumAm&gt;</w:t>
      </w:r>
    </w:p>
    <w:p w:rsidR="00A85A26" w:rsidRPr="008C37B3" w:rsidRDefault="00AF65B7" w:rsidP="00A85A26">
      <w:pPr>
        <w:pStyle w:val="NormalBold12b"/>
        <w:keepNext/>
      </w:pPr>
      <w:r>
        <w:rPr>
          <w:rStyle w:val="HideTWBExt"/>
          <w:b w:val="0"/>
          <w:lang w:val="pt-PT"/>
        </w:rPr>
        <w:t>&lt;DocAmend&gt;</w:t>
      </w:r>
      <w:r>
        <w:t>Proposta għal direttiva</w:t>
      </w:r>
      <w:r>
        <w:rPr>
          <w:rStyle w:val="HideTWBExt"/>
          <w:b w:val="0"/>
          <w:lang w:val="pt-PT"/>
        </w:rPr>
        <w:t>&lt;/DocAmend&gt;</w:t>
      </w:r>
    </w:p>
    <w:p w:rsidR="00A85A26" w:rsidRPr="0046639E" w:rsidRDefault="00AF65B7" w:rsidP="00A85A26">
      <w:pPr>
        <w:pStyle w:val="NormalBold"/>
      </w:pPr>
      <w:r>
        <w:rPr>
          <w:rStyle w:val="HideTWBExt"/>
          <w:b w:val="0"/>
        </w:rPr>
        <w:t>&lt;Article&gt;</w:t>
      </w:r>
      <w:r>
        <w:t>Premessa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87F81" w:rsidTr="00250087">
        <w:trPr>
          <w:jc w:val="center"/>
        </w:trPr>
        <w:tc>
          <w:tcPr>
            <w:tcW w:w="9752" w:type="dxa"/>
            <w:gridSpan w:val="2"/>
          </w:tcPr>
          <w:p w:rsidR="00A85A26" w:rsidRPr="0046639E" w:rsidRDefault="00A85A26" w:rsidP="00250087">
            <w:pPr>
              <w:keepNext/>
            </w:pP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Emenda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t>(7)</w:t>
            </w:r>
            <w:r>
              <w:tab/>
            </w:r>
            <w:r>
              <w:rPr>
                <w:b/>
                <w:i/>
              </w:rPr>
              <w:t>Għall-entitajiet ta’ likwidazzjoni</w:t>
            </w:r>
            <w:r>
              <w:t xml:space="preserve">, l-MREL huwa </w:t>
            </w:r>
            <w:r>
              <w:rPr>
                <w:b/>
                <w:i/>
              </w:rPr>
              <w:t>normalment limitat</w:t>
            </w:r>
            <w:r>
              <w:t xml:space="preserve"> għall-ammont meħtieġ għall-assorbiment tat-telf, li jikkorrispondi għar-rekwiżiti ta’ fondi proprji. F’każijiet bħal dawn, l</w:t>
            </w:r>
            <w:r>
              <w:t>-MREL ma jinvolvi l-ebda rekwiżit addizzjonali direttament relatat mal-qafas ta’ riżoluzzjoni għall-entità ta’ likwidazzjoni. Dan ifisser li entità ta’ likwidazzjoni tista’ tikkonforma b’mod sħiħ mal-MREL billi tikkonforma mar-rekwiżiti ta’ fondi proprji u</w:t>
            </w:r>
            <w:r>
              <w:t xml:space="preserve"> li deċiżjoni ddedikata tal-awtorità ta’ riżoluzzjoni li tiddetermina l-MREL ma tikkontribwix b’mod sinifikanti għar-riżolvibbiltà tal-entitajiet ta’ likwidazzjoni. Tali deċiżjoni tinvolvi ħafna obbligi proċedurali għall-awtoritajiet ta’ riżoluzzjoni u għa</w:t>
            </w:r>
            <w:r>
              <w:t xml:space="preserve">ll-entitajiet ta’ likwidazzjoni mingħajr benefiċċju korrispondenti f’termini ta’ riżolvibbiltà mtejba. Għal dik ir-raġuni, l-awtoritajiet ta’ riżoluzzjoni jenħtieġ li ma jistabbilux </w:t>
            </w:r>
            <w:r>
              <w:lastRenderedPageBreak/>
              <w:t>MREL għall-entitajiet ta’ likwidazzjoni.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lastRenderedPageBreak/>
              <w:t>(7)</w:t>
            </w:r>
            <w:r>
              <w:tab/>
            </w:r>
            <w:r>
              <w:rPr>
                <w:b/>
                <w:i/>
              </w:rPr>
              <w:t>Skont il-qafas attwali tal-MR</w:t>
            </w:r>
            <w:r>
              <w:rPr>
                <w:b/>
                <w:i/>
              </w:rPr>
              <w:t>EL</w:t>
            </w:r>
            <w:r>
              <w:t xml:space="preserve">, l-MREL </w:t>
            </w:r>
            <w:r>
              <w:rPr>
                <w:b/>
                <w:i/>
              </w:rPr>
              <w:t xml:space="preserve">għall-entitajiet previsti għal likwidazzjoni </w:t>
            </w:r>
            <w:r>
              <w:t xml:space="preserve">huwa </w:t>
            </w:r>
            <w:r>
              <w:rPr>
                <w:b/>
                <w:i/>
              </w:rPr>
              <w:t>stabbilit, fil-maġġoranza tal-każijiet,</w:t>
            </w:r>
            <w:r>
              <w:t xml:space="preserve"> għall-ammont meħtieġ għall-assorbiment tat-telf, li jikkorrispondi għar-rekwiżiti ta’ fondi proprji. F’każijiet bħal dawn, l-MREL ma jinvolvi l-ebda rekwiż</w:t>
            </w:r>
            <w:r>
              <w:t>it addizzjonali direttament relatat mal-qafas ta’ riżoluzzjoni għall-entità ta’ likwidazzjoni. Dan ifisser li entità ta’ likwidazzjoni tista’ tikkonforma b’mod sħiħ mal-MREL billi tikkonforma mar-rekwiżiti ta’ fondi proprji u li deċiżjoni ddedikata tal-awt</w:t>
            </w:r>
            <w:r>
              <w:t>orità ta’ riżoluzzjoni li tiddetermina l-MREL ma tikkontribwix b’mod sinifikanti għar-riżolvibbiltà tal-entitajiet ta’ likwidazzjoni. Tali deċiżjoni tinvolvi ħafna obbligi proċedurali għall-awtoritajiet ta’ riżoluzzjoni u għall-entitajiet ta’ likwidazzjoni</w:t>
            </w:r>
            <w:r>
              <w:t xml:space="preserve"> mingħajr benefiċċju korrispondenti f’termini ta’ riżolvibbiltà </w:t>
            </w:r>
            <w:r>
              <w:lastRenderedPageBreak/>
              <w:t>mtejba. Għal dik ir-raġuni, l-awtoritajiet ta’ riżoluzzjoni jenħtieġ li ma jistabbilux MREL għall-entitajiet ta’ likwidazzjoni.</w:t>
            </w:r>
          </w:p>
        </w:tc>
      </w:tr>
    </w:tbl>
    <w:p w:rsidR="00A85A26" w:rsidRPr="0046639E" w:rsidRDefault="00AF65B7" w:rsidP="00A85A26">
      <w:pPr>
        <w:pStyle w:val="Olang"/>
        <w:rPr>
          <w:sz w:val="24"/>
          <w:szCs w:val="24"/>
        </w:rPr>
      </w:pPr>
      <w:r w:rsidRPr="0046639E">
        <w:rPr>
          <w:sz w:val="24"/>
          <w:szCs w:val="24"/>
        </w:rPr>
        <w:lastRenderedPageBreak/>
        <w:t xml:space="preserve">Or. </w:t>
      </w:r>
      <w:r w:rsidRPr="0046639E">
        <w:rPr>
          <w:rStyle w:val="HideTWBExt"/>
        </w:rPr>
        <w:t>&lt;Original&gt;</w:t>
      </w:r>
      <w:r w:rsidRPr="0046639E">
        <w:rPr>
          <w:rStyle w:val="HideTWBInt"/>
          <w:sz w:val="24"/>
          <w:szCs w:val="24"/>
        </w:rPr>
        <w:t>{EN}</w:t>
      </w:r>
      <w:r w:rsidRPr="0046639E">
        <w:rPr>
          <w:sz w:val="24"/>
          <w:szCs w:val="24"/>
        </w:rPr>
        <w:t>en</w:t>
      </w:r>
      <w:r w:rsidRPr="0046639E">
        <w:rPr>
          <w:rStyle w:val="HideTWBExt"/>
        </w:rPr>
        <w:t>&lt;/Original&gt;</w:t>
      </w:r>
    </w:p>
    <w:p w:rsidR="00A85A26" w:rsidRPr="0046639E" w:rsidRDefault="00AF65B7" w:rsidP="00A85A26">
      <w:pPr>
        <w:rPr>
          <w:szCs w:val="24"/>
        </w:rPr>
      </w:pPr>
      <w:r>
        <w:rPr>
          <w:rStyle w:val="HideTWBExt"/>
        </w:rPr>
        <w:t>&lt;/Amend&gt;</w:t>
      </w:r>
    </w:p>
    <w:p w:rsidR="00A85A26" w:rsidRPr="008C37B3" w:rsidRDefault="00AF65B7" w:rsidP="00A85A26">
      <w:pPr>
        <w:pStyle w:val="AMNumberTabs0"/>
        <w:keepNext/>
      </w:pPr>
      <w:r>
        <w:rPr>
          <w:rStyle w:val="HideTWBExt"/>
          <w:b w:val="0"/>
          <w:lang w:val="pt-P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pt-PT"/>
        </w:rPr>
        <w:t>&lt;NumAm&gt;</w:t>
      </w:r>
      <w:r>
        <w:t>6</w:t>
      </w:r>
      <w:r>
        <w:rPr>
          <w:rStyle w:val="HideTWBExt"/>
          <w:b w:val="0"/>
          <w:lang w:val="pt-PT"/>
        </w:rPr>
        <w:t>&lt;/NumAm&gt;</w:t>
      </w:r>
    </w:p>
    <w:p w:rsidR="00A85A26" w:rsidRPr="008C37B3" w:rsidRDefault="00AF65B7" w:rsidP="00A85A26">
      <w:pPr>
        <w:pStyle w:val="NormalBold12b"/>
        <w:keepNext/>
      </w:pPr>
      <w:r>
        <w:rPr>
          <w:rStyle w:val="HideTWBExt"/>
          <w:b w:val="0"/>
          <w:lang w:val="pt-PT"/>
        </w:rPr>
        <w:t>&lt;DocAmend&gt;</w:t>
      </w:r>
      <w:r>
        <w:t>Proposta għal direttiva</w:t>
      </w:r>
      <w:r>
        <w:rPr>
          <w:rStyle w:val="HideTWBExt"/>
          <w:b w:val="0"/>
          <w:lang w:val="pt-PT"/>
        </w:rPr>
        <w:t>&lt;/DocAmend&gt;</w:t>
      </w:r>
    </w:p>
    <w:p w:rsidR="00A85A26" w:rsidRPr="0046639E" w:rsidRDefault="00AF65B7" w:rsidP="00A85A26">
      <w:pPr>
        <w:pStyle w:val="NormalBold"/>
      </w:pPr>
      <w:r>
        <w:rPr>
          <w:rStyle w:val="HideTWBExt"/>
          <w:b w:val="0"/>
        </w:rPr>
        <w:t>&lt;Article&gt;</w:t>
      </w:r>
      <w:r>
        <w:t>Premessa 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87F81" w:rsidTr="00250087">
        <w:trPr>
          <w:jc w:val="center"/>
        </w:trPr>
        <w:tc>
          <w:tcPr>
            <w:tcW w:w="9752" w:type="dxa"/>
            <w:gridSpan w:val="2"/>
          </w:tcPr>
          <w:p w:rsidR="00A85A26" w:rsidRPr="0046639E" w:rsidRDefault="00A85A26" w:rsidP="00250087">
            <w:pPr>
              <w:keepNext/>
            </w:pP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Emenda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t>(8)</w:t>
            </w:r>
            <w:r>
              <w:tab/>
            </w:r>
            <w:r>
              <w:rPr>
                <w:b/>
                <w:i/>
              </w:rPr>
              <w:t>Fejn l-awtorità</w:t>
            </w:r>
            <w:r>
              <w:t xml:space="preserve"> ta’ riżoluzzjoni </w:t>
            </w:r>
            <w:r>
              <w:rPr>
                <w:b/>
                <w:i/>
              </w:rPr>
              <w:t>tqis li entità li tkun parti minn grupp</w:t>
            </w:r>
            <w:r>
              <w:t xml:space="preserve"> ta’ riżoluzzjoni tikkwalifika bħala entità ta’ likwida</w:t>
            </w:r>
            <w:r>
              <w:t>zzjoni</w:t>
            </w:r>
            <w:r>
              <w:rPr>
                <w:b/>
                <w:i/>
              </w:rPr>
              <w:t xml:space="preserve">, </w:t>
            </w:r>
            <w:r>
              <w:t xml:space="preserve">l-entitajiet intermedji jenħtieġ li </w:t>
            </w:r>
            <w:r>
              <w:rPr>
                <w:b/>
                <w:i/>
              </w:rPr>
              <w:t xml:space="preserve">ma jkunux </w:t>
            </w:r>
            <w:r>
              <w:t>meħtieġa jnaqqsu mill-kapaċità ta’ MREL intern tagħhom il-holdings tagħhom ta’ fondi proprji</w:t>
            </w:r>
            <w:r>
              <w:rPr>
                <w:b/>
                <w:i/>
              </w:rPr>
              <w:t xml:space="preserve"> jew </w:t>
            </w:r>
            <w:r>
              <w:t>obbligazzjonijiet</w:t>
            </w:r>
            <w:r>
              <w:rPr>
                <w:b/>
                <w:i/>
              </w:rPr>
              <w:t xml:space="preserve"> oħra </w:t>
            </w:r>
            <w:r>
              <w:t xml:space="preserve">li jissodisfaw il-kundizzjonijiet għall-konformità mal-MREL intern </w:t>
            </w:r>
            <w:r>
              <w:rPr>
                <w:b/>
                <w:bCs/>
                <w:i/>
                <w:iCs/>
              </w:rPr>
              <w:t>u</w:t>
            </w:r>
            <w:r>
              <w:t xml:space="preserve"> </w:t>
            </w:r>
            <w:r>
              <w:rPr>
                <w:b/>
                <w:i/>
              </w:rPr>
              <w:t>li jinħarġu m</w:t>
            </w:r>
            <w:r>
              <w:rPr>
                <w:b/>
                <w:i/>
              </w:rPr>
              <w:t>inn entitajiet</w:t>
            </w:r>
            <w:r>
              <w:rPr>
                <w:b/>
                <w:bCs/>
                <w:i/>
                <w:iCs/>
              </w:rPr>
              <w:t xml:space="preserve"> ta’</w:t>
            </w:r>
            <w:r>
              <w:t xml:space="preserve"> </w:t>
            </w:r>
            <w:r>
              <w:rPr>
                <w:b/>
                <w:i/>
              </w:rPr>
              <w:t>likwidazzjoni. F’każ bħal dan</w:t>
            </w:r>
            <w:r>
              <w:t xml:space="preserve">, </w:t>
            </w:r>
            <w:r>
              <w:rPr>
                <w:b/>
                <w:i/>
              </w:rPr>
              <w:t>l-entità ta’ likwidazzjoni ma għadhiex</w:t>
            </w:r>
            <w:r>
              <w:t xml:space="preserve"> meħtieġa </w:t>
            </w:r>
            <w:r>
              <w:rPr>
                <w:b/>
                <w:i/>
              </w:rPr>
              <w:t>tikkonforma mal-MREL, u għalhekk ma hemm l-ebda sottoskrizzjoni indiretta ta’ riżorsi eliġibbli għall-MREL intern permezz tal-katina ffurmata mill-entità</w:t>
            </w:r>
            <w:r>
              <w:t xml:space="preserve"> ta’ </w:t>
            </w:r>
            <w:r>
              <w:rPr>
                <w:b/>
                <w:i/>
              </w:rPr>
              <w:t>riżoluzzjoni</w:t>
            </w:r>
            <w:r>
              <w:t xml:space="preserve">, </w:t>
            </w:r>
            <w:r>
              <w:rPr>
                <w:b/>
                <w:i/>
              </w:rPr>
              <w:t>l-entità intermedja u l-entità ta’ likwidazzjoni</w:t>
            </w:r>
            <w:r>
              <w:t xml:space="preserve">. F’każ ta’ falliment, l-istrateġija ta’ riżoluzzjoni ma tipprevedix li l-entità ta’ likwidazzjoni tkun </w:t>
            </w:r>
            <w:r>
              <w:rPr>
                <w:b/>
                <w:i/>
              </w:rPr>
              <w:t>appoġġata</w:t>
            </w:r>
            <w:r>
              <w:t xml:space="preserve"> mill-entità ta’ riżoluzzjoni. Dan ifisser li l-upstreaming tat-telf mill-entità </w:t>
            </w:r>
            <w:r>
              <w:t>ta’ likwidazzjoni lill-entità ta’ riżoluzzjoni, permezz tal-entità intermedja, ma jkunx mistenni, u lanqas id-downstreaming tal-kapital fid-direzzjoni opposta. Dak l-aġġustament fl-ambitu tal-holdings li għandhom jitnaqqsu fil-kuntest tas-sottoskrizzjoni i</w:t>
            </w:r>
            <w:r>
              <w:t>ndiretta tar-riżorsi eliġibbli għall-MREL intern għalhekk ma jaffettwax is-solidità prudenzjali tal-qafas.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t>(8)</w:t>
            </w:r>
            <w:r>
              <w:tab/>
            </w:r>
            <w:r>
              <w:rPr>
                <w:b/>
                <w:i/>
              </w:rPr>
              <w:t>Meta jħejju pjanijiet</w:t>
            </w:r>
            <w:r>
              <w:t xml:space="preserve"> ta’ riżoluzzjoni </w:t>
            </w:r>
            <w:r>
              <w:rPr>
                <w:b/>
                <w:i/>
              </w:rPr>
              <w:t>u jivvalutaw ir-riżolvibbiltà tal-gruppi ta’ riżoluzzjoni, l-awtoritajiet</w:t>
            </w:r>
            <w:r>
              <w:t xml:space="preserve"> ta’ riżoluzzjoni </w:t>
            </w:r>
            <w:r>
              <w:rPr>
                <w:b/>
                <w:i/>
              </w:rPr>
              <w:t>jistgħu jikkuns</w:t>
            </w:r>
            <w:r>
              <w:rPr>
                <w:b/>
                <w:i/>
              </w:rPr>
              <w:t xml:space="preserve">idraw li entità fi grupp </w:t>
            </w:r>
            <w:r>
              <w:t>tikkwalifika bħala entità ta’ likwidazzjoni</w:t>
            </w:r>
            <w:r>
              <w:rPr>
                <w:b/>
                <w:i/>
              </w:rPr>
              <w:t xml:space="preserve"> peress</w:t>
            </w:r>
            <w:r>
              <w:t xml:space="preserve"> li </w:t>
            </w:r>
            <w:r>
              <w:rPr>
                <w:b/>
                <w:i/>
              </w:rPr>
              <w:t>l-eżerċizzju tas-setgħat ta’ valwazzjoni negattiva u ta’ konverżjoni mhuwiex previst fir-rigward</w:t>
            </w:r>
            <w:r>
              <w:t xml:space="preserve"> ta’ </w:t>
            </w:r>
            <w:r>
              <w:rPr>
                <w:b/>
                <w:i/>
              </w:rPr>
              <w:t>dik l-entità. Fejn dan ikun il-każ, l-entità fi grupp jista’ ma jkollhiex bż</w:t>
            </w:r>
            <w:r>
              <w:rPr>
                <w:b/>
                <w:i/>
              </w:rPr>
              <w:t>onn iżżomm fondi proprji u obbligazzjonijiet eliġibbli f’eċċess tar-rekwiżiti ta’ fondi proprji tagħha. F’dawk iċ-ċirkostanzi</w:t>
            </w:r>
            <w:r>
              <w:t xml:space="preserve">, </w:t>
            </w:r>
            <w:r>
              <w:rPr>
                <w:b/>
                <w:i/>
              </w:rPr>
              <w:t>jenħtieġ li l-entitajiet intermedji jkunu</w:t>
            </w:r>
            <w:r>
              <w:t xml:space="preserve"> meħtieġa jnaqqsu mill-kapaċità ta’ MREL intern tagħhom il-holdings tagħhom ta’ fondi pr</w:t>
            </w:r>
            <w:r>
              <w:t>oprji</w:t>
            </w:r>
            <w:r>
              <w:rPr>
                <w:b/>
                <w:i/>
              </w:rPr>
              <w:t xml:space="preserve"> li jinħarġu minn entitajiet ta’ likwidazzjoni li mhumiex soġġetti għal deċiżjoni</w:t>
            </w:r>
            <w:r>
              <w:rPr>
                <w:b/>
                <w:bCs/>
                <w:i/>
                <w:iCs/>
              </w:rPr>
              <w:t xml:space="preserve"> ta’</w:t>
            </w:r>
            <w:r>
              <w:t xml:space="preserve"> </w:t>
            </w:r>
            <w:r>
              <w:rPr>
                <w:b/>
                <w:i/>
              </w:rPr>
              <w:t>MREL. Madankollu</w:t>
            </w:r>
            <w:r>
              <w:t xml:space="preserve">, </w:t>
            </w:r>
            <w:r>
              <w:rPr>
                <w:b/>
                <w:i/>
              </w:rPr>
              <w:t xml:space="preserve">jenħtieġ li ma jkunux meħtieġa jnaqqsu </w:t>
            </w:r>
            <w:r>
              <w:t>obbligazzjonijiet li jissodisfaw il-kundizzjonijiet għall-konformità mal-MREL intern. F’każ ta’ falliment, l</w:t>
            </w:r>
            <w:r>
              <w:t xml:space="preserve">-istrateġija ta’ riżoluzzjoni ma tipprevedix li l-entità ta’ likwidazzjoni tkun </w:t>
            </w:r>
            <w:r>
              <w:rPr>
                <w:b/>
                <w:i/>
              </w:rPr>
              <w:t>rikapitalizzata</w:t>
            </w:r>
            <w:r>
              <w:t xml:space="preserve"> mill-entità ta’ riżoluzzjoni. Dan ifisser li l-upstreaming tat-telf</w:t>
            </w:r>
            <w:r>
              <w:rPr>
                <w:b/>
                <w:i/>
              </w:rPr>
              <w:t xml:space="preserve"> li jaqbeż ir-rekwiżiti ta’ fondi proprji eżistenti</w:t>
            </w:r>
            <w:r>
              <w:t xml:space="preserve"> mill-entità ta’ likwidazzjoni lill-entità ta’ riżoluzzjoni, permezz tal-entità intermedja, ma jkunx mistenni, u lanqas id-downstreaming tal-kapital fid-direzzjoni opposta. Dak l-aġġustament fl-ambitu tal-holdings li għandhom jitnaqqsu fil-kuntest tas-sott</w:t>
            </w:r>
            <w:r>
              <w:t xml:space="preserve">oskrizzjoni indiretta tar-riżorsi </w:t>
            </w:r>
            <w:r>
              <w:lastRenderedPageBreak/>
              <w:t>eliġibbli għall-MREL intern għalhekk ma jaffettwax is-solidità prudenzjali tal-qafas.</w:t>
            </w:r>
          </w:p>
        </w:tc>
      </w:tr>
    </w:tbl>
    <w:p w:rsidR="00A85A26" w:rsidRPr="0046639E" w:rsidRDefault="00AF65B7" w:rsidP="00A85A26">
      <w:pPr>
        <w:pStyle w:val="Olang"/>
        <w:rPr>
          <w:sz w:val="24"/>
          <w:szCs w:val="24"/>
        </w:rPr>
      </w:pPr>
      <w:r w:rsidRPr="0046639E">
        <w:rPr>
          <w:sz w:val="24"/>
          <w:szCs w:val="24"/>
        </w:rPr>
        <w:lastRenderedPageBreak/>
        <w:t xml:space="preserve">Or. </w:t>
      </w:r>
      <w:r w:rsidRPr="0046639E">
        <w:rPr>
          <w:rStyle w:val="HideTWBExt"/>
        </w:rPr>
        <w:t>&lt;Original&gt;</w:t>
      </w:r>
      <w:r w:rsidRPr="0046639E">
        <w:rPr>
          <w:rStyle w:val="HideTWBInt"/>
          <w:sz w:val="24"/>
          <w:szCs w:val="24"/>
        </w:rPr>
        <w:t>{EN}</w:t>
      </w:r>
      <w:r w:rsidRPr="0046639E">
        <w:rPr>
          <w:sz w:val="24"/>
          <w:szCs w:val="24"/>
        </w:rPr>
        <w:t>en</w:t>
      </w:r>
      <w:r w:rsidRPr="0046639E">
        <w:rPr>
          <w:rStyle w:val="HideTWBExt"/>
        </w:rPr>
        <w:t>&lt;/Original&gt;</w:t>
      </w:r>
    </w:p>
    <w:p w:rsidR="00A85A26" w:rsidRPr="0046639E" w:rsidRDefault="00AF65B7" w:rsidP="00A85A26">
      <w:pPr>
        <w:rPr>
          <w:szCs w:val="24"/>
        </w:rPr>
      </w:pPr>
      <w:r>
        <w:rPr>
          <w:rStyle w:val="HideTWBExt"/>
        </w:rPr>
        <w:t>&lt;/Amend&gt;</w:t>
      </w:r>
    </w:p>
    <w:p w:rsidR="00A85A26" w:rsidRPr="008C37B3" w:rsidRDefault="00AF65B7" w:rsidP="00A85A26">
      <w:pPr>
        <w:pStyle w:val="AMNumberTabs0"/>
        <w:keepNext/>
      </w:pPr>
      <w:r>
        <w:rPr>
          <w:rStyle w:val="HideTWBExt"/>
          <w:b w:val="0"/>
          <w:lang w:val="pt-P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pt-PT"/>
        </w:rPr>
        <w:t>&lt;NumAm&gt;</w:t>
      </w:r>
      <w:r>
        <w:t>7</w:t>
      </w:r>
      <w:r>
        <w:rPr>
          <w:rStyle w:val="HideTWBExt"/>
          <w:b w:val="0"/>
          <w:lang w:val="pt-PT"/>
        </w:rPr>
        <w:t>&lt;/NumAm&gt;</w:t>
      </w:r>
    </w:p>
    <w:p w:rsidR="00A85A26" w:rsidRPr="008C37B3" w:rsidRDefault="00AF65B7" w:rsidP="00A85A26">
      <w:pPr>
        <w:pStyle w:val="NormalBold12b"/>
        <w:keepNext/>
      </w:pPr>
      <w:r>
        <w:rPr>
          <w:rStyle w:val="HideTWBExt"/>
          <w:b w:val="0"/>
          <w:lang w:val="pt-PT"/>
        </w:rPr>
        <w:t>&lt;DocAmend&gt;</w:t>
      </w:r>
      <w:r>
        <w:t>Proposta għal direttiva</w:t>
      </w:r>
      <w:r>
        <w:rPr>
          <w:rStyle w:val="HideTWBExt"/>
          <w:b w:val="0"/>
          <w:lang w:val="pt-PT"/>
        </w:rPr>
        <w:t>&lt;/DocAmend&gt;</w:t>
      </w:r>
    </w:p>
    <w:p w:rsidR="00A85A26" w:rsidRPr="0046639E" w:rsidRDefault="00AF65B7" w:rsidP="00A85A26">
      <w:pPr>
        <w:pStyle w:val="NormalBold"/>
      </w:pPr>
      <w:r>
        <w:rPr>
          <w:rStyle w:val="HideTWBExt"/>
          <w:b w:val="0"/>
        </w:rPr>
        <w:t>&lt;Article&gt;</w:t>
      </w:r>
      <w:r>
        <w:t>Premessa</w:t>
      </w:r>
      <w:r>
        <w:t xml:space="preserve"> 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87F81" w:rsidTr="00250087">
        <w:trPr>
          <w:jc w:val="center"/>
        </w:trPr>
        <w:tc>
          <w:tcPr>
            <w:tcW w:w="9752" w:type="dxa"/>
            <w:gridSpan w:val="2"/>
          </w:tcPr>
          <w:p w:rsidR="00A85A26" w:rsidRPr="0046639E" w:rsidRDefault="00A85A26" w:rsidP="00250087">
            <w:pPr>
              <w:keepNext/>
            </w:pP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Emenda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t>(9)</w:t>
            </w:r>
            <w:r>
              <w:tab/>
              <w:t>L-objettiv ewlieni tar-reġim ta’ permessi għat-tnaqqis tal-istrumenti ta’ obbligazzjonijiet eliġibbli stabbilit fl-Artikoli 77(2) u 78a tar-Regolament (UE) Nru 575/2013, li huwa applikabbli wkoll għa</w:t>
            </w:r>
            <w:r>
              <w:t>ll-istituzzjonijiet u għall-entitajiet soġġetti għall-MREL u għall-obbligazzjonijiet maħruġa għall-konformità mal-MREL, huwa li l-awtoritajiet ta’ riżoluzzjoni jkunu jistgħu jimmonitorjaw l-azzjonijiet li jirriżultaw fi tnaqqis tal-istokk ta’ obbligazzjoni</w:t>
            </w:r>
            <w:r>
              <w:t xml:space="preserve">jiet eliġibbli u jipprojbixxu kwalunkwe azzjoni li tammonta għal tnaqqis lil hinn minn livell li l-awtoritajiet ta’ riżoluzzjoni jqisu adegwat. Fejn l-awtorità ta’ riżoluzzjoni ma tkunx adottat deċiżjoni li tiddetermina l-MREL fir-rigward ta’ istituzzjoni </w:t>
            </w:r>
            <w:r>
              <w:t xml:space="preserve">jew entità, dak l-objettiv ma jkunx rilevanti. </w:t>
            </w:r>
            <w:r>
              <w:rPr>
                <w:b/>
                <w:i/>
              </w:rPr>
              <w:t>Barra minn hekk, l-istituzzjonijiet jew l-entitajiet li ma humiex soġġetti għal deċiżjoni li tiddetermina l-MREL ma għandhomx obbligazzjonijiet eliġibbli fuq il-karta bilanċjali tagħhom.</w:t>
            </w:r>
            <w:r>
              <w:t xml:space="preserve"> Għalhekk, l-istituzzjo</w:t>
            </w:r>
            <w:r>
              <w:t xml:space="preserve">nijiet jew l-entitajiet li għalihom ma tkun ġiet adottata l-ebda deċiżjoni li tiddetermina l-MREL jenħtieġ li ma jkunux meħtieġa jiksbu l-permess minn qabel tal-awtorità ta’ riżoluzzjoni biex iwettqu s-sejħa, it-tifdija, il-ħlas lura jew ix-xiri mill-ġdid </w:t>
            </w:r>
            <w:r>
              <w:t>ta’ obbligazzjonijiet li jissodisfaw ir-rekwiżiti ta’ eliġibbiltà għall-MREL.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t>(9)</w:t>
            </w:r>
            <w:r>
              <w:tab/>
              <w:t>L-objettiv ewlieni tar-reġim ta’ permessi għat-tnaqqis tal-istrumenti ta’ obbligazzjonijiet eliġibbli stabbilit fl-Artikoli 77(2) u 78a tar-Regolament (UE) Nru 575/2013, li h</w:t>
            </w:r>
            <w:r>
              <w:t>uwa applikabbli wkoll għall-istituzzjonijiet u għall-entitajiet soġġetti għall-MREL u għall-obbligazzjonijiet maħruġa għall-konformità mal-MREL, huwa li l-awtoritajiet ta’ riżoluzzjoni jkunu jistgħu jimmonitorjaw l-azzjonijiet li jirriżultaw fi tnaqqis tal</w:t>
            </w:r>
            <w:r>
              <w:t>-istokk ta’ obbligazzjonijiet eliġibbli u jipprojbixxu kwalunkwe azzjoni li tammonta għal tnaqqis lil hinn minn livell li l-awtoritajiet ta’ riżoluzzjoni jqisu adegwat. Fejn l-awtorità ta’ riżoluzzjoni ma tkunx adottat deċiżjoni li tiddetermina l-MREL fir-</w:t>
            </w:r>
            <w:r>
              <w:t>rigward ta’ istituzzjoni jew entità, dak l-objettiv ma jkunx rilevanti. Għalhekk, l-istituzzjonijiet jew l-entitajiet li għalihom ma tkun ġiet adottata l-ebda deċiżjoni li tiddetermina l-MREL jenħtieġ li ma jkunux meħtieġa jiksbu l-permess minn qabel tal-a</w:t>
            </w:r>
            <w:r>
              <w:t>wtorità ta’ riżoluzzjoni biex iwettqu s-sejħa, it-tifdija, il-ħlas lura jew ix-xiri mill-ġdid ta’ obbligazzjonijiet li jissodisfaw ir-rekwiżiti ta’ eliġibbiltà għall-MREL.</w:t>
            </w:r>
          </w:p>
        </w:tc>
      </w:tr>
    </w:tbl>
    <w:p w:rsidR="00A85A26" w:rsidRPr="0046639E" w:rsidRDefault="00AF65B7" w:rsidP="00A85A26">
      <w:pPr>
        <w:pStyle w:val="Olang"/>
        <w:rPr>
          <w:sz w:val="24"/>
          <w:szCs w:val="24"/>
        </w:rPr>
      </w:pPr>
      <w:r w:rsidRPr="0046639E">
        <w:rPr>
          <w:sz w:val="24"/>
          <w:szCs w:val="24"/>
        </w:rPr>
        <w:t xml:space="preserve">Or. </w:t>
      </w:r>
      <w:r w:rsidRPr="0046639E">
        <w:rPr>
          <w:rStyle w:val="HideTWBExt"/>
        </w:rPr>
        <w:t>&lt;Original&gt;</w:t>
      </w:r>
      <w:r w:rsidRPr="0046639E">
        <w:rPr>
          <w:rStyle w:val="HideTWBInt"/>
          <w:sz w:val="24"/>
          <w:szCs w:val="24"/>
        </w:rPr>
        <w:t>{EN}</w:t>
      </w:r>
      <w:r w:rsidRPr="0046639E">
        <w:rPr>
          <w:sz w:val="24"/>
          <w:szCs w:val="24"/>
        </w:rPr>
        <w:t>en</w:t>
      </w:r>
      <w:r w:rsidRPr="0046639E">
        <w:rPr>
          <w:rStyle w:val="HideTWBExt"/>
        </w:rPr>
        <w:t>&lt;/Original&gt;</w:t>
      </w:r>
    </w:p>
    <w:p w:rsidR="00A85A26" w:rsidRPr="0046639E" w:rsidRDefault="00AF65B7" w:rsidP="00A85A26">
      <w:pPr>
        <w:rPr>
          <w:szCs w:val="24"/>
        </w:rPr>
      </w:pPr>
      <w:r>
        <w:rPr>
          <w:rStyle w:val="HideTWBExt"/>
        </w:rPr>
        <w:t>&lt;/Amend&gt;</w:t>
      </w:r>
    </w:p>
    <w:p w:rsidR="00A85A26" w:rsidRPr="008C37B3" w:rsidRDefault="00AF65B7" w:rsidP="00A85A26">
      <w:pPr>
        <w:pStyle w:val="AMNumberTabs0"/>
        <w:keepNext/>
      </w:pPr>
      <w:r>
        <w:rPr>
          <w:rStyle w:val="HideTWBExt"/>
          <w:b w:val="0"/>
          <w:lang w:val="pt-PT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pt-PT"/>
        </w:rPr>
        <w:t>&lt;NumAm&gt;</w:t>
      </w:r>
      <w:r>
        <w:t>8</w:t>
      </w:r>
      <w:r>
        <w:rPr>
          <w:rStyle w:val="HideTWBExt"/>
          <w:b w:val="0"/>
          <w:lang w:val="pt-PT"/>
        </w:rPr>
        <w:t>&lt;/NumAm&gt;</w:t>
      </w:r>
    </w:p>
    <w:p w:rsidR="00A85A26" w:rsidRPr="008C37B3" w:rsidRDefault="00AF65B7" w:rsidP="00A85A26">
      <w:pPr>
        <w:pStyle w:val="NormalBold12b"/>
        <w:keepNext/>
      </w:pPr>
      <w:r>
        <w:rPr>
          <w:rStyle w:val="HideTWBExt"/>
          <w:b w:val="0"/>
          <w:lang w:val="pt-PT"/>
        </w:rPr>
        <w:t>&lt;DocAmend&gt;</w:t>
      </w:r>
      <w:r>
        <w:t>Proposta għal direttiva</w:t>
      </w:r>
      <w:r>
        <w:rPr>
          <w:rStyle w:val="HideTWBExt"/>
          <w:b w:val="0"/>
          <w:lang w:val="pt-PT"/>
        </w:rPr>
        <w:t>&lt;/DocAmend&gt;</w:t>
      </w:r>
    </w:p>
    <w:p w:rsidR="00A85A26" w:rsidRPr="0046639E" w:rsidRDefault="00AF65B7" w:rsidP="00A85A26">
      <w:pPr>
        <w:pStyle w:val="NormalBold"/>
      </w:pPr>
      <w:r>
        <w:rPr>
          <w:rStyle w:val="HideTWBExt"/>
          <w:b w:val="0"/>
        </w:rPr>
        <w:t>&lt;Article&gt;</w:t>
      </w:r>
      <w:r>
        <w:t>Premessa 10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87F81" w:rsidTr="00250087">
        <w:trPr>
          <w:jc w:val="center"/>
        </w:trPr>
        <w:tc>
          <w:tcPr>
            <w:tcW w:w="9752" w:type="dxa"/>
            <w:gridSpan w:val="2"/>
          </w:tcPr>
          <w:p w:rsidR="00A85A26" w:rsidRPr="0046639E" w:rsidRDefault="00A85A26" w:rsidP="00250087">
            <w:pPr>
              <w:keepNext/>
            </w:pP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Emenda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t>(10)</w:t>
            </w:r>
            <w:r>
              <w:tab/>
              <w:t xml:space="preserve">Hemm entitajiet ta’ likwidazzjoni li għalihom l-MREL jaqbeż l-ammont </w:t>
            </w:r>
            <w:r>
              <w:rPr>
                <w:b/>
                <w:i/>
              </w:rPr>
              <w:t>tar-rekwiżiti ta’ fondi proprji, f’liema każ</w:t>
            </w:r>
            <w:r>
              <w:t xml:space="preserve"> l-awtoritajiet ta’ riżoluzzjoni </w:t>
            </w:r>
            <w:r>
              <w:rPr>
                <w:b/>
                <w:i/>
              </w:rPr>
              <w:t>jenħtieġ</w:t>
            </w:r>
            <w:r>
              <w:t xml:space="preserve"> li </w:t>
            </w:r>
            <w:r>
              <w:rPr>
                <w:b/>
                <w:i/>
              </w:rPr>
              <w:t>jkunu jistgħu jistabbilixxu l-MREL. Dak l-MREL jenħtieġ li</w:t>
            </w:r>
            <w:r>
              <w:t xml:space="preserve"> jiġi </w:t>
            </w:r>
            <w:r>
              <w:rPr>
                <w:b/>
                <w:i/>
              </w:rPr>
              <w:t>stabbilit f’ammont li jaqbeż l-ammont għall-assorbiment tat-telf meta</w:t>
            </w:r>
            <w:r>
              <w:t xml:space="preserve"> l-awtoritajiet ta’ riżoluzzjoni </w:t>
            </w:r>
            <w:r>
              <w:rPr>
                <w:b/>
                <w:i/>
              </w:rPr>
              <w:t>jqisu li tali ammont ikun meħtieġ</w:t>
            </w:r>
            <w:r>
              <w:t xml:space="preserve"> biex </w:t>
            </w:r>
            <w:r>
              <w:rPr>
                <w:b/>
                <w:i/>
              </w:rPr>
              <w:t>tiġi p</w:t>
            </w:r>
            <w:r>
              <w:rPr>
                <w:b/>
                <w:i/>
              </w:rPr>
              <w:t>rotetta l-istabbiltà finanzjarja jew</w:t>
            </w:r>
            <w:r>
              <w:t xml:space="preserve"> biex </w:t>
            </w:r>
            <w:r>
              <w:rPr>
                <w:b/>
                <w:i/>
              </w:rPr>
              <w:t>jiġi indirizzat ir-riskju ta’ kontaġju għas-sistema finanzjarja.</w:t>
            </w:r>
            <w:r>
              <w:t xml:space="preserve"> F’dawk is-sitwazzjonijiet, l-entità ta’ likwidazzjoni jenħtieġ li tikkonforma mal-MREL u jenħtieġ li ma tkunx eżentata mir-reġim ta’ permess minn qab</w:t>
            </w:r>
            <w:r>
              <w:t>el stabbilit fl-Artikoli 77(2) u 78a tar-Regolament (UE) Nru 575/2013. Kwalunkwe entità intermedja li tappartjeni għall-istess grupp ta’ riżoluzzjoni bħall-entità ta’ likwidazzjoni kkonċernata jenħtieġ li tibqa’ meħtieġa tnaqqas mill-kapaċità ta’ MREL inte</w:t>
            </w:r>
            <w:r>
              <w:t>rn tagħha l-holdings tagħha ta’ riżorsi eliġibbli għall-MREL intern maħruġa minn dik l-entità ta’ likwidazzjoni. Barra minn hekk, peress li l-proċedimenti ta’ likwidazzjoni jseħħu fil-livell tal-entità ġuridika, l-entitajiet ta’ likwidazzjoni li għadhom so</w:t>
            </w:r>
            <w:r>
              <w:t xml:space="preserve">ġġetti għall-MREL jenħtieġ li jikkonformaw mar-rekwiżit fuq bażi individwali biss. Fl-aħħar nett, ċerti rekwiżiti ta’ eliġibbiltà relatati mas-sjieda tal-obbligazzjoni kkonċernata ma humiex rilevanti, peress li </w:t>
            </w:r>
            <w:r>
              <w:rPr>
                <w:b/>
                <w:i/>
              </w:rPr>
              <w:t>ma hemmx bżonn li jiġi żgurat it-trasferiment</w:t>
            </w:r>
            <w:r>
              <w:rPr>
                <w:b/>
                <w:i/>
              </w:rPr>
              <w:t xml:space="preserve"> tat-telf u tal-kapital mill-entità ta’ likwidazzjoni lil entità</w:t>
            </w:r>
            <w:r>
              <w:t xml:space="preserve"> ta’ riżoluzzjoni, u għalhekk jenħtieġ li ma japplikawx.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t>(10)</w:t>
            </w:r>
            <w:r>
              <w:tab/>
              <w:t xml:space="preserve">Hemm entitajiet ta’ likwidazzjoni li għalihom </w:t>
            </w:r>
            <w:r>
              <w:rPr>
                <w:b/>
                <w:i/>
              </w:rPr>
              <w:t xml:space="preserve">jenħtieġ li </w:t>
            </w:r>
            <w:r>
              <w:t xml:space="preserve">l-MREL jaqbeż l-ammont </w:t>
            </w:r>
            <w:r>
              <w:rPr>
                <w:b/>
                <w:i/>
              </w:rPr>
              <w:t>għall-assorbiment tat-telf. Dak huwa l-każ fejn</w:t>
            </w:r>
            <w:r>
              <w:t xml:space="preserve"> l-awtoritajiet ta’ riżoluzzjoni </w:t>
            </w:r>
            <w:r>
              <w:rPr>
                <w:b/>
                <w:i/>
              </w:rPr>
              <w:t>jqisu</w:t>
            </w:r>
            <w:r>
              <w:t xml:space="preserve"> li </w:t>
            </w:r>
            <w:r>
              <w:rPr>
                <w:b/>
                <w:i/>
              </w:rPr>
              <w:t>tali ammont ikbar ikun meħtieġ biex tiġi protetta l-istabbiltà finanzjarja jew biex</w:t>
            </w:r>
            <w:r>
              <w:t xml:space="preserve"> jiġi </w:t>
            </w:r>
            <w:r>
              <w:rPr>
                <w:b/>
                <w:i/>
              </w:rPr>
              <w:t>indirizzat ir-riskju ta’ kontaġju għas-sistema finanzjarja.</w:t>
            </w:r>
            <w:r>
              <w:t xml:space="preserve"> F’dawk is-sitwazzjonijiet,</w:t>
            </w:r>
            <w:r>
              <w:rPr>
                <w:b/>
                <w:i/>
              </w:rPr>
              <w:t xml:space="preserve"> jenħtieġ li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l-awtoritajiet ta’ riżoluz</w:t>
            </w:r>
            <w:r>
              <w:rPr>
                <w:b/>
                <w:bCs/>
                <w:i/>
                <w:iCs/>
              </w:rPr>
              <w:t>zjoni</w:t>
            </w:r>
            <w:r>
              <w:t xml:space="preserve"> </w:t>
            </w:r>
            <w:r>
              <w:rPr>
                <w:b/>
                <w:i/>
              </w:rPr>
              <w:t>jiddeterminaw MREL għall-entità ta’ likwidazzjoni li jikkonsisti f’ammont suffiċjenti</w:t>
            </w:r>
            <w:r>
              <w:t xml:space="preserve"> biex </w:t>
            </w:r>
            <w:r>
              <w:rPr>
                <w:b/>
                <w:i/>
              </w:rPr>
              <w:t>jassorbi t-telf, miżjud bl-ammont meħtieġ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biex</w:t>
            </w:r>
            <w:r>
              <w:t xml:space="preserve"> </w:t>
            </w:r>
            <w:r>
              <w:rPr>
                <w:b/>
                <w:i/>
              </w:rPr>
              <w:t>jiġu indirizzati kif xieraq ir-riskji potenzjali identifikati mill-awtoritajiet ta’ riżoluzzjoni.</w:t>
            </w:r>
            <w:r>
              <w:t xml:space="preserve"> L-entità ta’ l</w:t>
            </w:r>
            <w:r>
              <w:t>ikwidazzjoni jenħtieġ li tikkonforma mal-MREL u jenħtieġ li ma tkunx eżentata mir-reġim ta’ permess minn qabel stabbilit fl-Artikoli 77(2) u 78a tar-Regolament (UE) Nru 575/2013. Kwalunkwe entità intermedja li tappartjeni għall-istess grupp ta’ riżoluzzjon</w:t>
            </w:r>
            <w:r>
              <w:t>i bħall-entità ta’ likwidazzjoni kkonċernata jenħtieġ li tibqa’ meħtieġa tnaqqas mill-kapaċità ta’ MREL intern tagħha l-holdings tagħha ta’ riżorsi eliġibbli għall-MREL intern maħruġa minn dik l-entità ta’ likwidazzjoni. Barra minn hekk, peress li l-proċed</w:t>
            </w:r>
            <w:r>
              <w:t>imenti ta’ likwidazzjoni jseħħu fil-livell tal-entità ġuridika, l-entitajiet ta’ likwidazzjoni li għadhom soġġetti għall-MREL jenħtieġ li jikkonformaw mar-rekwiżit fuq bażi individwali biss. Fl-aħħar nett, ċerti rekwiżiti ta’ eliġibbiltà relatati mas-sjied</w:t>
            </w:r>
            <w:r>
              <w:t xml:space="preserve">a tal-obbligazzjoni kkonċernata ma humiex rilevanti, peress li </w:t>
            </w:r>
            <w:r>
              <w:rPr>
                <w:b/>
                <w:i/>
              </w:rPr>
              <w:t>mingħajr l-eżerċizzju tas-setgħat ta’ valwazzjoni negattiva u ta’ konverżjoni ma jkunx hemm bżonn li jiġi preservat il-kontroll tas-sussidjarja mill-entità</w:t>
            </w:r>
            <w:r>
              <w:t xml:space="preserve"> ta’ riżoluzzjoni, u għalhekk jenħtieġ</w:t>
            </w:r>
            <w:r>
              <w:t xml:space="preserve"> </w:t>
            </w:r>
            <w:r>
              <w:lastRenderedPageBreak/>
              <w:t>li ma japplikawx.</w:t>
            </w:r>
          </w:p>
        </w:tc>
      </w:tr>
    </w:tbl>
    <w:p w:rsidR="00A85A26" w:rsidRPr="0046639E" w:rsidRDefault="00AF65B7" w:rsidP="00A85A26">
      <w:pPr>
        <w:pStyle w:val="Olang"/>
        <w:rPr>
          <w:sz w:val="24"/>
          <w:szCs w:val="24"/>
        </w:rPr>
      </w:pPr>
      <w:r w:rsidRPr="0046639E">
        <w:rPr>
          <w:sz w:val="24"/>
          <w:szCs w:val="24"/>
        </w:rPr>
        <w:lastRenderedPageBreak/>
        <w:t xml:space="preserve">Or. </w:t>
      </w:r>
      <w:r w:rsidRPr="0046639E">
        <w:rPr>
          <w:rStyle w:val="HideTWBExt"/>
        </w:rPr>
        <w:t>&lt;Original&gt;</w:t>
      </w:r>
      <w:r w:rsidRPr="0046639E">
        <w:rPr>
          <w:rStyle w:val="HideTWBInt"/>
          <w:sz w:val="24"/>
          <w:szCs w:val="24"/>
        </w:rPr>
        <w:t>{EN}</w:t>
      </w:r>
      <w:r w:rsidRPr="0046639E">
        <w:rPr>
          <w:sz w:val="24"/>
          <w:szCs w:val="24"/>
        </w:rPr>
        <w:t>en</w:t>
      </w:r>
      <w:r w:rsidRPr="0046639E">
        <w:rPr>
          <w:rStyle w:val="HideTWBExt"/>
        </w:rPr>
        <w:t>&lt;/Original&gt;</w:t>
      </w:r>
    </w:p>
    <w:p w:rsidR="00A85A26" w:rsidRPr="0046639E" w:rsidRDefault="00AF65B7" w:rsidP="00A85A26">
      <w:pPr>
        <w:rPr>
          <w:szCs w:val="24"/>
        </w:rPr>
      </w:pPr>
      <w:r>
        <w:rPr>
          <w:rStyle w:val="HideTWBExt"/>
        </w:rPr>
        <w:t>&lt;/Amend&gt;</w:t>
      </w:r>
    </w:p>
    <w:p w:rsidR="00A85A26" w:rsidRPr="008C37B3" w:rsidRDefault="00AF65B7" w:rsidP="00A85A26">
      <w:pPr>
        <w:pStyle w:val="AMNumberTabs0"/>
        <w:keepNext/>
      </w:pPr>
      <w:r>
        <w:rPr>
          <w:rStyle w:val="HideTWBExt"/>
          <w:b w:val="0"/>
          <w:lang w:val="pt-P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pt-PT"/>
        </w:rPr>
        <w:t>&lt;NumAm&gt;</w:t>
      </w:r>
      <w:r>
        <w:t>9</w:t>
      </w:r>
      <w:r>
        <w:rPr>
          <w:rStyle w:val="HideTWBExt"/>
          <w:b w:val="0"/>
          <w:lang w:val="pt-PT"/>
        </w:rPr>
        <w:t>&lt;/NumAm&gt;</w:t>
      </w:r>
    </w:p>
    <w:p w:rsidR="00A85A26" w:rsidRPr="008C37B3" w:rsidRDefault="00AF65B7" w:rsidP="00A85A26">
      <w:pPr>
        <w:pStyle w:val="NormalBold12b"/>
        <w:keepNext/>
      </w:pPr>
      <w:r>
        <w:rPr>
          <w:rStyle w:val="HideTWBExt"/>
          <w:b w:val="0"/>
          <w:lang w:val="pt-PT"/>
        </w:rPr>
        <w:t>&lt;DocAmend&gt;</w:t>
      </w:r>
      <w:r>
        <w:t>Proposta għal direttiva</w:t>
      </w:r>
      <w:r>
        <w:rPr>
          <w:rStyle w:val="HideTWBExt"/>
          <w:b w:val="0"/>
          <w:lang w:val="pt-PT"/>
        </w:rPr>
        <w:t>&lt;/DocAmend&gt;</w:t>
      </w:r>
    </w:p>
    <w:p w:rsidR="00A85A26" w:rsidRPr="0046639E" w:rsidRDefault="00AF65B7" w:rsidP="00A85A26">
      <w:pPr>
        <w:pStyle w:val="NormalBold"/>
      </w:pPr>
      <w:r>
        <w:rPr>
          <w:rStyle w:val="HideTWBExt"/>
          <w:b w:val="0"/>
        </w:rPr>
        <w:t>&lt;Article&gt;</w:t>
      </w:r>
      <w:r>
        <w:t>Premessa 14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87F81" w:rsidTr="00250087">
        <w:trPr>
          <w:jc w:val="center"/>
        </w:trPr>
        <w:tc>
          <w:tcPr>
            <w:tcW w:w="9752" w:type="dxa"/>
            <w:gridSpan w:val="2"/>
          </w:tcPr>
          <w:p w:rsidR="00A85A26" w:rsidRPr="0046639E" w:rsidRDefault="00A85A26" w:rsidP="00250087">
            <w:pPr>
              <w:keepNext/>
            </w:pP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Emenda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t>(14)</w:t>
            </w:r>
            <w:r>
              <w:tab/>
            </w:r>
            <w:r>
              <w:t xml:space="preserve">Peress li l-objettivi ta’ din id-Direttiva, jiġifieri li jiġi aġġustat it-trattament tal-entitajiet ta’ likwidazzjoni skont il-qafas tal-MREL u </w:t>
            </w:r>
            <w:r>
              <w:rPr>
                <w:b/>
                <w:i/>
              </w:rPr>
              <w:t>l-possibbiltajiet</w:t>
            </w:r>
            <w:r>
              <w:t xml:space="preserve"> ta’ </w:t>
            </w:r>
            <w:r>
              <w:rPr>
                <w:b/>
                <w:i/>
              </w:rPr>
              <w:t>konformità mal-MREL</w:t>
            </w:r>
            <w:r>
              <w:t xml:space="preserve"> intern fuq bażi konsolidata, ma jistgħux jintlaħqu b’mod suffiċjenti m</w:t>
            </w:r>
            <w:r>
              <w:t>ill-Istati Membri iżda pjuttost jistgħu, billi jiġu emendati r-regoli li diġà huma stabbiliti fil-livell tal-Unjoni, jintlaħqu aħjar fil-livell tal-Unjoni, l-Unjoni tista’ tadotta miżuri, f’konformità mal-prinċipju tas-sussidjarjetà kif stabbilit fl-Artiko</w:t>
            </w:r>
            <w:r>
              <w:t>lu 5 tat-Trattat dwar l-Unjoni Ewropea. F’konformità mal-prinċipju tal-proporzjonalità kif stabbilit f’dak l-Artikolu, din id-Direttiva ma tmurx lil hinn minn dak li huwa meħtieġ sabiex jintlaħqu dawk l-objettivi,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t>(14)</w:t>
            </w:r>
            <w:r>
              <w:tab/>
              <w:t>Peress li l-objettivi ta’ din id-Dire</w:t>
            </w:r>
            <w:r>
              <w:t xml:space="preserve">ttiva, jiġifieri li jiġi aġġustat it-trattament tal-entitajiet ta’ likwidazzjoni skont il-qafas tal-MREL u </w:t>
            </w:r>
            <w:r>
              <w:rPr>
                <w:b/>
                <w:i/>
              </w:rPr>
              <w:t>l-possibbiltà għal awtoritajiet</w:t>
            </w:r>
            <w:r>
              <w:t xml:space="preserve"> ta’ </w:t>
            </w:r>
            <w:r>
              <w:rPr>
                <w:b/>
                <w:i/>
              </w:rPr>
              <w:t>riżoluzzjoni li jiddeterminaw MREL</w:t>
            </w:r>
            <w:r>
              <w:t xml:space="preserve"> intern fuq bażi konsolidata, ma jistgħux jintlaħqu b’mod suffiċjenti mill-Ista</w:t>
            </w:r>
            <w:r>
              <w:t>ti Membri iżda pjuttost jistgħu, billi jiġu emendati r-regoli li diġà huma stabbiliti fil-livell tal-Unjoni, jintlaħqu aħjar fil-livell tal-Unjoni, l-Unjoni tista’ tadotta miżuri, f’konformità mal-prinċipju tas-sussidjarjetà kif stabbilit fl-Artikolu 5 tat</w:t>
            </w:r>
            <w:r>
              <w:t>-Trattat dwar l-Unjoni Ewropea. F’konformità mal-prinċipju tal-proporzjonalità kif stabbilit f’dak l-Artikolu, din id-Direttiva ma tmurx lil hinn minn dak li huwa meħtieġ sabiex jintlaħqu dawk l-objettivi,</w:t>
            </w:r>
          </w:p>
        </w:tc>
      </w:tr>
    </w:tbl>
    <w:p w:rsidR="00A85A26" w:rsidRPr="0046639E" w:rsidRDefault="00AF65B7" w:rsidP="00A85A26">
      <w:pPr>
        <w:pStyle w:val="Olang"/>
        <w:rPr>
          <w:sz w:val="24"/>
          <w:szCs w:val="24"/>
        </w:rPr>
      </w:pPr>
      <w:r w:rsidRPr="0046639E">
        <w:rPr>
          <w:sz w:val="24"/>
          <w:szCs w:val="24"/>
        </w:rPr>
        <w:t xml:space="preserve">Or. </w:t>
      </w:r>
      <w:r w:rsidRPr="0046639E">
        <w:rPr>
          <w:rStyle w:val="HideTWBExt"/>
        </w:rPr>
        <w:t>&lt;Original&gt;</w:t>
      </w:r>
      <w:r w:rsidRPr="0046639E">
        <w:rPr>
          <w:rStyle w:val="HideTWBInt"/>
          <w:sz w:val="24"/>
          <w:szCs w:val="24"/>
        </w:rPr>
        <w:t>{EN}</w:t>
      </w:r>
      <w:r w:rsidRPr="0046639E">
        <w:rPr>
          <w:sz w:val="24"/>
          <w:szCs w:val="24"/>
        </w:rPr>
        <w:t>en</w:t>
      </w:r>
      <w:r w:rsidRPr="0046639E">
        <w:rPr>
          <w:rStyle w:val="HideTWBExt"/>
        </w:rPr>
        <w:t>&lt;/Original&gt;</w:t>
      </w:r>
    </w:p>
    <w:p w:rsidR="00A85A26" w:rsidRPr="0046639E" w:rsidRDefault="00AF65B7" w:rsidP="00A85A26">
      <w:pPr>
        <w:rPr>
          <w:szCs w:val="24"/>
        </w:rPr>
      </w:pPr>
      <w:r>
        <w:rPr>
          <w:rStyle w:val="HideTWBExt"/>
        </w:rPr>
        <w:t>&lt;/Amend&gt;</w:t>
      </w:r>
    </w:p>
    <w:p w:rsidR="00A85A26" w:rsidRPr="008C37B3" w:rsidRDefault="00AF65B7" w:rsidP="00A85A26">
      <w:pPr>
        <w:pStyle w:val="AMNumberTabs0"/>
        <w:keepNext/>
      </w:pPr>
      <w:r>
        <w:rPr>
          <w:rStyle w:val="HideTWBExt"/>
          <w:b w:val="0"/>
          <w:lang w:val="pt-PT"/>
        </w:rPr>
        <w:t>&lt;Amend&gt;</w:t>
      </w:r>
      <w:r>
        <w:t>E</w:t>
      </w:r>
      <w:r>
        <w:t>menda</w:t>
      </w:r>
      <w:r>
        <w:tab/>
      </w:r>
      <w:r>
        <w:tab/>
      </w:r>
      <w:r>
        <w:rPr>
          <w:rStyle w:val="HideTWBExt"/>
          <w:b w:val="0"/>
          <w:lang w:val="pt-PT"/>
        </w:rPr>
        <w:t>&lt;NumAm&gt;</w:t>
      </w:r>
      <w:r>
        <w:t>10</w:t>
      </w:r>
      <w:r>
        <w:rPr>
          <w:rStyle w:val="HideTWBExt"/>
          <w:b w:val="0"/>
          <w:lang w:val="pt-PT"/>
        </w:rPr>
        <w:t>&lt;/NumAm&gt;</w:t>
      </w:r>
    </w:p>
    <w:p w:rsidR="00A85A26" w:rsidRPr="008C37B3" w:rsidRDefault="00AF65B7" w:rsidP="00A85A26">
      <w:pPr>
        <w:pStyle w:val="NormalBold12b"/>
        <w:keepNext/>
      </w:pPr>
      <w:r>
        <w:rPr>
          <w:rStyle w:val="HideTWBExt"/>
          <w:b w:val="0"/>
          <w:lang w:val="pt-PT"/>
        </w:rPr>
        <w:t>&lt;DocAmend&gt;</w:t>
      </w:r>
      <w:r>
        <w:t>Proposta għal direttiva</w:t>
      </w:r>
      <w:r>
        <w:rPr>
          <w:rStyle w:val="HideTWBExt"/>
          <w:b w:val="0"/>
          <w:lang w:val="pt-PT"/>
        </w:rPr>
        <w:t>&lt;/DocAmend&gt;</w:t>
      </w:r>
    </w:p>
    <w:p w:rsidR="00A85A26" w:rsidRPr="0046639E" w:rsidRDefault="00AF65B7" w:rsidP="00A85A26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Artikolu 1 – paragrafu 1 – punt 1</w:t>
      </w:r>
      <w:r>
        <w:rPr>
          <w:rStyle w:val="HideTWBExt"/>
          <w:b w:val="0"/>
          <w:lang w:val="fr-BE"/>
        </w:rPr>
        <w:t>&lt;/Article&gt;</w:t>
      </w:r>
    </w:p>
    <w:p w:rsidR="00A85A26" w:rsidRPr="0046639E" w:rsidRDefault="00AF65B7" w:rsidP="00A85A26">
      <w:pPr>
        <w:keepNext/>
      </w:pPr>
      <w:r>
        <w:rPr>
          <w:rStyle w:val="HideTWBExt"/>
          <w:lang w:val="fr-BE"/>
        </w:rPr>
        <w:t>&lt;DocAmend2&gt;</w:t>
      </w:r>
      <w:r>
        <w:t>Direttiva 2014/59/UE</w:t>
      </w:r>
      <w:r>
        <w:rPr>
          <w:rStyle w:val="HideTWBExt"/>
          <w:lang w:val="fr-BE"/>
        </w:rPr>
        <w:t>&lt;/DocAmend2&gt;</w:t>
      </w:r>
    </w:p>
    <w:p w:rsidR="00A85A26" w:rsidRPr="0046639E" w:rsidRDefault="00AF65B7" w:rsidP="00A85A26">
      <w:r>
        <w:rPr>
          <w:rStyle w:val="HideTWBExt"/>
          <w:lang w:val="fr-BE"/>
        </w:rPr>
        <w:t>&lt;Article2&gt;</w:t>
      </w:r>
      <w:r>
        <w:t>Artikolu 2 – paragrafu 1 – punt 83aa</w:t>
      </w:r>
      <w:r>
        <w:rPr>
          <w:rStyle w:val="HideTWBExt"/>
          <w:lang w:val="fr-BE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87F81" w:rsidTr="00250087">
        <w:trPr>
          <w:jc w:val="center"/>
        </w:trPr>
        <w:tc>
          <w:tcPr>
            <w:tcW w:w="9752" w:type="dxa"/>
            <w:gridSpan w:val="2"/>
          </w:tcPr>
          <w:p w:rsidR="00A85A26" w:rsidRPr="0046639E" w:rsidRDefault="00A85A26" w:rsidP="00250087">
            <w:pPr>
              <w:keepNext/>
              <w:rPr>
                <w:lang w:val="fr-BE"/>
              </w:rPr>
            </w:pP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Emenda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t>(83aa)</w:t>
            </w:r>
            <w:r>
              <w:tab/>
              <w:t>“entità ta’ likwidazzjoni” tfisser persuna ġuridika stabbilita fl-Unjoni li fir-rigward tagħha l-pjan ta’ riżoluzzjoni tal-grupp jew, għal entitajiet li ma humiex parti minn grupp, il-pjan ta’ riżoluzzjoni, jipprevedi li l-entità għandha ti</w:t>
            </w:r>
            <w:r>
              <w:t xml:space="preserve">ġi stralċjata </w:t>
            </w:r>
            <w:r>
              <w:rPr>
                <w:b/>
                <w:i/>
              </w:rPr>
              <w:lastRenderedPageBreak/>
              <w:t>b’mod ordnat f’konformità mal-liġi nazzjonali applikabbli;</w:t>
            </w:r>
            <w:r>
              <w:t>;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lastRenderedPageBreak/>
              <w:t>(83aa)</w:t>
            </w:r>
            <w:r>
              <w:tab/>
              <w:t>“entità ta’ likwidazzjoni” tfisser persuna ġuridika stabbilita fl-Unjoni li fir-rigward tagħha l-pjan ta’ riżoluzzjoni tal-grupp jew, għal entitajiet li ma humiex parti minn g</w:t>
            </w:r>
            <w:r>
              <w:t xml:space="preserve">rupp, il-pjan ta’ riżoluzzjoni, jipprevedi li l-entità għandha tiġi stralċjata </w:t>
            </w:r>
            <w:r>
              <w:rPr>
                <w:b/>
                <w:i/>
              </w:rPr>
              <w:lastRenderedPageBreak/>
              <w:t>taħt proċedimenti ta’ insolvenza normali jew ma tipprevedix l-eżerċizzju tas- tas-setgħat ta’ valwazzjoni negattiva u ta’ konverżjoni fir-rigward ta’ dik l-entità</w:t>
            </w:r>
            <w:r>
              <w:t>;</w:t>
            </w:r>
          </w:p>
        </w:tc>
      </w:tr>
    </w:tbl>
    <w:p w:rsidR="00A85A26" w:rsidRPr="0046639E" w:rsidRDefault="00AF65B7" w:rsidP="00A85A26">
      <w:pPr>
        <w:pStyle w:val="Olang"/>
        <w:rPr>
          <w:sz w:val="24"/>
          <w:szCs w:val="24"/>
        </w:rPr>
      </w:pPr>
      <w:r w:rsidRPr="0046639E">
        <w:rPr>
          <w:sz w:val="24"/>
          <w:szCs w:val="24"/>
        </w:rPr>
        <w:lastRenderedPageBreak/>
        <w:t xml:space="preserve">Or. </w:t>
      </w:r>
      <w:r w:rsidRPr="0046639E">
        <w:rPr>
          <w:rStyle w:val="HideTWBExt"/>
        </w:rPr>
        <w:t>&lt;Origina</w:t>
      </w:r>
      <w:r w:rsidRPr="0046639E">
        <w:rPr>
          <w:rStyle w:val="HideTWBExt"/>
        </w:rPr>
        <w:t>l&gt;</w:t>
      </w:r>
      <w:r w:rsidRPr="0046639E">
        <w:rPr>
          <w:rStyle w:val="HideTWBInt"/>
          <w:sz w:val="24"/>
          <w:szCs w:val="24"/>
        </w:rPr>
        <w:t>{EN}</w:t>
      </w:r>
      <w:r w:rsidRPr="0046639E">
        <w:rPr>
          <w:sz w:val="24"/>
          <w:szCs w:val="24"/>
        </w:rPr>
        <w:t>en</w:t>
      </w:r>
      <w:r w:rsidRPr="0046639E">
        <w:rPr>
          <w:rStyle w:val="HideTWBExt"/>
        </w:rPr>
        <w:t>&lt;/Original&gt;</w:t>
      </w:r>
    </w:p>
    <w:p w:rsidR="00A85A26" w:rsidRPr="0046639E" w:rsidRDefault="00AF65B7" w:rsidP="00A85A26">
      <w:pPr>
        <w:rPr>
          <w:szCs w:val="24"/>
        </w:rPr>
      </w:pPr>
      <w:r>
        <w:rPr>
          <w:rStyle w:val="HideTWBExt"/>
        </w:rPr>
        <w:t>&lt;/Amend&gt;</w:t>
      </w:r>
    </w:p>
    <w:p w:rsidR="00A85A26" w:rsidRPr="008C37B3" w:rsidRDefault="00AF65B7" w:rsidP="00A85A26">
      <w:pPr>
        <w:pStyle w:val="AMNumberTabs0"/>
        <w:keepNext/>
      </w:pPr>
      <w:r>
        <w:rPr>
          <w:rStyle w:val="HideTWBExt"/>
          <w:b w:val="0"/>
          <w:lang w:val="pt-P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pt-PT"/>
        </w:rPr>
        <w:t>&lt;NumAm&gt;</w:t>
      </w:r>
      <w:r>
        <w:t>11</w:t>
      </w:r>
      <w:r>
        <w:rPr>
          <w:rStyle w:val="HideTWBExt"/>
          <w:b w:val="0"/>
          <w:lang w:val="pt-PT"/>
        </w:rPr>
        <w:t>&lt;/NumAm&gt;</w:t>
      </w:r>
    </w:p>
    <w:p w:rsidR="00A85A26" w:rsidRPr="008C37B3" w:rsidRDefault="00AF65B7" w:rsidP="00A85A26">
      <w:pPr>
        <w:pStyle w:val="NormalBold12b"/>
        <w:keepNext/>
      </w:pPr>
      <w:r>
        <w:rPr>
          <w:rStyle w:val="HideTWBExt"/>
          <w:b w:val="0"/>
          <w:lang w:val="pt-PT"/>
        </w:rPr>
        <w:t>&lt;DocAmend&gt;</w:t>
      </w:r>
      <w:r>
        <w:t>Proposta għal direttiva</w:t>
      </w:r>
      <w:r>
        <w:rPr>
          <w:rStyle w:val="HideTWBExt"/>
          <w:b w:val="0"/>
          <w:lang w:val="pt-PT"/>
        </w:rPr>
        <w:t>&lt;/DocAmend&gt;</w:t>
      </w:r>
    </w:p>
    <w:p w:rsidR="00A85A26" w:rsidRPr="0046639E" w:rsidRDefault="00AF65B7" w:rsidP="00A85A26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Artikolu 1 – paragrafu 1 – punt 2 – punt b</w:t>
      </w:r>
      <w:r>
        <w:rPr>
          <w:rStyle w:val="HideTWBExt"/>
          <w:b w:val="0"/>
          <w:lang w:val="fr-BE"/>
        </w:rPr>
        <w:t>&lt;/Article&gt;</w:t>
      </w:r>
    </w:p>
    <w:p w:rsidR="00A85A26" w:rsidRPr="0046639E" w:rsidRDefault="00AF65B7" w:rsidP="00A85A26">
      <w:pPr>
        <w:keepNext/>
      </w:pPr>
      <w:r>
        <w:rPr>
          <w:rStyle w:val="HideTWBExt"/>
        </w:rPr>
        <w:t>&lt;DocAmend2&gt;</w:t>
      </w:r>
      <w:r>
        <w:t>Direttiva 2014/59/UE</w:t>
      </w:r>
      <w:r>
        <w:rPr>
          <w:rStyle w:val="HideTWBExt"/>
        </w:rPr>
        <w:t>&lt;/DocAmend2&gt;</w:t>
      </w:r>
    </w:p>
    <w:p w:rsidR="00A85A26" w:rsidRPr="0046639E" w:rsidRDefault="00AF65B7" w:rsidP="00A85A26">
      <w:r>
        <w:rPr>
          <w:rStyle w:val="HideTWBExt"/>
        </w:rPr>
        <w:t>&lt;Article2&gt;</w:t>
      </w:r>
      <w:r>
        <w:t xml:space="preserve">Artikolu 45c – paragrafu 2a – </w:t>
      </w:r>
      <w:r>
        <w:t>subparagrafu 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87F81" w:rsidTr="00250087">
        <w:trPr>
          <w:jc w:val="center"/>
        </w:trPr>
        <w:tc>
          <w:tcPr>
            <w:tcW w:w="9752" w:type="dxa"/>
            <w:gridSpan w:val="2"/>
          </w:tcPr>
          <w:p w:rsidR="00A85A26" w:rsidRPr="0046639E" w:rsidRDefault="00A85A26" w:rsidP="00250087">
            <w:pPr>
              <w:keepNext/>
            </w:pP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Emenda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t xml:space="preserve">B’deroga mill-ewwel subparagrafu, </w:t>
            </w:r>
            <w:r>
              <w:rPr>
                <w:b/>
                <w:i/>
              </w:rPr>
              <w:t>u fejn ikun meħtieġ għall-objettivi tal-protezzjoni tal-istabbiltà finanzjarja jew il-limitazzjoni tal-kontaġju potenzjali għas-sistema finanzjarja, l-awtor</w:t>
            </w:r>
            <w:r>
              <w:rPr>
                <w:b/>
                <w:i/>
              </w:rPr>
              <w:t>itajiet ta’ riżoluzzjoni jistgħu b’mod eċċezzjonali jiddeterminaw</w:t>
            </w:r>
            <w:r>
              <w:t xml:space="preserve"> ir-rekwiżit imsemmi fl-Artikolu 45(1) għall-entitajiet ta’ likwidazzjoni fuq bażi individwali fl-ammont suffiċjenti biex jassorbu t-telf f’konformità mal-paragrafu 2(a) ta’ dan l-Artikolu</w:t>
            </w:r>
            <w:r>
              <w:rPr>
                <w:b/>
                <w:i/>
              </w:rPr>
              <w:t xml:space="preserve">, </w:t>
            </w:r>
            <w:r>
              <w:rPr>
                <w:b/>
                <w:i/>
              </w:rPr>
              <w:t>miżjud għall-ammont li jkun meħtieġ għall-kisba</w:t>
            </w:r>
            <w:r>
              <w:t xml:space="preserve"> ta’ </w:t>
            </w:r>
            <w:r>
              <w:rPr>
                <w:b/>
                <w:i/>
              </w:rPr>
              <w:t>dawk l-objettivi</w:t>
            </w:r>
            <w:r>
              <w:t>. F’dawk il-każijiet, l-entitajiet ta’ likwidazzjoni għandhom jissodisfaw ir-rekwiżit imsemmi fl-Artikolu 45(1) billi jużaw wieħed jew aktar minn dawn li ġejjin: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t>B’deroga mill-ewwel subpar</w:t>
            </w:r>
            <w:r>
              <w:t xml:space="preserve">agrafu, </w:t>
            </w:r>
            <w:r>
              <w:rPr>
                <w:b/>
                <w:i/>
              </w:rPr>
              <w:t>l-awtorità ta’ riżoluzzjoni għandha tivvaluta jekk huwiex ġustifikat li jiġi determinat</w:t>
            </w:r>
            <w:r>
              <w:t xml:space="preserve"> ir-rekwiżit imsemmi fl-Artikolu 45(1) għall-entitajiet ta’ likwidazzjoni fuq bażi individwali fl-ammont </w:t>
            </w:r>
            <w:r>
              <w:rPr>
                <w:b/>
                <w:i/>
              </w:rPr>
              <w:t xml:space="preserve">li jaqbeż l-ammont </w:t>
            </w:r>
            <w:r>
              <w:t>suffiċjenti biex jassorbu t-telf f’ko</w:t>
            </w:r>
            <w:r>
              <w:t>nformità mal-paragrafu 2(a) ta’ dan l-Artikolu</w:t>
            </w:r>
            <w:r>
              <w:rPr>
                <w:b/>
                <w:i/>
              </w:rPr>
              <w:t>. Il-valutazzjoni mill-awtoritajiet ta’ riżoluzzjoni għandha tikkunsidra l-konsegwenzi possibbli tal-falliment tal-entità</w:t>
            </w:r>
            <w:r>
              <w:t xml:space="preserve"> ta’ </w:t>
            </w:r>
            <w:r>
              <w:rPr>
                <w:b/>
                <w:i/>
              </w:rPr>
              <w:t>likwidazzjoni kkonċernata u għandha, b’mod partikolari, tqis kwalunkwe impatti possi</w:t>
            </w:r>
            <w:r>
              <w:rPr>
                <w:b/>
                <w:i/>
              </w:rPr>
              <w:t>bbli fuq l-istabbiltà finanzjarja u fuq ir-riskju ta’ kontaġju għas-sistema finanzjarja</w:t>
            </w:r>
            <w:r>
              <w:t>. F’dawk il-każijiet, l-entitajiet ta’ likwidazzjoni għandhom jissodisfaw ir-rekwiżit imsemmi fl-Artikolu 45(1) billi jużaw wieħed jew aktar minn dawn li ġejjin:</w:t>
            </w:r>
          </w:p>
        </w:tc>
      </w:tr>
    </w:tbl>
    <w:p w:rsidR="00A85A26" w:rsidRPr="0046639E" w:rsidRDefault="00AF65B7" w:rsidP="00A85A26">
      <w:pPr>
        <w:pStyle w:val="Olang"/>
        <w:rPr>
          <w:sz w:val="24"/>
          <w:szCs w:val="24"/>
        </w:rPr>
      </w:pPr>
      <w:r w:rsidRPr="0046639E">
        <w:rPr>
          <w:sz w:val="24"/>
          <w:szCs w:val="24"/>
        </w:rPr>
        <w:t xml:space="preserve">Or. </w:t>
      </w:r>
      <w:r w:rsidRPr="0046639E">
        <w:rPr>
          <w:rStyle w:val="HideTWBExt"/>
        </w:rPr>
        <w:t>&lt;O</w:t>
      </w:r>
      <w:r w:rsidRPr="0046639E">
        <w:rPr>
          <w:rStyle w:val="HideTWBExt"/>
        </w:rPr>
        <w:t>riginal&gt;</w:t>
      </w:r>
      <w:r w:rsidRPr="0046639E">
        <w:rPr>
          <w:rStyle w:val="HideTWBInt"/>
          <w:sz w:val="24"/>
          <w:szCs w:val="24"/>
        </w:rPr>
        <w:t>{EN}</w:t>
      </w:r>
      <w:r w:rsidRPr="0046639E">
        <w:rPr>
          <w:sz w:val="24"/>
          <w:szCs w:val="24"/>
        </w:rPr>
        <w:t>en</w:t>
      </w:r>
      <w:r w:rsidRPr="0046639E">
        <w:rPr>
          <w:rStyle w:val="HideTWBExt"/>
        </w:rPr>
        <w:t>&lt;/Original&gt;</w:t>
      </w:r>
    </w:p>
    <w:p w:rsidR="00A85A26" w:rsidRPr="0046639E" w:rsidRDefault="00AF65B7" w:rsidP="00A85A26">
      <w:pPr>
        <w:rPr>
          <w:szCs w:val="24"/>
        </w:rPr>
      </w:pPr>
      <w:r>
        <w:rPr>
          <w:rStyle w:val="HideTWBExt"/>
        </w:rPr>
        <w:t>&lt;/Amend&gt;</w:t>
      </w:r>
    </w:p>
    <w:p w:rsidR="00A85A26" w:rsidRPr="008C37B3" w:rsidRDefault="00AF65B7" w:rsidP="00A85A26">
      <w:pPr>
        <w:pStyle w:val="AMNumberTabs0"/>
        <w:keepNext/>
      </w:pPr>
      <w:r>
        <w:rPr>
          <w:rStyle w:val="HideTWBExt"/>
          <w:b w:val="0"/>
          <w:lang w:val="pt-P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pt-PT"/>
        </w:rPr>
        <w:t>&lt;NumAm&gt;</w:t>
      </w:r>
      <w:r>
        <w:t>12</w:t>
      </w:r>
      <w:r>
        <w:rPr>
          <w:rStyle w:val="HideTWBExt"/>
          <w:b w:val="0"/>
          <w:lang w:val="pt-PT"/>
        </w:rPr>
        <w:t>&lt;/NumAm&gt;</w:t>
      </w:r>
    </w:p>
    <w:p w:rsidR="00A85A26" w:rsidRPr="008C37B3" w:rsidRDefault="00AF65B7" w:rsidP="00A85A26">
      <w:pPr>
        <w:pStyle w:val="NormalBold12b"/>
        <w:keepNext/>
      </w:pPr>
      <w:r>
        <w:rPr>
          <w:rStyle w:val="HideTWBExt"/>
          <w:b w:val="0"/>
          <w:lang w:val="pt-PT"/>
        </w:rPr>
        <w:t>&lt;DocAmend&gt;</w:t>
      </w:r>
      <w:r>
        <w:t>Proposta għal direttiva</w:t>
      </w:r>
      <w:r>
        <w:rPr>
          <w:rStyle w:val="HideTWBExt"/>
          <w:b w:val="0"/>
          <w:lang w:val="pt-PT"/>
        </w:rPr>
        <w:t>&lt;/DocAmend&gt;</w:t>
      </w:r>
    </w:p>
    <w:p w:rsidR="00A85A26" w:rsidRPr="0046639E" w:rsidRDefault="00AF65B7" w:rsidP="00A85A26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Artikolu 1 – paragrafu 1 – punt 2 – punt b</w:t>
      </w:r>
      <w:r>
        <w:rPr>
          <w:rStyle w:val="HideTWBExt"/>
          <w:b w:val="0"/>
          <w:lang w:val="fr-BE"/>
        </w:rPr>
        <w:t>&lt;/Article&gt;</w:t>
      </w:r>
    </w:p>
    <w:p w:rsidR="00A85A26" w:rsidRPr="0046639E" w:rsidRDefault="00AF65B7" w:rsidP="00A85A26">
      <w:pPr>
        <w:keepNext/>
      </w:pPr>
      <w:r>
        <w:rPr>
          <w:rStyle w:val="HideTWBExt"/>
        </w:rPr>
        <w:t>&lt;DocAmend2&gt;</w:t>
      </w:r>
      <w:r>
        <w:t>Direttiva 2014/59/UE</w:t>
      </w:r>
      <w:r>
        <w:rPr>
          <w:rStyle w:val="HideTWBExt"/>
        </w:rPr>
        <w:t>&lt;/DocAmend2&gt;</w:t>
      </w:r>
    </w:p>
    <w:p w:rsidR="00A85A26" w:rsidRPr="0046639E" w:rsidRDefault="00AF65B7" w:rsidP="00A85A26">
      <w:r>
        <w:rPr>
          <w:rStyle w:val="HideTWBExt"/>
        </w:rPr>
        <w:t>&lt;Article2&gt;</w:t>
      </w:r>
      <w:r>
        <w:t>Artikolu 45c – paragrafu 2a</w:t>
      </w:r>
      <w:r>
        <w:t xml:space="preserve"> – subparagrafu 4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87F81" w:rsidTr="00250087">
        <w:trPr>
          <w:jc w:val="center"/>
        </w:trPr>
        <w:tc>
          <w:tcPr>
            <w:tcW w:w="9752" w:type="dxa"/>
            <w:gridSpan w:val="2"/>
          </w:tcPr>
          <w:p w:rsidR="00A85A26" w:rsidRPr="0046639E" w:rsidRDefault="00A85A26" w:rsidP="00250087">
            <w:pPr>
              <w:keepNext/>
            </w:pP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Emenda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t>Il-holdings ta’ strumenti ta’ fondi proprji</w:t>
            </w:r>
            <w:r>
              <w:rPr>
                <w:b/>
                <w:i/>
              </w:rPr>
              <w:t xml:space="preserve"> jew obbligazzjonijiet </w:t>
            </w:r>
            <w:r>
              <w:t>maħruġa minn sussidjarji li huma entitajiet ta’ likwidazzjoni li għalihom l-awtorità ta’ riżoluzzjoni ma tkunx iddetermin</w:t>
            </w:r>
            <w:r>
              <w:t>at ir-rekwiżit imsemmi fl-Artikolu 45(1) ma għandhomx jitnaqqsu skont l-Artikolu 72e(5) tar-Regolament (UE) Nru 575/2013.;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t xml:space="preserve">Il-holdings ta’ </w:t>
            </w:r>
            <w:r>
              <w:rPr>
                <w:b/>
                <w:i/>
              </w:rPr>
              <w:t xml:space="preserve">obbligazzjonijiet li ma jikkwalifikawx bħala </w:t>
            </w:r>
            <w:r>
              <w:t xml:space="preserve">strumenti ta’ fondi proprji maħruġa minn sussidjarji li huma entitajiet </w:t>
            </w:r>
            <w:r>
              <w:t>ta’ likwidazzjoni li għalihom l-awtorità ta’ riżoluzzjoni ma tkunx iddeterminat ir-rekwiżit imsemmi fl-Artikolu 45(1) ma għandhomx jitnaqqsu skont l-Artikolu 72e(5) tar-Regolament (UE) Nru 575/2013.;</w:t>
            </w:r>
          </w:p>
        </w:tc>
      </w:tr>
    </w:tbl>
    <w:p w:rsidR="00A85A26" w:rsidRPr="0046639E" w:rsidRDefault="00AF65B7" w:rsidP="00A85A26">
      <w:pPr>
        <w:pStyle w:val="Olang"/>
        <w:rPr>
          <w:sz w:val="24"/>
          <w:szCs w:val="24"/>
        </w:rPr>
      </w:pPr>
      <w:r w:rsidRPr="0046639E">
        <w:rPr>
          <w:sz w:val="24"/>
          <w:szCs w:val="24"/>
        </w:rPr>
        <w:t xml:space="preserve">Or. </w:t>
      </w:r>
      <w:r w:rsidRPr="0046639E">
        <w:rPr>
          <w:rStyle w:val="HideTWBExt"/>
        </w:rPr>
        <w:t>&lt;Original&gt;</w:t>
      </w:r>
      <w:r w:rsidRPr="0046639E">
        <w:rPr>
          <w:rStyle w:val="HideTWBInt"/>
          <w:sz w:val="24"/>
          <w:szCs w:val="24"/>
        </w:rPr>
        <w:t>{EN}</w:t>
      </w:r>
      <w:r w:rsidRPr="0046639E">
        <w:rPr>
          <w:sz w:val="24"/>
          <w:szCs w:val="24"/>
        </w:rPr>
        <w:t>en</w:t>
      </w:r>
      <w:r w:rsidRPr="0046639E">
        <w:rPr>
          <w:rStyle w:val="HideTWBExt"/>
        </w:rPr>
        <w:t>&lt;/Original&gt;</w:t>
      </w:r>
    </w:p>
    <w:p w:rsidR="00A85A26" w:rsidRPr="0046639E" w:rsidRDefault="00AF65B7" w:rsidP="00A85A26">
      <w:pPr>
        <w:rPr>
          <w:szCs w:val="24"/>
        </w:rPr>
      </w:pPr>
      <w:r>
        <w:rPr>
          <w:rStyle w:val="HideTWBExt"/>
        </w:rPr>
        <w:t>&lt;/Amend&gt;</w:t>
      </w:r>
    </w:p>
    <w:p w:rsidR="00A85A26" w:rsidRPr="008C37B3" w:rsidRDefault="00AF65B7" w:rsidP="00A85A26">
      <w:pPr>
        <w:pStyle w:val="AMNumberTabs0"/>
        <w:keepNext/>
      </w:pPr>
      <w:r>
        <w:rPr>
          <w:rStyle w:val="HideTWBExt"/>
          <w:b w:val="0"/>
          <w:lang w:val="pt-P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pt-PT"/>
        </w:rPr>
        <w:t>&lt;NumAm&gt;</w:t>
      </w:r>
      <w:r>
        <w:t>13</w:t>
      </w:r>
      <w:r>
        <w:rPr>
          <w:rStyle w:val="HideTWBExt"/>
          <w:b w:val="0"/>
          <w:lang w:val="pt-PT"/>
        </w:rPr>
        <w:t>&lt;/NumAm&gt;</w:t>
      </w:r>
    </w:p>
    <w:p w:rsidR="00A85A26" w:rsidRPr="008C37B3" w:rsidRDefault="00AF65B7" w:rsidP="00A85A26">
      <w:pPr>
        <w:pStyle w:val="NormalBold12b"/>
        <w:keepNext/>
      </w:pPr>
      <w:r>
        <w:rPr>
          <w:rStyle w:val="HideTWBExt"/>
          <w:b w:val="0"/>
          <w:lang w:val="pt-PT"/>
        </w:rPr>
        <w:t>&lt;DocAmend&gt;</w:t>
      </w:r>
      <w:r>
        <w:t>Proposta għal direttiva</w:t>
      </w:r>
      <w:r>
        <w:rPr>
          <w:rStyle w:val="HideTWBExt"/>
          <w:b w:val="0"/>
          <w:lang w:val="pt-PT"/>
        </w:rPr>
        <w:t>&lt;/DocAmend&gt;</w:t>
      </w:r>
    </w:p>
    <w:p w:rsidR="00A85A26" w:rsidRPr="0046639E" w:rsidRDefault="00AF65B7" w:rsidP="00A85A26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Artikolu 1 – paragrafu 1 – punt 3 – punt a</w:t>
      </w:r>
      <w:r>
        <w:rPr>
          <w:rStyle w:val="HideTWBExt"/>
          <w:b w:val="0"/>
          <w:lang w:val="fr-BE"/>
        </w:rPr>
        <w:t>&lt;/Article&gt;</w:t>
      </w:r>
    </w:p>
    <w:p w:rsidR="00A85A26" w:rsidRPr="0046639E" w:rsidRDefault="00AF65B7" w:rsidP="00A85A26">
      <w:pPr>
        <w:keepNext/>
      </w:pPr>
      <w:r>
        <w:rPr>
          <w:rStyle w:val="HideTWBExt"/>
          <w:lang w:val="fr-BE"/>
        </w:rPr>
        <w:t>&lt;DocAmend2&gt;</w:t>
      </w:r>
      <w:r>
        <w:t>Direttiva 2014/59/UE</w:t>
      </w:r>
      <w:r>
        <w:rPr>
          <w:rStyle w:val="HideTWBExt"/>
          <w:lang w:val="fr-BE"/>
        </w:rPr>
        <w:t>&lt;/DocAmend2&gt;</w:t>
      </w:r>
    </w:p>
    <w:p w:rsidR="00A85A26" w:rsidRPr="0046639E" w:rsidRDefault="00AF65B7" w:rsidP="00A85A26">
      <w:r>
        <w:rPr>
          <w:rStyle w:val="HideTWBExt"/>
          <w:lang w:val="fr-BE"/>
        </w:rPr>
        <w:t>&lt;Article2&gt;</w:t>
      </w:r>
      <w:r>
        <w:t>Artikolu 45f – paragrafu 1 – subparagrafu 3a – punt a – punt ii</w:t>
      </w:r>
      <w:r>
        <w:rPr>
          <w:rStyle w:val="HideTWBExt"/>
          <w:lang w:val="fr-BE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87F81" w:rsidTr="00250087">
        <w:trPr>
          <w:jc w:val="center"/>
        </w:trPr>
        <w:tc>
          <w:tcPr>
            <w:tcW w:w="9752" w:type="dxa"/>
            <w:gridSpan w:val="2"/>
          </w:tcPr>
          <w:p w:rsidR="00A85A26" w:rsidRPr="0046639E" w:rsidRDefault="00A85A26" w:rsidP="00250087">
            <w:pPr>
              <w:keepNext/>
              <w:rPr>
                <w:lang w:val="fr-BE"/>
              </w:rPr>
            </w:pP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Emenda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t>(ii)</w:t>
            </w:r>
            <w:r>
              <w:tab/>
              <w:t xml:space="preserve">is-sussidjarja tkun soġġetta għar-rekwiżit imsemmi fl-Artikolu 104a tad-Direttiva 2013/36/UE </w:t>
            </w:r>
            <w:r>
              <w:rPr>
                <w:b/>
                <w:i/>
              </w:rPr>
              <w:t xml:space="preserve">jew għar-rekwiżit ta’ riżerva kombinata </w:t>
            </w:r>
            <w:r>
              <w:t>fuq bażi konsolidata;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t>(ii)</w:t>
            </w:r>
            <w:r>
              <w:tab/>
            </w:r>
            <w:r>
              <w:t xml:space="preserve">is-sussidjarja tkun soġġetta għar-rekwiżit imsemmi fl-Artikolu 104a tad-Direttiva 2013/36/UE fuq bażi konsolidata </w:t>
            </w:r>
            <w:r>
              <w:rPr>
                <w:b/>
                <w:bCs/>
                <w:i/>
                <w:iCs/>
              </w:rPr>
              <w:t>biss</w:t>
            </w:r>
            <w:r>
              <w:t>;</w:t>
            </w:r>
          </w:p>
        </w:tc>
      </w:tr>
    </w:tbl>
    <w:p w:rsidR="00A85A26" w:rsidRPr="0046639E" w:rsidRDefault="00AF65B7" w:rsidP="00A85A26">
      <w:pPr>
        <w:pStyle w:val="Olang"/>
        <w:rPr>
          <w:sz w:val="24"/>
          <w:szCs w:val="24"/>
        </w:rPr>
      </w:pPr>
      <w:r w:rsidRPr="0046639E">
        <w:rPr>
          <w:sz w:val="24"/>
          <w:szCs w:val="24"/>
        </w:rPr>
        <w:t xml:space="preserve">Or. </w:t>
      </w:r>
      <w:r w:rsidRPr="0046639E">
        <w:rPr>
          <w:rStyle w:val="HideTWBExt"/>
        </w:rPr>
        <w:t>&lt;Original&gt;</w:t>
      </w:r>
      <w:r w:rsidRPr="0046639E">
        <w:rPr>
          <w:rStyle w:val="HideTWBInt"/>
          <w:sz w:val="24"/>
          <w:szCs w:val="24"/>
        </w:rPr>
        <w:t>{EN}</w:t>
      </w:r>
      <w:r w:rsidRPr="0046639E">
        <w:rPr>
          <w:sz w:val="24"/>
          <w:szCs w:val="24"/>
        </w:rPr>
        <w:t>en</w:t>
      </w:r>
      <w:r w:rsidRPr="0046639E">
        <w:rPr>
          <w:rStyle w:val="HideTWBExt"/>
        </w:rPr>
        <w:t>&lt;/Original&gt;</w:t>
      </w:r>
    </w:p>
    <w:p w:rsidR="00A85A26" w:rsidRPr="0046639E" w:rsidRDefault="00AF65B7" w:rsidP="00A85A26">
      <w:pPr>
        <w:rPr>
          <w:szCs w:val="24"/>
        </w:rPr>
      </w:pPr>
      <w:r>
        <w:rPr>
          <w:rStyle w:val="HideTWBExt"/>
        </w:rPr>
        <w:t>&lt;/Amend&gt;</w:t>
      </w:r>
    </w:p>
    <w:p w:rsidR="00A85A26" w:rsidRPr="008C37B3" w:rsidRDefault="00AF65B7" w:rsidP="00A85A26">
      <w:pPr>
        <w:pStyle w:val="AMNumberTabs0"/>
        <w:keepNext/>
      </w:pPr>
      <w:r>
        <w:rPr>
          <w:rStyle w:val="HideTWBExt"/>
          <w:b w:val="0"/>
          <w:lang w:val="pt-P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pt-PT"/>
        </w:rPr>
        <w:t>&lt;NumAm&gt;</w:t>
      </w:r>
      <w:r>
        <w:t>14</w:t>
      </w:r>
      <w:r>
        <w:rPr>
          <w:rStyle w:val="HideTWBExt"/>
          <w:b w:val="0"/>
          <w:lang w:val="pt-PT"/>
        </w:rPr>
        <w:t>&lt;/NumAm&gt;</w:t>
      </w:r>
    </w:p>
    <w:p w:rsidR="00A85A26" w:rsidRPr="008C37B3" w:rsidRDefault="00AF65B7" w:rsidP="00A85A26">
      <w:pPr>
        <w:pStyle w:val="NormalBold12b"/>
        <w:keepNext/>
      </w:pPr>
      <w:r>
        <w:rPr>
          <w:rStyle w:val="HideTWBExt"/>
          <w:b w:val="0"/>
          <w:lang w:val="pt-PT"/>
        </w:rPr>
        <w:t>&lt;DocAmend&gt;</w:t>
      </w:r>
      <w:r>
        <w:t>Proposta għal direttiva</w:t>
      </w:r>
      <w:r>
        <w:rPr>
          <w:rStyle w:val="HideTWBExt"/>
          <w:b w:val="0"/>
          <w:lang w:val="pt-PT"/>
        </w:rPr>
        <w:t>&lt;/DocAmend&gt;</w:t>
      </w:r>
    </w:p>
    <w:p w:rsidR="00A85A26" w:rsidRPr="0046639E" w:rsidRDefault="00AF65B7" w:rsidP="00A85A26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Artikolu 1 – paragrafu 1 – punt 3 – punt a</w:t>
      </w:r>
      <w:r>
        <w:rPr>
          <w:rStyle w:val="HideTWBExt"/>
          <w:b w:val="0"/>
          <w:lang w:val="fr-BE"/>
        </w:rPr>
        <w:t>&lt;/Article&gt;</w:t>
      </w:r>
    </w:p>
    <w:p w:rsidR="00A85A26" w:rsidRPr="0046639E" w:rsidRDefault="00AF65B7" w:rsidP="00A85A26">
      <w:pPr>
        <w:keepNext/>
      </w:pPr>
      <w:r>
        <w:rPr>
          <w:rStyle w:val="HideTWBExt"/>
          <w:lang w:val="fr-BE"/>
        </w:rPr>
        <w:t>&lt;DocAmend2&gt;</w:t>
      </w:r>
      <w:r>
        <w:t>Direttiva 2014/59/UE</w:t>
      </w:r>
      <w:r>
        <w:rPr>
          <w:rStyle w:val="HideTWBExt"/>
          <w:lang w:val="fr-BE"/>
        </w:rPr>
        <w:t>&lt;/DocAmend2&gt;</w:t>
      </w:r>
    </w:p>
    <w:p w:rsidR="00A85A26" w:rsidRPr="0046639E" w:rsidRDefault="00AF65B7" w:rsidP="00A85A26">
      <w:r>
        <w:rPr>
          <w:rStyle w:val="HideTWBExt"/>
          <w:lang w:val="fr-BE"/>
        </w:rPr>
        <w:t>&lt;Article2&gt;</w:t>
      </w:r>
      <w:r>
        <w:t>Artikolu 45f – paragrafu 1 – subparagrafu 3a – punt b</w:t>
      </w:r>
      <w:r>
        <w:rPr>
          <w:rStyle w:val="HideTWBExt"/>
          <w:lang w:val="fr-BE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87F81" w:rsidTr="00250087">
        <w:trPr>
          <w:jc w:val="center"/>
        </w:trPr>
        <w:tc>
          <w:tcPr>
            <w:tcW w:w="9752" w:type="dxa"/>
            <w:gridSpan w:val="2"/>
          </w:tcPr>
          <w:p w:rsidR="00A85A26" w:rsidRPr="0046639E" w:rsidRDefault="00A85A26" w:rsidP="00250087">
            <w:pPr>
              <w:keepNext/>
              <w:rPr>
                <w:lang w:val="fr-BE"/>
              </w:rPr>
            </w:pP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Emenda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t>(b)</w:t>
            </w:r>
            <w:r>
              <w:tab/>
            </w:r>
            <w:r>
              <w:t xml:space="preserve">il-konformità mar-rekwiżit stabbilit fl-Artikolu 45c fuq bażi konsolidata ma taffettwax negattivament </w:t>
            </w:r>
            <w:r>
              <w:rPr>
                <w:b/>
                <w:i/>
              </w:rPr>
              <w:t>b’mod sinifikanti r-riżolvibbiltà</w:t>
            </w:r>
            <w:r>
              <w:t xml:space="preserve"> tal-grupp ta’ riżoluzzjoni, jew il-valwazzjoni negattiva jew il-konverżjoni, f’konformità mal-Artikolu 59, tal-istrument</w:t>
            </w:r>
            <w:r>
              <w:t xml:space="preserve">i kapitali rilevanti u l-obbligazzjonijiet eliġibbli tas-sussidjarja </w:t>
            </w:r>
            <w:r>
              <w:lastRenderedPageBreak/>
              <w:t>kkonċernata jew ta’ entitajiet oħra fil-grupp ta’ riżoluzzjoni.;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lastRenderedPageBreak/>
              <w:t>(b)</w:t>
            </w:r>
            <w:r>
              <w:tab/>
              <w:t xml:space="preserve">il-konformità mar-rekwiżit stabbilit fl-Artikolu 45c fuq bażi konsolidata ma taffettwax negattivament </w:t>
            </w:r>
            <w:r>
              <w:rPr>
                <w:b/>
                <w:i/>
              </w:rPr>
              <w:t>ir-riżolvibbiltà</w:t>
            </w:r>
            <w:r>
              <w:t xml:space="preserve"> tal-grupp ta’ riżoluzzjoni, jew il-valwazzjoni negattiva jew il-konverżjoni, f’konformità mal-Artikolu 59, tal-istrumenti kapitali rilevanti u l-obbligazzjonijiet eliġibbli tas-sussidjarja </w:t>
            </w:r>
            <w:r>
              <w:lastRenderedPageBreak/>
              <w:t>kkonċernata jew ta’ entitajiet oħra fil-grupp ta’ riżoluzzjoni.;</w:t>
            </w:r>
          </w:p>
        </w:tc>
      </w:tr>
    </w:tbl>
    <w:p w:rsidR="00A85A26" w:rsidRPr="0046639E" w:rsidRDefault="00AF65B7" w:rsidP="00A85A26">
      <w:pPr>
        <w:pStyle w:val="Olang"/>
        <w:rPr>
          <w:sz w:val="24"/>
          <w:szCs w:val="24"/>
        </w:rPr>
      </w:pPr>
      <w:r w:rsidRPr="0046639E">
        <w:rPr>
          <w:sz w:val="24"/>
          <w:szCs w:val="24"/>
        </w:rPr>
        <w:lastRenderedPageBreak/>
        <w:t xml:space="preserve">Or. </w:t>
      </w:r>
      <w:r w:rsidRPr="0046639E">
        <w:rPr>
          <w:rStyle w:val="HideTWBExt"/>
        </w:rPr>
        <w:t>&lt;Original&gt;</w:t>
      </w:r>
      <w:r w:rsidRPr="0046639E">
        <w:rPr>
          <w:rStyle w:val="HideTWBInt"/>
          <w:sz w:val="24"/>
          <w:szCs w:val="24"/>
        </w:rPr>
        <w:t>{EN}</w:t>
      </w:r>
      <w:r w:rsidRPr="0046639E">
        <w:rPr>
          <w:sz w:val="24"/>
          <w:szCs w:val="24"/>
        </w:rPr>
        <w:t>en</w:t>
      </w:r>
      <w:r w:rsidRPr="0046639E">
        <w:rPr>
          <w:rStyle w:val="HideTWBExt"/>
        </w:rPr>
        <w:t>&lt;/Original&gt;</w:t>
      </w:r>
    </w:p>
    <w:p w:rsidR="00A85A26" w:rsidRPr="0046639E" w:rsidRDefault="00AF65B7" w:rsidP="00A85A26">
      <w:pPr>
        <w:rPr>
          <w:szCs w:val="24"/>
        </w:rPr>
      </w:pPr>
      <w:r>
        <w:rPr>
          <w:rStyle w:val="HideTWBExt"/>
        </w:rPr>
        <w:t>&lt;/Amend&gt;</w:t>
      </w:r>
    </w:p>
    <w:p w:rsidR="00A85A26" w:rsidRPr="008C37B3" w:rsidRDefault="00AF65B7" w:rsidP="00A85A26">
      <w:pPr>
        <w:pStyle w:val="AMNumberTabs0"/>
        <w:keepNext/>
      </w:pPr>
      <w:r>
        <w:rPr>
          <w:rStyle w:val="HideTWBExt"/>
          <w:b w:val="0"/>
          <w:lang w:val="pt-P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pt-PT"/>
        </w:rPr>
        <w:t>&lt;NumAm&gt;</w:t>
      </w:r>
      <w:r>
        <w:t>15</w:t>
      </w:r>
      <w:r>
        <w:rPr>
          <w:rStyle w:val="HideTWBExt"/>
          <w:b w:val="0"/>
          <w:lang w:val="pt-PT"/>
        </w:rPr>
        <w:t>&lt;/NumAm&gt;</w:t>
      </w:r>
    </w:p>
    <w:p w:rsidR="00A85A26" w:rsidRPr="008C37B3" w:rsidRDefault="00AF65B7" w:rsidP="00A85A26">
      <w:pPr>
        <w:pStyle w:val="NormalBold12b"/>
        <w:keepNext/>
      </w:pPr>
      <w:r>
        <w:rPr>
          <w:rStyle w:val="HideTWBExt"/>
          <w:b w:val="0"/>
          <w:lang w:val="pt-PT"/>
        </w:rPr>
        <w:t>&lt;DocAmend&gt;</w:t>
      </w:r>
      <w:r>
        <w:t>Proposta għal direttiva</w:t>
      </w:r>
      <w:r>
        <w:rPr>
          <w:rStyle w:val="HideTWBExt"/>
          <w:b w:val="0"/>
          <w:lang w:val="pt-PT"/>
        </w:rPr>
        <w:t>&lt;/DocAmend&gt;</w:t>
      </w:r>
    </w:p>
    <w:p w:rsidR="00A85A26" w:rsidRPr="0046639E" w:rsidRDefault="00AF65B7" w:rsidP="00A85A26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Artikolu 2 – paragrafu 1 – punt 2 – punt b</w:t>
      </w:r>
      <w:r>
        <w:rPr>
          <w:rStyle w:val="HideTWBExt"/>
          <w:b w:val="0"/>
          <w:lang w:val="fr-BE"/>
        </w:rPr>
        <w:t>&lt;/Article&gt;</w:t>
      </w:r>
    </w:p>
    <w:p w:rsidR="00A85A26" w:rsidRPr="0046639E" w:rsidRDefault="00AF65B7" w:rsidP="00A85A26">
      <w:pPr>
        <w:keepNext/>
      </w:pPr>
      <w:r>
        <w:rPr>
          <w:rStyle w:val="HideTWBExt"/>
          <w:lang w:val="pt-PT"/>
        </w:rPr>
        <w:t>&lt;DocAmend2&gt;</w:t>
      </w:r>
      <w:r>
        <w:t>Regolament (UE) Nru 806/2014</w:t>
      </w:r>
      <w:r>
        <w:rPr>
          <w:rStyle w:val="HideTWBExt"/>
          <w:lang w:val="pt-PT"/>
        </w:rPr>
        <w:t>&lt;/DocAmend2&gt;</w:t>
      </w:r>
    </w:p>
    <w:p w:rsidR="00A85A26" w:rsidRPr="0046639E" w:rsidRDefault="00AF65B7" w:rsidP="00A85A26">
      <w:r>
        <w:rPr>
          <w:rStyle w:val="HideTWBExt"/>
          <w:lang w:val="fr-BE"/>
        </w:rPr>
        <w:t>&lt;Article2&gt;</w:t>
      </w:r>
      <w:r>
        <w:t xml:space="preserve">Artikolu 12d </w:t>
      </w:r>
      <w:r>
        <w:t>– paragrafu 2a – subparagrafu 2</w:t>
      </w:r>
      <w:r>
        <w:rPr>
          <w:rStyle w:val="HideTWBExt"/>
          <w:lang w:val="fr-BE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87F81" w:rsidTr="00250087">
        <w:trPr>
          <w:jc w:val="center"/>
        </w:trPr>
        <w:tc>
          <w:tcPr>
            <w:tcW w:w="9752" w:type="dxa"/>
            <w:gridSpan w:val="2"/>
          </w:tcPr>
          <w:p w:rsidR="00A85A26" w:rsidRPr="0046639E" w:rsidRDefault="00A85A26" w:rsidP="00250087">
            <w:pPr>
              <w:keepNext/>
              <w:rPr>
                <w:lang w:val="fr-BE"/>
              </w:rPr>
            </w:pP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Emenda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t xml:space="preserve">B’deroga mill-ewwel subparagrafu, </w:t>
            </w:r>
            <w:r>
              <w:rPr>
                <w:b/>
                <w:i/>
              </w:rPr>
              <w:t>u fejn ikun meħtieġ għall-objettivi tal-protezzjoni tal-istabbiltà finanzjarja jew il-limitazzjoni tal-kontaġju potenzjali għas-sistema fin</w:t>
            </w:r>
            <w:r>
              <w:rPr>
                <w:b/>
                <w:i/>
              </w:rPr>
              <w:t xml:space="preserve">anzjarja, </w:t>
            </w:r>
            <w:r>
              <w:t>il-Bord</w:t>
            </w:r>
            <w:r>
              <w:rPr>
                <w:b/>
                <w:i/>
              </w:rPr>
              <w:t xml:space="preserve"> jista’ b’mod eċċezzjonali</w:t>
            </w:r>
            <w:r>
              <w:t xml:space="preserve"> jiddetermina r-rekwiżit imsemmi fl-Artikolu 12a(1) għall-entitajiet ta’ likwidazzjoni fuq bażi individwali </w:t>
            </w:r>
            <w:r>
              <w:rPr>
                <w:b/>
                <w:i/>
              </w:rPr>
              <w:t>fl-ammont</w:t>
            </w:r>
            <w:r>
              <w:t xml:space="preserve"> suffiċjenti biex jassorbu t-telf f’konformità mal-paragrafu 2(a) ta’ dan l-Artikolu, </w:t>
            </w:r>
            <w:r>
              <w:rPr>
                <w:b/>
                <w:i/>
              </w:rPr>
              <w:t>miżjud għa</w:t>
            </w:r>
            <w:r>
              <w:rPr>
                <w:b/>
                <w:i/>
              </w:rPr>
              <w:t>ll-ammont li jkun meħtieġ għall-kisba ta’ dawk l-objettivi</w:t>
            </w:r>
            <w:r>
              <w:t>. F’dawk il-każijiet, l-entitajiet ta’ likwidazzjoni għandhom jissodisfaw ir-rekwiżit imsemmi fl-Artikolu 12a(1) billi jużaw wieħed jew aktar minn dawn li ġejjin: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t>B’deroga mill-ewwel subparagrafu, i</w:t>
            </w:r>
            <w:r>
              <w:t>l-Bord</w:t>
            </w:r>
            <w:r>
              <w:rPr>
                <w:b/>
                <w:i/>
              </w:rPr>
              <w:t xml:space="preserve"> għandu jivvaluta jekk huwiex ġustifikat li</w:t>
            </w:r>
            <w:r>
              <w:t xml:space="preserve"> jiddetermina r-rekwiżit imsemmi fl-Artikolu 12a(1) għall-entitajiet ta’ likwidazzjoni fuq bażi individwali </w:t>
            </w:r>
            <w:r>
              <w:rPr>
                <w:b/>
                <w:i/>
              </w:rPr>
              <w:t>f’ammont li jaqbeż l-ammont</w:t>
            </w:r>
            <w:r>
              <w:t xml:space="preserve"> suffiċjenti biex jassorbu t-telf f’konformità mal-paragrafu 2(a) ta’ da</w:t>
            </w:r>
            <w:r>
              <w:t>n l-Artikolu</w:t>
            </w:r>
            <w:r>
              <w:rPr>
                <w:b/>
                <w:i/>
              </w:rPr>
              <w:t>. Il-valutazzjoni mill-Bord għandha tikkunsidra l-konsegwenzi possibbli tal-falliment tal-entità ta’ likwidazzjoni kkonċernata u għandha</w:t>
            </w:r>
            <w:r>
              <w:rPr>
                <w:b/>
                <w:bCs/>
                <w:i/>
                <w:iCs/>
              </w:rPr>
              <w:t>,</w:t>
            </w:r>
            <w:r>
              <w:t xml:space="preserve"> </w:t>
            </w:r>
            <w:r>
              <w:rPr>
                <w:b/>
                <w:i/>
              </w:rPr>
              <w:t>b’mod partikolari, tqis kwalunkwe impatti possibbli fuq l-istabbiltà finanzjarja u fuq ir-riskju ta’ konta</w:t>
            </w:r>
            <w:r>
              <w:rPr>
                <w:b/>
                <w:i/>
              </w:rPr>
              <w:t>ġju għas-sistema finanzjarja</w:t>
            </w:r>
            <w:r>
              <w:t>. F’dawk il-każijiet, l-entitajiet ta’ likwidazzjoni għandhom jissodisfaw ir-rekwiżit imsemmi fl-Artikolu 12a(1) billi jużaw wieħed jew aktar minn dawn li ġejjin:</w:t>
            </w:r>
          </w:p>
        </w:tc>
      </w:tr>
    </w:tbl>
    <w:p w:rsidR="00A85A26" w:rsidRPr="0046639E" w:rsidRDefault="00AF65B7" w:rsidP="00A85A26">
      <w:pPr>
        <w:pStyle w:val="Olang"/>
        <w:rPr>
          <w:sz w:val="24"/>
          <w:szCs w:val="24"/>
        </w:rPr>
      </w:pPr>
      <w:r w:rsidRPr="0046639E">
        <w:rPr>
          <w:sz w:val="24"/>
          <w:szCs w:val="24"/>
        </w:rPr>
        <w:t xml:space="preserve">Or. </w:t>
      </w:r>
      <w:r w:rsidRPr="0046639E">
        <w:rPr>
          <w:rStyle w:val="HideTWBExt"/>
        </w:rPr>
        <w:t>&lt;Original&gt;</w:t>
      </w:r>
      <w:r w:rsidRPr="0046639E">
        <w:rPr>
          <w:rStyle w:val="HideTWBInt"/>
          <w:sz w:val="24"/>
          <w:szCs w:val="24"/>
        </w:rPr>
        <w:t>{EN}</w:t>
      </w:r>
      <w:r w:rsidRPr="0046639E">
        <w:rPr>
          <w:sz w:val="24"/>
          <w:szCs w:val="24"/>
        </w:rPr>
        <w:t>en</w:t>
      </w:r>
      <w:r w:rsidRPr="0046639E">
        <w:rPr>
          <w:rStyle w:val="HideTWBExt"/>
        </w:rPr>
        <w:t>&lt;/Original&gt;</w:t>
      </w:r>
    </w:p>
    <w:p w:rsidR="00A85A26" w:rsidRPr="0046639E" w:rsidRDefault="00AF65B7" w:rsidP="00A85A26">
      <w:pPr>
        <w:rPr>
          <w:szCs w:val="24"/>
        </w:rPr>
      </w:pPr>
      <w:r>
        <w:rPr>
          <w:rStyle w:val="HideTWBExt"/>
        </w:rPr>
        <w:t>&lt;/Amend&gt;</w:t>
      </w:r>
    </w:p>
    <w:p w:rsidR="00A85A26" w:rsidRPr="008C37B3" w:rsidRDefault="00AF65B7" w:rsidP="00A85A26">
      <w:pPr>
        <w:pStyle w:val="AMNumberTabs0"/>
        <w:keepNext/>
      </w:pPr>
      <w:r>
        <w:rPr>
          <w:rStyle w:val="HideTWBExt"/>
          <w:b w:val="0"/>
          <w:lang w:val="pt-P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pt-PT"/>
        </w:rPr>
        <w:t>&lt;NumAm&gt;</w:t>
      </w:r>
      <w:r>
        <w:t>16</w:t>
      </w:r>
      <w:r>
        <w:rPr>
          <w:rStyle w:val="HideTWBExt"/>
          <w:b w:val="0"/>
          <w:lang w:val="pt-PT"/>
        </w:rPr>
        <w:t>&lt;/NumAm&gt;</w:t>
      </w:r>
    </w:p>
    <w:p w:rsidR="00A85A26" w:rsidRPr="008C37B3" w:rsidRDefault="00AF65B7" w:rsidP="00A85A26">
      <w:pPr>
        <w:pStyle w:val="NormalBold12b"/>
        <w:keepNext/>
      </w:pPr>
      <w:r>
        <w:rPr>
          <w:rStyle w:val="HideTWBExt"/>
          <w:b w:val="0"/>
          <w:lang w:val="pt-PT"/>
        </w:rPr>
        <w:t>&lt;DocAmend&gt;</w:t>
      </w:r>
      <w:r>
        <w:t>Proposta għal direttiva</w:t>
      </w:r>
      <w:r>
        <w:rPr>
          <w:rStyle w:val="HideTWBExt"/>
          <w:b w:val="0"/>
          <w:lang w:val="pt-PT"/>
        </w:rPr>
        <w:t>&lt;/DocAmend&gt;</w:t>
      </w:r>
    </w:p>
    <w:p w:rsidR="00A85A26" w:rsidRPr="0046639E" w:rsidRDefault="00AF65B7" w:rsidP="00A85A26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Artikolu 2 – paragrafu 1 – punt 2 – punt b</w:t>
      </w:r>
      <w:r>
        <w:rPr>
          <w:rStyle w:val="HideTWBExt"/>
          <w:b w:val="0"/>
          <w:lang w:val="fr-BE"/>
        </w:rPr>
        <w:t>&lt;/Article&gt;</w:t>
      </w:r>
    </w:p>
    <w:p w:rsidR="00A85A26" w:rsidRPr="0046639E" w:rsidRDefault="00AF65B7" w:rsidP="00A85A26">
      <w:pPr>
        <w:keepNext/>
      </w:pPr>
      <w:r>
        <w:rPr>
          <w:rStyle w:val="HideTWBExt"/>
          <w:lang w:val="pt-PT"/>
        </w:rPr>
        <w:t>&lt;DocAmend2&gt;</w:t>
      </w:r>
      <w:r>
        <w:t>Regolament (UE) Nru 806/2014</w:t>
      </w:r>
      <w:r>
        <w:rPr>
          <w:rStyle w:val="HideTWBExt"/>
          <w:lang w:val="pt-PT"/>
        </w:rPr>
        <w:t>&lt;/DocAmend2&gt;</w:t>
      </w:r>
    </w:p>
    <w:p w:rsidR="00A85A26" w:rsidRPr="0046639E" w:rsidRDefault="00AF65B7" w:rsidP="00A85A26">
      <w:r>
        <w:rPr>
          <w:rStyle w:val="HideTWBExt"/>
          <w:lang w:val="fr-BE"/>
        </w:rPr>
        <w:t>&lt;Article2&gt;</w:t>
      </w:r>
      <w:r>
        <w:t>Artikolu 12d – paragrafu 2a – subparagrafu 4</w:t>
      </w:r>
      <w:r>
        <w:rPr>
          <w:rStyle w:val="HideTWBExt"/>
          <w:lang w:val="fr-BE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87F81" w:rsidTr="00250087">
        <w:trPr>
          <w:jc w:val="center"/>
        </w:trPr>
        <w:tc>
          <w:tcPr>
            <w:tcW w:w="9752" w:type="dxa"/>
            <w:gridSpan w:val="2"/>
          </w:tcPr>
          <w:p w:rsidR="00A85A26" w:rsidRPr="0046639E" w:rsidRDefault="00A85A26" w:rsidP="00250087">
            <w:pPr>
              <w:keepNext/>
              <w:rPr>
                <w:lang w:val="fr-BE"/>
              </w:rPr>
            </w:pP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Test propost mill-</w:t>
            </w:r>
            <w:r>
              <w:t>Kummissjoni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Emenda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t>Il-holdings ta’ strumenti ta’ fondi proprji</w:t>
            </w:r>
            <w:r>
              <w:rPr>
                <w:b/>
                <w:i/>
              </w:rPr>
              <w:t xml:space="preserve"> jew obbligazzjonijiet </w:t>
            </w:r>
            <w:r>
              <w:t xml:space="preserve">maħruġa minn </w:t>
            </w:r>
            <w:r>
              <w:lastRenderedPageBreak/>
              <w:t>sussidjarji li huma entitajiet ta’ likwidazzjoni li għalihom l-awtorità ta’ riżoluzzjoni ma tkunx iddeterminat ir-rekwiżit imsemmi fl-Artikolu 12a(1) ma għan</w:t>
            </w:r>
            <w:r>
              <w:t>dhomx jitnaqqsu skont l-Artikolu 72e(5) tar-Regolament (UE) Nru 575/2013.;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lastRenderedPageBreak/>
              <w:t xml:space="preserve">Il-holdings ta’ </w:t>
            </w:r>
            <w:r>
              <w:rPr>
                <w:b/>
                <w:i/>
              </w:rPr>
              <w:t xml:space="preserve">obbligazzjonijiet li ma jikkwalifikawx bħala </w:t>
            </w:r>
            <w:r>
              <w:t xml:space="preserve">strumenti ta’ fondi </w:t>
            </w:r>
            <w:r>
              <w:lastRenderedPageBreak/>
              <w:t xml:space="preserve">proprji maħruġa minn sussidjarji li huma entitajiet ta’ likwidazzjoni li għalihom l-awtorità ta’ </w:t>
            </w:r>
            <w:r>
              <w:t>riżoluzzjoni ma tkunx iddeterminat ir-rekwiżit imsemmi fl-Artikolu 12a(1) ma għandhomx jitnaqqsu skont l-Artikolu 72e(5) tar-Regolament (UE) Nru 575/2013.;</w:t>
            </w:r>
          </w:p>
        </w:tc>
      </w:tr>
    </w:tbl>
    <w:p w:rsidR="00A85A26" w:rsidRPr="0046639E" w:rsidRDefault="00AF65B7" w:rsidP="00A85A26">
      <w:pPr>
        <w:pStyle w:val="Olang"/>
        <w:rPr>
          <w:sz w:val="24"/>
          <w:szCs w:val="24"/>
        </w:rPr>
      </w:pPr>
      <w:r w:rsidRPr="0046639E">
        <w:rPr>
          <w:sz w:val="24"/>
          <w:szCs w:val="24"/>
        </w:rPr>
        <w:lastRenderedPageBreak/>
        <w:t xml:space="preserve">Or. </w:t>
      </w:r>
      <w:r w:rsidRPr="0046639E">
        <w:rPr>
          <w:rStyle w:val="HideTWBExt"/>
        </w:rPr>
        <w:t>&lt;Original&gt;</w:t>
      </w:r>
      <w:r w:rsidRPr="0046639E">
        <w:rPr>
          <w:rStyle w:val="HideTWBInt"/>
          <w:sz w:val="24"/>
          <w:szCs w:val="24"/>
        </w:rPr>
        <w:t>{EN}</w:t>
      </w:r>
      <w:r w:rsidRPr="0046639E">
        <w:rPr>
          <w:sz w:val="24"/>
          <w:szCs w:val="24"/>
        </w:rPr>
        <w:t>en</w:t>
      </w:r>
      <w:r w:rsidRPr="0046639E">
        <w:rPr>
          <w:rStyle w:val="HideTWBExt"/>
        </w:rPr>
        <w:t>&lt;/Original&gt;</w:t>
      </w:r>
    </w:p>
    <w:p w:rsidR="00A85A26" w:rsidRPr="0046639E" w:rsidRDefault="00AF65B7" w:rsidP="00A85A26">
      <w:pPr>
        <w:rPr>
          <w:szCs w:val="24"/>
        </w:rPr>
      </w:pPr>
      <w:r>
        <w:rPr>
          <w:rStyle w:val="HideTWBExt"/>
        </w:rPr>
        <w:t>&lt;/Amend&gt;</w:t>
      </w:r>
    </w:p>
    <w:p w:rsidR="00A85A26" w:rsidRPr="008C37B3" w:rsidRDefault="00AF65B7" w:rsidP="00A85A26">
      <w:pPr>
        <w:pStyle w:val="AMNumberTabs0"/>
        <w:keepNext/>
      </w:pPr>
      <w:r>
        <w:rPr>
          <w:rStyle w:val="HideTWBExt"/>
          <w:b w:val="0"/>
          <w:lang w:val="pt-P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pt-PT"/>
        </w:rPr>
        <w:t>&lt;NumAm&gt;</w:t>
      </w:r>
      <w:r>
        <w:t>17</w:t>
      </w:r>
      <w:r>
        <w:rPr>
          <w:rStyle w:val="HideTWBExt"/>
          <w:b w:val="0"/>
          <w:lang w:val="pt-PT"/>
        </w:rPr>
        <w:t>&lt;/NumAm&gt;</w:t>
      </w:r>
    </w:p>
    <w:p w:rsidR="00A85A26" w:rsidRPr="008C37B3" w:rsidRDefault="00AF65B7" w:rsidP="00A85A26">
      <w:pPr>
        <w:pStyle w:val="NormalBold12b"/>
        <w:keepNext/>
      </w:pPr>
      <w:r>
        <w:rPr>
          <w:rStyle w:val="HideTWBExt"/>
          <w:b w:val="0"/>
          <w:lang w:val="pt-PT"/>
        </w:rPr>
        <w:t>&lt;DocAmend&gt;</w:t>
      </w:r>
      <w:r>
        <w:t>Proposta għal d</w:t>
      </w:r>
      <w:r>
        <w:t>irettiva</w:t>
      </w:r>
      <w:r>
        <w:rPr>
          <w:rStyle w:val="HideTWBExt"/>
          <w:b w:val="0"/>
          <w:lang w:val="pt-PT"/>
        </w:rPr>
        <w:t>&lt;/DocAmend&gt;</w:t>
      </w:r>
    </w:p>
    <w:p w:rsidR="00A85A26" w:rsidRPr="0046639E" w:rsidRDefault="00AF65B7" w:rsidP="00A85A26">
      <w:pPr>
        <w:pStyle w:val="NormalBold"/>
      </w:pPr>
      <w:r>
        <w:rPr>
          <w:rStyle w:val="HideTWBExt"/>
          <w:b w:val="0"/>
          <w:lang w:val="fr-FR"/>
        </w:rPr>
        <w:t>&lt;Article&gt;</w:t>
      </w:r>
      <w:r>
        <w:t>Artikolu 2 – paragrafu 1 – punt 3 – punt a</w:t>
      </w:r>
      <w:r>
        <w:rPr>
          <w:rStyle w:val="HideTWBExt"/>
          <w:b w:val="0"/>
          <w:lang w:val="fr-FR"/>
        </w:rPr>
        <w:t>&lt;/Article&gt;</w:t>
      </w:r>
    </w:p>
    <w:p w:rsidR="00A85A26" w:rsidRPr="008C37B3" w:rsidRDefault="00AF65B7" w:rsidP="00A85A26">
      <w:pPr>
        <w:keepNext/>
      </w:pPr>
      <w:r>
        <w:rPr>
          <w:rStyle w:val="HideTWBExt"/>
          <w:lang w:val="pt-PT"/>
        </w:rPr>
        <w:t>&lt;DocAmend2&gt;</w:t>
      </w:r>
      <w:r>
        <w:t>Regolament (UE) Nru 806/2014</w:t>
      </w:r>
      <w:r>
        <w:rPr>
          <w:rStyle w:val="HideTWBExt"/>
          <w:lang w:val="pt-PT"/>
        </w:rPr>
        <w:t>&lt;/DocAmend2&gt;</w:t>
      </w:r>
    </w:p>
    <w:p w:rsidR="00A85A26" w:rsidRPr="0046639E" w:rsidRDefault="00AF65B7" w:rsidP="00A85A26">
      <w:r>
        <w:rPr>
          <w:rStyle w:val="HideTWBExt"/>
          <w:lang w:val="fr-FR"/>
        </w:rPr>
        <w:t>&lt;Article2&gt;</w:t>
      </w:r>
      <w:r>
        <w:t>Artikolu 12g – paragrafu 1 – subparagrafu 3a – punt a – punt ii</w:t>
      </w:r>
      <w:r>
        <w:rPr>
          <w:rStyle w:val="HideTWBExt"/>
          <w:lang w:val="fr-FR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87F81" w:rsidTr="00250087">
        <w:trPr>
          <w:jc w:val="center"/>
        </w:trPr>
        <w:tc>
          <w:tcPr>
            <w:tcW w:w="9752" w:type="dxa"/>
            <w:gridSpan w:val="2"/>
          </w:tcPr>
          <w:p w:rsidR="00A85A26" w:rsidRPr="0046639E" w:rsidRDefault="00A85A26" w:rsidP="00250087">
            <w:pPr>
              <w:keepNext/>
              <w:rPr>
                <w:lang w:val="fr-FR"/>
              </w:rPr>
            </w:pP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Emenda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t>(ii)</w:t>
            </w:r>
            <w:r>
              <w:tab/>
              <w:t xml:space="preserve">is-sussidjarja tkun soġġetta għar-rekwiżit imsemmi fl-Artikolu 104a tad-Direttiva 2013/36/UE </w:t>
            </w:r>
            <w:r>
              <w:rPr>
                <w:b/>
                <w:bCs/>
                <w:i/>
                <w:iCs/>
              </w:rPr>
              <w:t>jew għar-rekwiżit ta’ riżerva kombinata</w:t>
            </w:r>
            <w:r>
              <w:t xml:space="preserve"> fuq bażi konsolidata;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t>(ii)</w:t>
            </w:r>
            <w:r>
              <w:tab/>
              <w:t>is-sussidjarja tkun soġġetta għar-rekwiżit imsemmi fl-Artikolu 104a tad-Direttiva 2</w:t>
            </w:r>
            <w:r>
              <w:t xml:space="preserve">013/36/UE fuq bażi konsolidata </w:t>
            </w:r>
            <w:r>
              <w:rPr>
                <w:b/>
                <w:bCs/>
                <w:i/>
                <w:iCs/>
              </w:rPr>
              <w:t>biss</w:t>
            </w:r>
            <w:r>
              <w:t>;</w:t>
            </w:r>
          </w:p>
        </w:tc>
      </w:tr>
    </w:tbl>
    <w:p w:rsidR="00A85A26" w:rsidRPr="0046639E" w:rsidRDefault="00AF65B7" w:rsidP="00A85A26">
      <w:pPr>
        <w:pStyle w:val="Olang"/>
        <w:rPr>
          <w:sz w:val="24"/>
          <w:szCs w:val="24"/>
        </w:rPr>
      </w:pPr>
      <w:r w:rsidRPr="0046639E">
        <w:rPr>
          <w:sz w:val="24"/>
          <w:szCs w:val="24"/>
        </w:rPr>
        <w:t xml:space="preserve">Or. </w:t>
      </w:r>
      <w:r w:rsidRPr="0046639E">
        <w:rPr>
          <w:rStyle w:val="HideTWBExt"/>
        </w:rPr>
        <w:t>&lt;Original&gt;</w:t>
      </w:r>
      <w:r w:rsidRPr="0046639E">
        <w:rPr>
          <w:rStyle w:val="HideTWBInt"/>
          <w:sz w:val="24"/>
          <w:szCs w:val="24"/>
        </w:rPr>
        <w:t>{EN}</w:t>
      </w:r>
      <w:r w:rsidRPr="0046639E">
        <w:rPr>
          <w:sz w:val="24"/>
          <w:szCs w:val="24"/>
        </w:rPr>
        <w:t>en</w:t>
      </w:r>
      <w:r w:rsidRPr="0046639E">
        <w:rPr>
          <w:rStyle w:val="HideTWBExt"/>
        </w:rPr>
        <w:t>&lt;/Original&gt;</w:t>
      </w:r>
    </w:p>
    <w:p w:rsidR="00A85A26" w:rsidRPr="0046639E" w:rsidRDefault="00AF65B7" w:rsidP="00A85A26">
      <w:pPr>
        <w:rPr>
          <w:szCs w:val="24"/>
        </w:rPr>
      </w:pPr>
      <w:r>
        <w:rPr>
          <w:rStyle w:val="HideTWBExt"/>
        </w:rPr>
        <w:t>&lt;/Amend&gt;</w:t>
      </w:r>
    </w:p>
    <w:p w:rsidR="00A85A26" w:rsidRPr="008C37B3" w:rsidRDefault="00AF65B7" w:rsidP="00A85A26">
      <w:pPr>
        <w:pStyle w:val="AMNumberTabs0"/>
        <w:keepNext/>
      </w:pPr>
      <w:r>
        <w:rPr>
          <w:rStyle w:val="HideTWBExt"/>
          <w:b w:val="0"/>
          <w:lang w:val="pt-P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pt-PT"/>
        </w:rPr>
        <w:t>&lt;NumAm&gt;</w:t>
      </w:r>
      <w:r>
        <w:t>18</w:t>
      </w:r>
      <w:r>
        <w:rPr>
          <w:rStyle w:val="HideTWBExt"/>
          <w:b w:val="0"/>
          <w:lang w:val="pt-PT"/>
        </w:rPr>
        <w:t>&lt;/NumAm&gt;</w:t>
      </w:r>
    </w:p>
    <w:p w:rsidR="00A85A26" w:rsidRPr="008C37B3" w:rsidRDefault="00AF65B7" w:rsidP="00A85A26">
      <w:pPr>
        <w:pStyle w:val="NormalBold12b"/>
        <w:keepNext/>
      </w:pPr>
      <w:r>
        <w:rPr>
          <w:rStyle w:val="HideTWBExt"/>
          <w:b w:val="0"/>
          <w:lang w:val="pt-PT"/>
        </w:rPr>
        <w:t>&lt;DocAmend&gt;</w:t>
      </w:r>
      <w:r>
        <w:t>Proposta għal direttiva</w:t>
      </w:r>
      <w:r>
        <w:rPr>
          <w:rStyle w:val="HideTWBExt"/>
          <w:b w:val="0"/>
          <w:lang w:val="pt-PT"/>
        </w:rPr>
        <w:t>&lt;/DocAmend&gt;</w:t>
      </w:r>
    </w:p>
    <w:p w:rsidR="00A85A26" w:rsidRPr="0046639E" w:rsidRDefault="00AF65B7" w:rsidP="00A85A26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Artikolu 2 – paragrafu 1 – punt 3 – punt a</w:t>
      </w:r>
      <w:r>
        <w:rPr>
          <w:rStyle w:val="HideTWBExt"/>
          <w:b w:val="0"/>
          <w:lang w:val="fr-BE"/>
        </w:rPr>
        <w:t>&lt;/Article&gt;</w:t>
      </w:r>
    </w:p>
    <w:p w:rsidR="00A85A26" w:rsidRPr="0046639E" w:rsidRDefault="00AF65B7" w:rsidP="00A85A26">
      <w:pPr>
        <w:keepNext/>
      </w:pPr>
      <w:r>
        <w:rPr>
          <w:rStyle w:val="HideTWBExt"/>
          <w:lang w:val="pt-PT"/>
        </w:rPr>
        <w:t>&lt;DocAmend2&gt;</w:t>
      </w:r>
      <w:r>
        <w:t>Regolament (UE) Nru 806/20</w:t>
      </w:r>
      <w:r>
        <w:t>14</w:t>
      </w:r>
      <w:r>
        <w:rPr>
          <w:rStyle w:val="HideTWBExt"/>
          <w:lang w:val="pt-PT"/>
        </w:rPr>
        <w:t>&lt;/DocAmend2&gt;</w:t>
      </w:r>
    </w:p>
    <w:p w:rsidR="00A85A26" w:rsidRPr="0046639E" w:rsidRDefault="00AF65B7" w:rsidP="00A85A26">
      <w:r>
        <w:rPr>
          <w:rStyle w:val="HideTWBExt"/>
          <w:lang w:val="fr-BE"/>
        </w:rPr>
        <w:t>&lt;Article2&gt;</w:t>
      </w:r>
      <w:r>
        <w:t>Artikolu 12g – paragrafu 1 – subparagrafu 3a – punt b</w:t>
      </w:r>
      <w:r>
        <w:rPr>
          <w:rStyle w:val="HideTWBExt"/>
          <w:lang w:val="fr-BE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87F81" w:rsidTr="00250087">
        <w:trPr>
          <w:jc w:val="center"/>
        </w:trPr>
        <w:tc>
          <w:tcPr>
            <w:tcW w:w="9752" w:type="dxa"/>
            <w:gridSpan w:val="2"/>
          </w:tcPr>
          <w:p w:rsidR="00A85A26" w:rsidRPr="0046639E" w:rsidRDefault="00A85A26" w:rsidP="00250087">
            <w:pPr>
              <w:keepNext/>
              <w:rPr>
                <w:lang w:val="fr-BE"/>
              </w:rPr>
            </w:pP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Emenda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t>(b)</w:t>
            </w:r>
            <w:r>
              <w:tab/>
              <w:t xml:space="preserve">il-konformità mar-rekwiżit stabbilit fl-Artikolu 12d fuq bażi konsolidata ma taffettwax negattivament </w:t>
            </w:r>
            <w:r>
              <w:rPr>
                <w:b/>
                <w:i/>
              </w:rPr>
              <w:t xml:space="preserve">b’mod sinifikanti </w:t>
            </w:r>
            <w:r>
              <w:rPr>
                <w:b/>
                <w:i/>
              </w:rPr>
              <w:t>r-riżolvibbiltà</w:t>
            </w:r>
            <w:r>
              <w:t xml:space="preserve"> tal-grupp ta’ riżoluzzjoni, jew il-valwazzjoni negattiva jew il-konverżjoni, f’konformità mal-Artikolu 21, tal-istrumenti kapitali rilevanti u l-obbligazzjonijiet eliġibbli tal-istituzzjoni jew tas-sussidjarja kkonċernata jew ta’ entitajiet</w:t>
            </w:r>
            <w:r>
              <w:t xml:space="preserve"> oħra fil-grupp ta’ riżoluzzjoni.;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t>(b)</w:t>
            </w:r>
            <w:r>
              <w:tab/>
              <w:t xml:space="preserve">il-konformità mar-rekwiżit stabbilit fl-Artikolu 12d fuq bażi konsolidata ma taffettwax negattivament </w:t>
            </w:r>
            <w:r>
              <w:rPr>
                <w:b/>
                <w:i/>
              </w:rPr>
              <w:t>ir-riżolvibbiltà</w:t>
            </w:r>
            <w:r>
              <w:t xml:space="preserve"> tal-grupp ta’ riżoluzzjoni, jew il-valwazzjoni negattiva jew il-konverżjoni, f’konformità mal-Arti</w:t>
            </w:r>
            <w:r>
              <w:t>kolu 21, tal-istrumenti kapitali rilevanti u l-obbligazzjonijiet eliġibbli tal-istituzzjoni jew tas-sussidjarja kkonċernata jew ta’ entitajiet oħra fil-grupp ta’ riżoluzzjoni.;</w:t>
            </w:r>
          </w:p>
        </w:tc>
      </w:tr>
    </w:tbl>
    <w:p w:rsidR="00A85A26" w:rsidRPr="0046639E" w:rsidRDefault="00AF65B7" w:rsidP="00A85A26">
      <w:pPr>
        <w:pStyle w:val="Olang"/>
        <w:rPr>
          <w:sz w:val="24"/>
          <w:szCs w:val="24"/>
        </w:rPr>
      </w:pPr>
      <w:r w:rsidRPr="0046639E">
        <w:rPr>
          <w:sz w:val="24"/>
          <w:szCs w:val="24"/>
        </w:rPr>
        <w:t xml:space="preserve">Or. </w:t>
      </w:r>
      <w:r w:rsidRPr="0046639E">
        <w:rPr>
          <w:rStyle w:val="HideTWBExt"/>
        </w:rPr>
        <w:t>&lt;Original&gt;</w:t>
      </w:r>
      <w:r w:rsidRPr="0046639E">
        <w:rPr>
          <w:rStyle w:val="HideTWBInt"/>
          <w:sz w:val="24"/>
          <w:szCs w:val="24"/>
        </w:rPr>
        <w:t>{EN}</w:t>
      </w:r>
      <w:r w:rsidRPr="0046639E">
        <w:rPr>
          <w:sz w:val="24"/>
          <w:szCs w:val="24"/>
        </w:rPr>
        <w:t>en</w:t>
      </w:r>
      <w:r w:rsidRPr="0046639E">
        <w:rPr>
          <w:rStyle w:val="HideTWBExt"/>
        </w:rPr>
        <w:t>&lt;/Original&gt;</w:t>
      </w:r>
    </w:p>
    <w:p w:rsidR="00A85A26" w:rsidRPr="0046639E" w:rsidRDefault="00AF65B7" w:rsidP="00A85A26">
      <w:pPr>
        <w:rPr>
          <w:szCs w:val="24"/>
        </w:rPr>
      </w:pPr>
      <w:r>
        <w:rPr>
          <w:rStyle w:val="HideTWBExt"/>
        </w:rPr>
        <w:t>&lt;/Amend&gt;</w:t>
      </w:r>
    </w:p>
    <w:p w:rsidR="00A85A26" w:rsidRPr="008C37B3" w:rsidRDefault="00AF65B7" w:rsidP="00A85A26">
      <w:pPr>
        <w:pStyle w:val="AMNumberTabs0"/>
        <w:keepNext/>
      </w:pPr>
      <w:r>
        <w:rPr>
          <w:rStyle w:val="HideTWBExt"/>
          <w:b w:val="0"/>
          <w:lang w:val="pt-PT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  <w:lang w:val="pt-PT"/>
        </w:rPr>
        <w:t>&lt;NumAm&gt;</w:t>
      </w:r>
      <w:r>
        <w:t>19</w:t>
      </w:r>
      <w:r>
        <w:rPr>
          <w:rStyle w:val="HideTWBExt"/>
          <w:b w:val="0"/>
          <w:lang w:val="pt-PT"/>
        </w:rPr>
        <w:t>&lt;/NumAm&gt;</w:t>
      </w:r>
    </w:p>
    <w:p w:rsidR="00A85A26" w:rsidRPr="008C37B3" w:rsidRDefault="00AF65B7" w:rsidP="00A85A26">
      <w:pPr>
        <w:pStyle w:val="NormalBold12b"/>
        <w:keepNext/>
      </w:pPr>
      <w:r>
        <w:rPr>
          <w:rStyle w:val="HideTWBExt"/>
          <w:b w:val="0"/>
          <w:lang w:val="pt-PT"/>
        </w:rPr>
        <w:t>&lt;Doc</w:t>
      </w:r>
      <w:r>
        <w:rPr>
          <w:rStyle w:val="HideTWBExt"/>
          <w:b w:val="0"/>
          <w:lang w:val="pt-PT"/>
        </w:rPr>
        <w:t>Amend&gt;</w:t>
      </w:r>
      <w:r>
        <w:t>Proposta għal direttiva</w:t>
      </w:r>
      <w:r>
        <w:rPr>
          <w:rStyle w:val="HideTWBExt"/>
          <w:b w:val="0"/>
          <w:lang w:val="pt-PT"/>
        </w:rPr>
        <w:t>&lt;/DocAmend&gt;</w:t>
      </w:r>
    </w:p>
    <w:p w:rsidR="00A85A26" w:rsidRPr="0046639E" w:rsidRDefault="00AF65B7" w:rsidP="00A85A26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Artikolu 2 – paragrafu 1 – punt 3 – punt b</w:t>
      </w:r>
      <w:r>
        <w:rPr>
          <w:rStyle w:val="HideTWBExt"/>
          <w:b w:val="0"/>
          <w:lang w:val="fr-BE"/>
        </w:rPr>
        <w:t>&lt;/Article&gt;</w:t>
      </w:r>
    </w:p>
    <w:p w:rsidR="00A85A26" w:rsidRPr="0046639E" w:rsidRDefault="00AF65B7" w:rsidP="00A85A26">
      <w:pPr>
        <w:keepNext/>
      </w:pPr>
      <w:r>
        <w:rPr>
          <w:rStyle w:val="HideTWBExt"/>
          <w:lang w:val="pt-PT"/>
        </w:rPr>
        <w:t>&lt;DocAmend2&gt;</w:t>
      </w:r>
      <w:r>
        <w:t>Regolament (UE) Nru 806/2014</w:t>
      </w:r>
      <w:r>
        <w:rPr>
          <w:rStyle w:val="HideTWBExt"/>
          <w:lang w:val="pt-PT"/>
        </w:rPr>
        <w:t>&lt;/DocAmend2&gt;</w:t>
      </w:r>
    </w:p>
    <w:p w:rsidR="00A85A26" w:rsidRPr="0046639E" w:rsidRDefault="00AF65B7" w:rsidP="00A85A26">
      <w:r>
        <w:rPr>
          <w:rStyle w:val="HideTWBExt"/>
          <w:lang w:val="fr-BE"/>
        </w:rPr>
        <w:t>&lt;Article2&gt;</w:t>
      </w:r>
      <w:r>
        <w:t>Artikolu 12g – paragrafu 2a – subparagrafu 2 – parti introduttorja</w:t>
      </w:r>
      <w:r>
        <w:rPr>
          <w:rStyle w:val="HideTWBExt"/>
          <w:lang w:val="fr-BE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87F81" w:rsidTr="00250087">
        <w:trPr>
          <w:jc w:val="center"/>
        </w:trPr>
        <w:tc>
          <w:tcPr>
            <w:tcW w:w="9752" w:type="dxa"/>
            <w:gridSpan w:val="2"/>
          </w:tcPr>
          <w:p w:rsidR="00A85A26" w:rsidRPr="0046639E" w:rsidRDefault="00A85A26" w:rsidP="00250087">
            <w:pPr>
              <w:keepNext/>
              <w:rPr>
                <w:lang w:val="fr-BE"/>
              </w:rPr>
            </w:pP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ColumnHeading"/>
              <w:keepNext/>
            </w:pPr>
            <w:r>
              <w:t>Emenda</w:t>
            </w:r>
          </w:p>
        </w:tc>
      </w:tr>
      <w:tr w:rsidR="00887F81" w:rsidTr="00250087">
        <w:trPr>
          <w:jc w:val="center"/>
        </w:trPr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</w:pPr>
            <w:r>
              <w:t xml:space="preserve">L-obbligazzjonijiet imsemmija fl-ewwel subparagrafu, il-punti (a) u (b), ma għandhomx jaqbżu l-ammont iddeterminat billi titnaqqas mill-ammont tar-rekwiżit imsemmi fl-Artikolu </w:t>
            </w:r>
            <w:r>
              <w:rPr>
                <w:b/>
                <w:i/>
              </w:rPr>
              <w:t>45</w:t>
            </w:r>
            <w:r>
              <w:t xml:space="preserve">(1) applikabbli għas-sussidjarja inkluża </w:t>
            </w:r>
            <w:r>
              <w:t>fil-konsolidament, is-somma ta’ dawn kollha li ġejjin:</w:t>
            </w:r>
          </w:p>
        </w:tc>
        <w:tc>
          <w:tcPr>
            <w:tcW w:w="4876" w:type="dxa"/>
            <w:hideMark/>
          </w:tcPr>
          <w:p w:rsidR="00A85A26" w:rsidRPr="0046639E" w:rsidRDefault="00AF65B7" w:rsidP="00250087">
            <w:pPr>
              <w:pStyle w:val="Normal6"/>
              <w:rPr>
                <w:szCs w:val="24"/>
              </w:rPr>
            </w:pPr>
            <w:r>
              <w:t xml:space="preserve">L-obbligazzjonijiet imsemmija fl-ewwel subparagrafu, il-punti (a) u (b), ma għandhomx jaqbżu l-ammont iddeterminat billi titnaqqas mill-ammont tar-rekwiżit imsemmi fl-Artikolu </w:t>
            </w:r>
            <w:r>
              <w:rPr>
                <w:b/>
                <w:i/>
              </w:rPr>
              <w:t>12</w:t>
            </w:r>
            <w:r>
              <w:t>(1) applikabbli għas-su</w:t>
            </w:r>
            <w:r>
              <w:t>ssidjarja inkluża fil-konsolidament, is-somma ta’ dawn kollha li ġejjin:</w:t>
            </w:r>
          </w:p>
        </w:tc>
      </w:tr>
    </w:tbl>
    <w:p w:rsidR="00A85A26" w:rsidRPr="0046639E" w:rsidRDefault="00AF65B7" w:rsidP="00A85A26">
      <w:pPr>
        <w:pStyle w:val="Olang"/>
        <w:rPr>
          <w:sz w:val="24"/>
          <w:szCs w:val="24"/>
        </w:rPr>
      </w:pPr>
      <w:r w:rsidRPr="0046639E">
        <w:rPr>
          <w:sz w:val="24"/>
          <w:szCs w:val="24"/>
        </w:rPr>
        <w:t xml:space="preserve">Or. </w:t>
      </w:r>
      <w:r w:rsidRPr="0046639E">
        <w:rPr>
          <w:rStyle w:val="HideTWBExt"/>
        </w:rPr>
        <w:t>&lt;Original&gt;</w:t>
      </w:r>
      <w:r w:rsidRPr="0046639E">
        <w:rPr>
          <w:rStyle w:val="HideTWBInt"/>
          <w:sz w:val="24"/>
          <w:szCs w:val="24"/>
        </w:rPr>
        <w:t>{EN}</w:t>
      </w:r>
      <w:r w:rsidRPr="0046639E">
        <w:rPr>
          <w:sz w:val="24"/>
          <w:szCs w:val="24"/>
        </w:rPr>
        <w:t>en</w:t>
      </w:r>
      <w:r w:rsidRPr="0046639E">
        <w:rPr>
          <w:rStyle w:val="HideTWBExt"/>
        </w:rPr>
        <w:t>&lt;/Original&gt;</w:t>
      </w:r>
    </w:p>
    <w:p w:rsidR="00A85A26" w:rsidRPr="0046639E" w:rsidRDefault="00AF65B7" w:rsidP="00A85A26">
      <w:r>
        <w:rPr>
          <w:rStyle w:val="HideTWBExt"/>
        </w:rPr>
        <w:t>&lt;/Amend&gt;</w:t>
      </w:r>
    </w:p>
    <w:p w:rsidR="00A85A26" w:rsidRPr="0046639E" w:rsidRDefault="00AF65B7" w:rsidP="00A85A26">
      <w:r>
        <w:rPr>
          <w:rStyle w:val="HideTWBExt"/>
        </w:rPr>
        <w:t>&lt;/RepeatBlock-Amend&gt;</w:t>
      </w:r>
    </w:p>
    <w:p w:rsidR="002669B6" w:rsidRPr="004F7271" w:rsidRDefault="002669B6" w:rsidP="00A85A26">
      <w:pPr>
        <w:pStyle w:val="NormalHanging12a"/>
      </w:pPr>
    </w:p>
    <w:sectPr w:rsidR="002669B6" w:rsidRPr="004F7271" w:rsidSect="004557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F65B7">
      <w:r>
        <w:separator/>
      </w:r>
    </w:p>
  </w:endnote>
  <w:endnote w:type="continuationSeparator" w:id="0">
    <w:p w:rsidR="00000000" w:rsidRDefault="00AF6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4F7271" w:rsidRDefault="00AF65B7" w:rsidP="00F07062">
    <w:pPr>
      <w:pStyle w:val="EPFooter"/>
    </w:pPr>
    <w:r w:rsidRPr="004F7271">
      <w:t>PE</w:t>
    </w:r>
    <w:r w:rsidRPr="004F7271">
      <w:rPr>
        <w:rStyle w:val="HideTWBExt"/>
      </w:rPr>
      <w:t>&lt;NoPE&gt;</w:t>
    </w:r>
    <w:r w:rsidR="00A85A26" w:rsidRPr="00A85A26">
      <w:t>752.913</w:t>
    </w:r>
    <w:r w:rsidRPr="004F7271">
      <w:rPr>
        <w:rStyle w:val="HideTWBExt"/>
      </w:rPr>
      <w:t>&lt;/NoPE&gt;&lt;Version&gt;</w:t>
    </w:r>
    <w:r w:rsidR="004F7271" w:rsidRPr="004F7271">
      <w:t>v</w:t>
    </w:r>
    <w:r w:rsidR="00A85A26" w:rsidRPr="00A85A26">
      <w:t>01-00</w:t>
    </w:r>
    <w:r w:rsidRPr="004F7271">
      <w:rPr>
        <w:rStyle w:val="HideTWBExt"/>
      </w:rPr>
      <w:t>&lt;/Version&gt;</w:t>
    </w:r>
    <w:r w:rsidRPr="004F7271">
      <w:tab/>
    </w:r>
    <w:r w:rsidR="00914537" w:rsidRPr="004F7271">
      <w:fldChar w:fldCharType="begin"/>
    </w:r>
    <w:r w:rsidR="00914537" w:rsidRPr="004F7271">
      <w:instrText xml:space="preserve"> PAGE </w:instrText>
    </w:r>
    <w:r w:rsidR="00914537" w:rsidRPr="004F7271">
      <w:fldChar w:fldCharType="separate"/>
    </w:r>
    <w:r>
      <w:rPr>
        <w:noProof/>
      </w:rPr>
      <w:t>2</w:t>
    </w:r>
    <w:r w:rsidR="00914537" w:rsidRPr="004F7271">
      <w:fldChar w:fldCharType="end"/>
    </w:r>
    <w:r w:rsidR="00914537" w:rsidRPr="004F7271">
      <w:t>/</w:t>
    </w:r>
    <w:r w:rsidR="00914537" w:rsidRPr="004F7271">
      <w:rPr>
        <w:rStyle w:val="PageNumber"/>
      </w:rPr>
      <w:fldChar w:fldCharType="begin"/>
    </w:r>
    <w:r w:rsidR="00914537" w:rsidRPr="004F7271">
      <w:rPr>
        <w:rStyle w:val="PageNumber"/>
      </w:rPr>
      <w:instrText xml:space="preserve"> NUMPAGES </w:instrText>
    </w:r>
    <w:r w:rsidR="00914537" w:rsidRPr="004F7271">
      <w:rPr>
        <w:rStyle w:val="PageNumber"/>
      </w:rPr>
      <w:fldChar w:fldCharType="separate"/>
    </w:r>
    <w:r>
      <w:rPr>
        <w:rStyle w:val="PageNumber"/>
        <w:noProof/>
      </w:rPr>
      <w:t>20</w:t>
    </w:r>
    <w:r w:rsidR="00914537" w:rsidRPr="004F7271">
      <w:rPr>
        <w:rStyle w:val="PageNumber"/>
      </w:rPr>
      <w:fldChar w:fldCharType="end"/>
    </w:r>
    <w:r w:rsidRPr="004F7271">
      <w:tab/>
    </w:r>
    <w:r w:rsidRPr="004F7271">
      <w:rPr>
        <w:rStyle w:val="HideTWBExt"/>
      </w:rPr>
      <w:t>&lt;PathFdR&gt;</w:t>
    </w:r>
    <w:r w:rsidR="00A85A26" w:rsidRPr="00A85A26">
      <w:t>PR\1285454MT.docx</w:t>
    </w:r>
    <w:r w:rsidRPr="004F7271">
      <w:rPr>
        <w:rStyle w:val="HideTWBExt"/>
      </w:rPr>
      <w:t>&lt;/PathFdR&gt;</w:t>
    </w:r>
  </w:p>
  <w:p w:rsidR="00FB52FE" w:rsidRPr="004F7271" w:rsidRDefault="00AF65B7">
    <w:pPr>
      <w:pStyle w:val="EPFooter2"/>
    </w:pPr>
    <w:r w:rsidRPr="004F7271">
      <w:fldChar w:fldCharType="begin"/>
    </w:r>
    <w:r w:rsidRPr="004F7271">
      <w:instrText xml:space="preserve"> DOCPROPERTY "&lt;Extension&gt;" </w:instrText>
    </w:r>
    <w:r w:rsidRPr="004F7271">
      <w:fldChar w:fldCharType="separate"/>
    </w:r>
    <w:r>
      <w:t>MT</w:t>
    </w:r>
    <w:r w:rsidRPr="004F7271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4F7271" w:rsidRDefault="00AF65B7" w:rsidP="00F07062">
    <w:pPr>
      <w:pStyle w:val="EPFooter"/>
    </w:pPr>
    <w:r w:rsidRPr="004F7271">
      <w:rPr>
        <w:rStyle w:val="HideTWBExt"/>
      </w:rPr>
      <w:t>&lt;PathFdR&gt;</w:t>
    </w:r>
    <w:r w:rsidR="00A85A26" w:rsidRPr="00A85A26">
      <w:t>PR\1285454MT.docx</w:t>
    </w:r>
    <w:r w:rsidRPr="004F7271">
      <w:rPr>
        <w:rStyle w:val="HideTWBExt"/>
      </w:rPr>
      <w:t>&lt;/PathFdR&gt;</w:t>
    </w:r>
    <w:r w:rsidRPr="004F7271">
      <w:tab/>
    </w:r>
    <w:r w:rsidR="00914537" w:rsidRPr="004F7271">
      <w:fldChar w:fldCharType="begin"/>
    </w:r>
    <w:r w:rsidR="00914537" w:rsidRPr="004F7271">
      <w:instrText xml:space="preserve"> PAGE </w:instrText>
    </w:r>
    <w:r w:rsidR="00914537" w:rsidRPr="004F7271">
      <w:fldChar w:fldCharType="separate"/>
    </w:r>
    <w:r>
      <w:rPr>
        <w:noProof/>
      </w:rPr>
      <w:t>19</w:t>
    </w:r>
    <w:r w:rsidR="00914537" w:rsidRPr="004F7271">
      <w:fldChar w:fldCharType="end"/>
    </w:r>
    <w:r w:rsidR="00914537" w:rsidRPr="004F7271">
      <w:t>/</w:t>
    </w:r>
    <w:r w:rsidR="00914537" w:rsidRPr="004F7271">
      <w:rPr>
        <w:rStyle w:val="PageNumber"/>
      </w:rPr>
      <w:fldChar w:fldCharType="begin"/>
    </w:r>
    <w:r w:rsidR="00914537" w:rsidRPr="004F7271">
      <w:rPr>
        <w:rStyle w:val="PageNumber"/>
      </w:rPr>
      <w:instrText xml:space="preserve"> NUMPAGES </w:instrText>
    </w:r>
    <w:r w:rsidR="00914537" w:rsidRPr="004F7271">
      <w:rPr>
        <w:rStyle w:val="PageNumber"/>
      </w:rPr>
      <w:fldChar w:fldCharType="separate"/>
    </w:r>
    <w:r>
      <w:rPr>
        <w:rStyle w:val="PageNumber"/>
        <w:noProof/>
      </w:rPr>
      <w:t>20</w:t>
    </w:r>
    <w:r w:rsidR="00914537" w:rsidRPr="004F7271">
      <w:rPr>
        <w:rStyle w:val="PageNumber"/>
      </w:rPr>
      <w:fldChar w:fldCharType="end"/>
    </w:r>
    <w:r w:rsidRPr="004F7271">
      <w:tab/>
      <w:t>PE</w:t>
    </w:r>
    <w:r w:rsidRPr="004F7271">
      <w:rPr>
        <w:rStyle w:val="HideTWBExt"/>
      </w:rPr>
      <w:t>&lt;NoPE&gt;</w:t>
    </w:r>
    <w:r w:rsidR="00A85A26" w:rsidRPr="00A85A26">
      <w:t>752.913</w:t>
    </w:r>
    <w:r w:rsidRPr="004F7271">
      <w:rPr>
        <w:rStyle w:val="HideTWBExt"/>
      </w:rPr>
      <w:t>&lt;/NoPE&gt;&lt;Version&gt;</w:t>
    </w:r>
    <w:r w:rsidR="004F7271" w:rsidRPr="004F7271">
      <w:t>v</w:t>
    </w:r>
    <w:r w:rsidR="00A85A26" w:rsidRPr="00A85A26">
      <w:t>01-00</w:t>
    </w:r>
    <w:r w:rsidRPr="004F7271">
      <w:rPr>
        <w:rStyle w:val="HideTWBExt"/>
      </w:rPr>
      <w:t>&lt;/Version&gt;</w:t>
    </w:r>
  </w:p>
  <w:p w:rsidR="00FB52FE" w:rsidRPr="004F7271" w:rsidRDefault="00AF65B7">
    <w:pPr>
      <w:pStyle w:val="EPFooter2"/>
    </w:pPr>
    <w:r w:rsidRPr="004F7271">
      <w:tab/>
    </w:r>
    <w:r w:rsidRPr="004F7271">
      <w:tab/>
    </w:r>
    <w:fldSimple w:instr=" DOCPROPERTY &quot;&lt;Extension&gt;&quot; ">
      <w:r>
        <w:t>MT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4F7271" w:rsidRDefault="00AF65B7" w:rsidP="00F07062">
    <w:pPr>
      <w:pStyle w:val="EPFooter"/>
    </w:pPr>
    <w:r w:rsidRPr="004F7271">
      <w:rPr>
        <w:rStyle w:val="HideTWBExt"/>
      </w:rPr>
      <w:t>&lt;PathFdR&gt;</w:t>
    </w:r>
    <w:r w:rsidR="00A85A26" w:rsidRPr="00A85A26">
      <w:t>PR\1285454MT.docx</w:t>
    </w:r>
    <w:r w:rsidRPr="004F7271">
      <w:rPr>
        <w:rStyle w:val="HideTWBExt"/>
      </w:rPr>
      <w:t>&lt;/PathFdR&gt;</w:t>
    </w:r>
    <w:r w:rsidRPr="004F7271">
      <w:tab/>
    </w:r>
    <w:r w:rsidRPr="004F7271">
      <w:tab/>
      <w:t>PE</w:t>
    </w:r>
    <w:r w:rsidRPr="004F7271">
      <w:rPr>
        <w:rStyle w:val="HideTWBExt"/>
      </w:rPr>
      <w:t>&lt;NoPE&gt;</w:t>
    </w:r>
    <w:r w:rsidR="00A85A26" w:rsidRPr="00A85A26">
      <w:t>752.913</w:t>
    </w:r>
    <w:r w:rsidRPr="004F7271">
      <w:rPr>
        <w:rStyle w:val="HideTWBExt"/>
      </w:rPr>
      <w:t>&lt;/NoPE&gt;&lt;Version&gt;</w:t>
    </w:r>
    <w:r w:rsidR="004F7271" w:rsidRPr="004F7271">
      <w:t>v</w:t>
    </w:r>
    <w:r w:rsidR="00A85A26" w:rsidRPr="00A85A26">
      <w:t>01-00</w:t>
    </w:r>
    <w:r w:rsidRPr="004F7271">
      <w:rPr>
        <w:rStyle w:val="HideTWBExt"/>
      </w:rPr>
      <w:t>&lt;/Version&gt;</w:t>
    </w:r>
  </w:p>
  <w:p w:rsidR="00FB52FE" w:rsidRPr="004F7271" w:rsidRDefault="00AF65B7" w:rsidP="00461601">
    <w:pPr>
      <w:pStyle w:val="EPFooter2"/>
      <w:tabs>
        <w:tab w:val="clear" w:pos="4535"/>
        <w:tab w:val="center" w:pos="4536"/>
      </w:tabs>
    </w:pPr>
    <w:r w:rsidRPr="004F7271">
      <w:fldChar w:fldCharType="begin"/>
    </w:r>
    <w:r w:rsidRPr="004F7271">
      <w:instrText xml:space="preserve"> DOCPROPERTY "&lt;Extension&gt;" </w:instrText>
    </w:r>
    <w:r w:rsidRPr="004F7271">
      <w:fldChar w:fldCharType="separate"/>
    </w:r>
    <w:r>
      <w:t>MT</w:t>
    </w:r>
    <w:r w:rsidRPr="004F7271">
      <w:fldChar w:fldCharType="end"/>
    </w:r>
    <w:r w:rsidRPr="004F7271">
      <w:tab/>
    </w:r>
    <w:r w:rsidR="00A85A26">
      <w:rPr>
        <w:b w:val="0"/>
        <w:i/>
        <w:color w:val="C0C0C0"/>
        <w:sz w:val="22"/>
        <w:szCs w:val="22"/>
      </w:rPr>
      <w:t>Magħquda fid-diversità</w:t>
    </w:r>
    <w:r w:rsidRPr="004F7271">
      <w:tab/>
    </w:r>
    <w:r w:rsidRPr="004F7271">
      <w:fldChar w:fldCharType="begin"/>
    </w:r>
    <w:r w:rsidRPr="004F7271">
      <w:instrText xml:space="preserve"> DOCPROPERTY "&lt;Extension&gt;" </w:instrText>
    </w:r>
    <w:r w:rsidRPr="004F7271">
      <w:fldChar w:fldCharType="separate"/>
    </w:r>
    <w:r>
      <w:t>MT</w:t>
    </w:r>
    <w:r w:rsidRPr="004F727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271" w:rsidRPr="004F7271" w:rsidRDefault="00AF65B7">
      <w:r w:rsidRPr="004F7271">
        <w:separator/>
      </w:r>
    </w:p>
  </w:footnote>
  <w:footnote w:type="continuationSeparator" w:id="0">
    <w:p w:rsidR="004F7271" w:rsidRPr="004F7271" w:rsidRDefault="00AF65B7">
      <w:r w:rsidRPr="004F7271">
        <w:continuationSeparator/>
      </w:r>
    </w:p>
  </w:footnote>
  <w:footnote w:id="1">
    <w:p w:rsidR="00A85A26" w:rsidRPr="0046639E" w:rsidRDefault="00AF65B7" w:rsidP="00A85A26">
      <w:pPr>
        <w:pStyle w:val="FootnoteText"/>
        <w:rPr>
          <w:sz w:val="24"/>
          <w:szCs w:val="24"/>
        </w:rPr>
      </w:pPr>
      <w:r>
        <w:rPr>
          <w:rStyle w:val="FootnoteReference"/>
          <w:sz w:val="24"/>
          <w:szCs w:val="24"/>
        </w:rPr>
        <w:footnoteRef/>
      </w:r>
      <w:r>
        <w:rPr>
          <w:sz w:val="24"/>
        </w:rPr>
        <w:t xml:space="preserve"> </w:t>
      </w:r>
      <w:r>
        <w:rPr>
          <w:sz w:val="24"/>
        </w:rPr>
        <w:tab/>
        <w:t>ĠU C 307, 31.8.2023, p. 19.</w:t>
      </w:r>
    </w:p>
  </w:footnote>
  <w:footnote w:id="2">
    <w:p w:rsidR="00A85A26" w:rsidRPr="0046639E" w:rsidRDefault="00AF65B7" w:rsidP="00A85A26">
      <w:pPr>
        <w:pStyle w:val="FootnoteText"/>
      </w:pPr>
      <w:r>
        <w:rPr>
          <w:rStyle w:val="FootnoteReference"/>
          <w:sz w:val="24"/>
          <w:szCs w:val="24"/>
        </w:rPr>
        <w:footnoteRef/>
      </w:r>
      <w:r>
        <w:t xml:space="preserve"> </w:t>
      </w:r>
      <w:r>
        <w:tab/>
        <w:t>Għadha ma ġietx ippubblikata fil-Ġurnal Uffiċjali.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A26" w:rsidRDefault="00A85A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A26" w:rsidRDefault="00A85A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A26" w:rsidRDefault="00A85A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ECON"/>
    <w:docVar w:name="LastEditedSection" w:val=" 1"/>
    <w:docVar w:name="RepeatBlock-Amend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3\fbidi \froman\fcharset238\fprq2 Times New Roman CE;}{\f334\fbidi \froman\fcharset204\fprq2 Times New Roman Cyr;}_x000d__x000a_{\f336\fbidi \froman\fcharset161\fprq2 Times New Roman Greek;}{\f337\fbidi \froman\fcharset162\fprq2 Times New Roman Tur;}{\f338\fbidi \froman\fcharset177\fprq2 Times New Roman (Hebrew);}{\f339\fbidi \froman\fcharset178\fprq2 Times New Roman (Arabic);}_x000d__x000a_{\f340\fbidi \froman\fcharset186\fprq2 Times New Roman Baltic;}{\f341\fbidi \froman\fcharset163\fprq2 Times New Roman (Vietnamese);}{\f343\fbidi \fswiss\fcharset238\fprq2 Arial CE;}{\f344\fbidi \fswiss\fcharset204\fprq2 Arial Cyr;}_x000d__x000a_{\f346\fbidi \fswiss\fcharset161\fprq2 Arial Greek;}{\f347\fbidi \fswiss\fcharset162\fprq2 Arial Tur;}{\f348\fbidi \fswiss\fcharset177\fprq2 Arial (Hebrew);}{\f349\fbidi \fswiss\fcharset178\fprq2 Arial (Arabic);}_x000d__x000a_{\f350\fbidi \fswiss\fcharset186\fprq2 Arial Baltic;}{\f351\fbidi \fswiss\fcharset163\fprq2 Arial (Vietnamese);}{\f673\fbidi \froman\fcharset238\fprq2 Cambria Math CE;}{\f674\fbidi \froman\fcharset204\fprq2 Cambria Math Cyr;}_x000d__x000a_{\f676\fbidi \froman\fcharset161\fprq2 Cambria Math Greek;}{\f677\fbidi \froman\fcharset162\fprq2 Cambria Math Tur;}{\f680\fbidi \froman\fcharset186\fprq2 Cambria Math Baltic;}{\f68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936451 HideTWBExt;}{\*\cs18 \additive \v\f1\fs20\cf15 _x000d__x000a_\spriority0 \styrsid936451 HideTWBInt;}{\s19\ql \li0\ri0\sa120\nowidctlpar\wrapdefault\aspalpha\aspnum\faauto\adjustright\rin0\lin0\itap0 \rtlch\fcs1 \af0\afs20\alang1025 \ltrch\fcs0 \fs24\lang1082\langfe2057\cgrid\langnp1082\langfenp2057 _x000d__x000a_\sbasedon0 \snext19 \spriority0 \styrsid936451 Normal6a;}{\s20\ql \li0\ri0\nowidctlpar\wrapdefault\aspalpha\aspnum\faauto\adjustright\rin0\lin0\itap0 \rtlch\fcs1 \af0\afs20\alang1025 \ltrch\fcs0 \b\fs24\lang1082\langfe2057\cgrid\langnp1082\langfenp2057 _x000d__x000a_\sbasedon0 \snext20 \spriority0 \styrsid936451 NormalBold;}{\s21\ql \li0\ri0\sa240\nowidctlpar\wrapdefault\aspalpha\aspnum\faauto\adjustright\rin0\lin0\itap0 \rtlch\fcs1 \af0\afs20\alang1025 \ltrch\fcs0 _x000d__x000a_\i\fs24\lang1082\langfe2057\cgrid\langnp1082\langfenp2057 \sbasedon0 \snext21 \spriority0 \styrsid936451 AmJustText;}{\s22\qc \li0\ri0\sb240\sa240\nowidctlpar\wrapdefault\aspalpha\aspnum\faauto\adjustright\rin0\lin0\itap0 \rtlch\fcs1 \af0\afs20\alang1025 _x000d__x000a_\ltrch\fcs0 \i\fs24\lang1082\langfe2057\cgrid\langnp1082\langfenp2057 \sbasedon0 \snext22 \spriority0 \styrsid936451 AmCrossRef;}{\s23\qc \li0\ri0\sb240\sa240\keepn\nowidctlpar\wrapdefault\aspalpha\aspnum\faauto\adjustright\rin0\lin0\itap0 \rtlch\fcs1 _x000d__x000a_\af0\afs20\alang1025 \ltrch\fcs0 \i\fs24\lang1082\langfe2057\cgrid\langnp1082\langfenp2057 \sbasedon0 \snext21 \spriority0 \styrsid936451 AmJustTitle;}{_x000d__x000a_\s24\qr \li0\ri0\sb240\sa240\nowidctlpar\wrapdefault\aspalpha\aspnum\faauto\adjustright\rin0\lin0\itap0 \rtlch\fcs1 \af0\afs20\alang1025 \ltrch\fcs0 \fs24\lang1082\langfe2057\cgrid\langnp1082\langfenp2057 \sbasedon0 \snext24 \spriority0 \styrsid936451 _x000d__x000a_AmOrLang;}{\s25\qc \li0\ri0\sa240\nowidctlpar\wrapdefault\aspalpha\aspnum\faauto\adjustright\rin0\lin0\itap0 \rtlch\fcs1 \af0\afs20\alang1025 \ltrch\fcs0 \i\fs24\lang1082\langfe2057\cgrid\langnp1082\langfenp2057 _x000d__x000a_\sbasedon0 \snext25 \spriority0 \styrsid936451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936451 AmNumberTabs;}{\s27\ql \li0\ri0\sb240\nowidctlpar\wrapdefault\aspalpha\aspnum\faauto\adjustright\rin0\lin0\itap0 \rtlch\fcs1 _x000d__x000a_\af0\afs20\alang1025 \ltrch\fcs0 \b\fs24\lang1082\langfe2057\cgrid\langnp1082\langfenp2057 \sbasedon0 \snext27 \spriority0 \styrsid936451 NormalBold12b;}}{\*\rsidtbl \rsid24658\rsid223860\rsid735077\rsid936451\rsid1718133\rsid2892074\rsid3565327_x000d__x000a_\rsid4666813\rsid6641733\rsid7823322\rsid9636012\rsid9652398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MAGRO Josefa Maria}{\operator MAGRO Josefa Maria}{\creatim\yr2023\mo9\dy12\hr15\min32}{\revtim\yr2023\mo9\dy12\hr15\min32}{\version1}{\edmins0}_x000d__x000a_{\nofpages1}{\nofwords83}{\nofchars612}{\nofcharsws691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20\pgbrdrhead\pgbrdrfoot\splytwnine\ftnlytwnine\htmautsp\nolnhtadjtbl\useltbaln\alntblind\lytcalctblwd\lyttblrtgr\lnbrkrule\nobrkwrptbl\snaptogridincell\allowfieldendsel\wrppunct_x000d__x000a_\asianbrkrule\nojkernpunct\rsidroot936451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jmagro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965239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65239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65239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65239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936451 \rtlch\fcs1 _x000d__x000a_\af0\afs20\alang1025 \ltrch\fcs0 \b\fs24\lang1082\langfe2057\cgrid\langnp1082\langfenp2057 {\rtlch\fcs1 \af0 \ltrch\fcs0 \cs17\b0\v\fs20\cf9\lang1024\langfe1024\loch\af1\hich\af1\dbch\af31501\noproof\insrsid936451\charrsid5206641 {\*\bkmkstart restart}_x000d__x000a_\hich\af1\dbch\af31501\loch\f1 &lt;Amend&gt;}{\rtlch\fcs1 \af0 \ltrch\fcs0 \insrsid936451\charrsid5206641 Emenda\tab \tab }{\rtlch\fcs1 \af0 \ltrch\fcs0 _x000d__x000a_\cs17\b0\v\fs20\cf9\lang1024\langfe1024\loch\af1\hich\af1\dbch\af31501\noproof\insrsid936451\charrsid5206641 \hich\af1\dbch\af31501\loch\f1 &lt;NumAm&gt;}{\rtlch\fcs1 \af0 \ltrch\fcs0 \insrsid936451\charrsid5206641 #}{\rtlch\fcs1 \af1 \ltrch\fcs0 _x000d__x000a_\cs18\v\f1\fs20\cf15\insrsid936451\charrsid5206641 ENMIENDA@NRAM@}{\rtlch\fcs1 \af0 \ltrch\fcs0 \insrsid936451\charrsid5206641 #}{\rtlch\fcs1 \af0 \ltrch\fcs0 _x000d__x000a_\cs17\b0\v\fs20\cf9\lang1024\langfe1024\loch\af1\hich\af1\dbch\af31501\noproof\insrsid936451\charrsid5206641 \hich\af1\dbch\af31501\loch\f1 &lt;/NumAm&gt;}{\rtlch\fcs1 \af0 \ltrch\fcs0 \insrsid936451\charrsid5206641 _x000d__x000a_\par }\pard\plain \ltrpar\s27\ql \li0\ri0\sb240\keepn\nowidctlpar\wrapdefault\aspalpha\aspnum\faauto\adjustright\rin0\lin0\itap0\pararsid936451 \rtlch\fcs1 \af0\afs20\alang1025 \ltrch\fcs0 \b\fs24\lang1082\langfe2057\cgrid\langnp1082\langfenp2057 {\rtlch\fcs1 _x000d__x000a_\af0 \ltrch\fcs0 \cs17\b0\v\fs20\cf9\lang1024\langfe1024\loch\af1\hich\af1\dbch\af31501\noproof\insrsid936451\charrsid5206641 \hich\af1\dbch\af31501\loch\f1 &lt;DocAmend&gt;}{\rtlch\fcs1 \af0 \ltrch\fcs0 \insrsid936451\charrsid5206641 Proposta g\u295\'68al #}{_x000d__x000a_\rtlch\fcs1 \af1 \ltrch\fcs0 \cs18\v\f1\fs20\cf15\insrsid936451\charrsid5206641 MNU[DOC1][DOC2][DOC3]@DOCMSG@DOCMNU}{\rtlch\fcs1 \af0 \ltrch\fcs0 \insrsid936451\charrsid5206641 ##}{\rtlch\fcs1 \af1 \ltrch\fcs0 _x000d__x000a_\cs18\v\f1\fs20\cf15\insrsid936451\charrsid5206641 MNU[AMACTYES][NOTAPP]@CHOICE@AMACTMNU}{\rtlch\fcs1 \af0 \ltrch\fcs0 \insrsid936451\charrsid5206641 #}{\rtlch\fcs1 \af0 \ltrch\fcs0 _x000d__x000a_\cs17\b0\v\fs20\cf9\lang1024\langfe1024\loch\af1\hich\af1\dbch\af31501\noproof\insrsid936451\charrsid5206641 \hich\af1\dbch\af31501\loch\f1 &lt;/DocAmend&gt;}{\rtlch\fcs1 \af0 \ltrch\fcs0 \insrsid936451\charrsid5206641 _x000d__x000a_\par }\pard\plain \ltrpar\s20\ql \li0\ri0\keepn\nowidctlpar\wrapdefault\aspalpha\aspnum\faauto\adjustright\rin0\lin0\itap0\pararsid936451 \rtlch\fcs1 \af0\afs20\alang1025 \ltrch\fcs0 \b\fs24\lang1082\langfe2057\cgrid\langnp1082\langfenp2057 {\rtlch\fcs1 \af0 _x000d__x000a_\ltrch\fcs0 \cs17\b0\v\fs20\cf9\lang1024\langfe1024\loch\af1\hich\af1\dbch\af31501\noproof\insrsid936451\charrsid5206641 \hich\af1\dbch\af31501\loch\f1 &lt;Article&gt;}{\rtlch\fcs1 \af0 \ltrch\fcs0 \insrsid936451\charrsid5206641 #}{\rtlch\fcs1 \af1 \ltrch\fcs0 _x000d__x000a_\cs18\v\f1\fs20\cf15\insrsid936451\charrsid5206641 MNU[AMACTPARTYES][AMACTPARTNO]@CHOICE@AMACTMNU}{\rtlch\fcs1 \af0 \ltrch\fcs0 \insrsid936451\charrsid5206641 #}{\rtlch\fcs1 \af0 \ltrch\fcs0 _x000d__x000a_\cs17\b0\v\fs20\cf9\lang1024\langfe1024\loch\af1\hich\af1\dbch\af31501\noproof\insrsid936451\charrsid5206641 \hich\af1\dbch\af31501\loch\f1 &lt;/Article&gt;}{\rtlch\fcs1 \af0 \ltrch\fcs0 \insrsid936451\charrsid5206641 _x000d__x000a_\par }\pard\plain \ltrpar\ql \li0\ri0\keepn\widctlpar\wrapdefault\aspalpha\aspnum\faauto\adjustright\rin0\lin0\itap0\pararsid936451 \rtlch\fcs1 \af0\afs20\alang1025 \ltrch\fcs0 \fs24\lang2057\langfe2057\cgrid\langnp2057\langfenp2057 {\rtlch\fcs1 \af0 _x000d__x000a_\ltrch\fcs0 \cs17\v\fs20\cf9\lang1024\langfe1024\loch\af1\hich\af1\dbch\af31501\noproof\langnp1082\insrsid936451\charrsid5206641 \hich\af1\dbch\af31501\loch\f1 &lt;DocAmend2&gt;&lt;OptDel&gt;}{\rtlch\fcs1 \af0 \ltrch\fcs0 _x000d__x000a_\lang1082\langfe2057\langnp1082\insrsid936451\charrsid5206641 #}{\rtlch\fcs1 \af1 \ltrch\fcs0 \cs18\v\f1\fs20\cf15\lang1082\langfe2057\langnp1082\insrsid936451\charrsid5206641 MNU[OPTNRACTYES][NOTAPP]@CHOICE@AMACTMNU}{\rtlch\fcs1 \af0 \ltrch\fcs0 _x000d__x000a_\lang1082\langfe2057\langnp1082\insrsid936451\charrsid5206641 #}{\rtlch\fcs1 \af0 \ltrch\fcs0 \cs17\v\fs20\cf9\lang1024\langfe1024\loch\af1\hich\af1\dbch\af31501\noproof\langnp1082\insrsid936451\charrsid5206641 \hich\af1\dbch\af31501\loch\f1 _x000d__x000a_&lt;/OptDel&gt;&lt;/DocAmend2&gt;}{\rtlch\fcs1 \af0 \ltrch\fcs0 \lang1082\langfe2057\langnp1082\insrsid936451\charrsid5206641 _x000d__x000a_\par }\pard \ltrpar\ql \li0\ri0\widctlpar\wrapdefault\aspalpha\aspnum\faauto\adjustright\rin0\lin0\itap0\pararsid936451 {\rtlch\fcs1 \af0 \ltrch\fcs0 _x000d__x000a_\cs17\v\fs20\cf9\lang1024\langfe1024\loch\af1\hich\af1\dbch\af31501\noproof\langnp1082\insrsid936451\charrsid5206641 \hich\af1\dbch\af31501\loch\f1 &lt;Article2&gt;&lt;OptDel&gt;}{\rtlch\fcs1 \af0 \ltrch\fcs0 _x000d__x000a_\lang1082\langfe2057\langnp1082\insrsid936451\charrsid5206641 #}{\rtlch\fcs1 \af1 \ltrch\fcs0 \cs18\v\f1\fs20\cf15\lang1082\langfe2057\langnp1082\insrsid936451\charrsid5206641 MNU[OPTACTPARTYES][NOTAPP]@CHOICE@AMACTMNU}{\rtlch\fcs1 \af0 \ltrch\fcs0 _x000d__x000a_\lang1082\langfe2057\langnp1082\insrsid936451\charrsid5206641 #}{\rtlch\fcs1 \af0 \ltrch\fcs0 \cs17\v\fs20\cf9\lang1024\langfe1024\loch\af1\hich\af1\dbch\af31501\noproof\langnp1082\insrsid936451\charrsid5206641 \hich\af1\dbch\af31501\loch\f1 _x000d__x000a_&lt;/OptDel&gt;&lt;/Article2&gt;}{\rtlch\fcs1 \af0 \ltrch\fcs0 \lang1082\langfe2057\langnp1082\insrsid936451\charrsid5206641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82\langfe2057\langnp1082\insrsid936451\charrsid5206641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936451\charrsid5206641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1082\langfe2057\cgrid\langnp1082\langfenp2057 {\rtlch\fcs1 \af0 \ltrch\fcs0 _x000d__x000a_\insrsid936451\charrsid5206641 #}{\rtlch\fcs1 \af1 \ltrch\fcs0 \cs18\v\f1\fs20\cf15\insrsid936451\charrsid5206641 MNU[OPTLEFTAMACT][LEFTPROP]@CHOICE@AMACTMNU}{\rtlch\fcs1 \af0 \ltrch\fcs0 \insrsid936451\charrsid5206641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936451\charrsid5206641 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1082\langfe2057\cgrid\langnp1082\langfenp2057 {\rtlch\fcs1 \af0 \ltrch\fcs0 _x000d__x000a_\insrsid936451\charrsid5206641 ##\cell ##}{\rtlch\fcs1 \af0\afs24 \ltrch\fcs0 \insrsid936451\charrsid5206641 \cell }\pard\plain \ltrpar\ql \li0\ri0\widctlpar\intbl\wrapdefault\aspalpha\aspnum\faauto\adjustright\rin0\lin0 \rtlch\fcs1 \af0\afs20\alang1025 _x000d__x000a_\ltrch\fcs0 \fs24\lang2057\langfe2057\cgrid\langnp2057\langfenp2057 {\rtlch\fcs1 \af0 \ltrch\fcs0 \lang1082\langfe2057\langnp1082\insrsid936451\charrsid5206641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936451 \rtlch\fcs1 \af0\afs20\alang1025 \ltrch\fcs0 \fs24\lang1082\langfe2057\cgrid\langnp1082\langfenp2057 {\rtlch\fcs1 \af0 \ltrch\fcs0 _x000d__x000a_\insrsid936451\charrsid5206641 Or. }{\rtlch\fcs1 \af0 \ltrch\fcs0 \cs17\v\fs20\cf9\lang1024\langfe1024\loch\af1\hich\af1\dbch\af31501\noproof\insrsid936451\charrsid5206641 \hich\af1\dbch\af31501\loch\f1 &lt;Original&gt;}{\rtlch\fcs1 \af0 \ltrch\fcs0 _x000d__x000a_\insrsid936451\charrsid5206641 #}{\rtlch\fcs1 \af1 \ltrch\fcs0 \cs18\v\f1\fs20\cf15\insrsid936451\charrsid5206641 MNU[ORLANGONE][ORLANGMORE]@CHOICE@ORLANGMNU}{\rtlch\fcs1 \af0 \ltrch\fcs0 \insrsid936451\charrsid5206641 #}{\rtlch\fcs1 \af0 \ltrch\fcs0 _x000d__x000a_\cs17\v\fs20\cf9\lang1024\langfe1024\loch\af1\hich\af1\dbch\af31501\noproof\insrsid936451\charrsid5206641 \hich\af1\dbch\af31501\loch\f1 &lt;/Original&gt;}{\rtlch\fcs1 \af0 \ltrch\fcs0 \insrsid936451\charrsid5206641 _x000d__x000a_\par }\pard\plain \ltrpar\s22\qc \li0\ri0\sb240\sa240\nowidctlpar\wrapdefault\aspalpha\aspnum\faauto\adjustright\rin0\lin0\itap0\pararsid936451 \rtlch\fcs1 \af0\afs20\alang1025 \ltrch\fcs0 \i\fs24\lang1082\langfe2057\cgrid\langnp1082\langfenp2057 {\rtlch\fcs1 _x000d__x000a_\af0 \ltrch\fcs0 \cs17\i0\v\fs20\cf9\lang1024\langfe1024\loch\af1\hich\af1\dbch\af31501\noproof\insrsid936451\charrsid5206641 \hich\af1\dbch\af31501\loch\f1 &lt;OptDel&gt;}{\rtlch\fcs1 \af0 \ltrch\fcs0 \insrsid936451\charrsid5206641 #}{\rtlch\fcs1 \af1 _x000d__x000a_\ltrch\fcs0 \cs18\v\f1\fs20\cf15\insrsid936451\charrsid5206641 MNU[CROSSREFNO][CROSSREFYES]@CHOICE@}{\rtlch\fcs1 \af0 \ltrch\fcs0 \insrsid936451\charrsid5206641 #}{\rtlch\fcs1 \af0 \ltrch\fcs0 _x000d__x000a_\cs17\i0\v\fs20\cf9\lang1024\langfe1024\loch\af1\hich\af1\dbch\af31501\noproof\insrsid936451\charrsid5206641 \hich\af1\dbch\af31501\loch\f1 &lt;/OptDel&gt;}{\rtlch\fcs1 \af0 \ltrch\fcs0 \insrsid936451\charrsid5206641 _x000d__x000a_\par }\pard\plain \ltrpar\s23\qc \li0\ri0\sb240\sa240\keepn\nowidctlpar\wrapdefault\aspalpha\aspnum\faauto\adjustright\rin0\lin0\itap0\pararsid936451 \rtlch\fcs1 \af0\afs20\alang1025 \ltrch\fcs0 \i\fs24\lang1082\langfe2057\cgrid\langnp1082\langfenp2057 {_x000d__x000a_\rtlch\fcs1 \af0 \ltrch\fcs0 \cs17\i0\v\fs20\cf9\lang1024\langfe1024\loch\af1\hich\af1\dbch\af31501\noproof\insrsid936451\charrsid5206641 \hich\af1\dbch\af31501\loch\f1 &lt;TitreJust&gt;}{\rtlch\fcs1 \af0 \ltrch\fcs0 \insrsid936451\charrsid5206641 \u288\'47_x000d__x000a_ustifikazzjoni}{\rtlch\fcs1 \af0 \ltrch\fcs0 \cs17\i0\v\fs20\cf9\lang1024\langfe1024\loch\af1\hich\af1\dbch\af31501\noproof\insrsid936451\charrsid5206641 \hich\af1\dbch\af31501\loch\f1 &lt;/TitreJust&gt;}{\rtlch\fcs1 \af0 \ltrch\fcs0 _x000d__x000a_\insrsid936451\charrsid5206641 _x000d__x000a_\par }\pard\plain \ltrpar\s21\ql \li0\ri0\sa240\nowidctlpar\wrapdefault\aspalpha\aspnum\faauto\adjustright\rin0\lin0\itap0\pararsid936451 \rtlch\fcs1 \af0\afs20\alang1025 \ltrch\fcs0 \i\fs24\lang1082\langfe2057\cgrid\langnp1082\langfenp2057 {\rtlch\fcs1 \af0 _x000d__x000a_\ltrch\fcs0 \cs17\i0\v\fs20\cf9\lang1024\langfe1024\loch\af1\hich\af1\dbch\af31501\noproof\insrsid936451\charrsid5206641 \hich\af1\dbch\af31501\loch\f1 &lt;OptDelPrev&gt;}{\rtlch\fcs1 \af0 \ltrch\fcs0 \insrsid936451\charrsid5206641 #}{\rtlch\fcs1 \af1 _x000d__x000a_\ltrch\fcs0 \cs18\v\f1\fs20\cf15\insrsid936451\charrsid5206641 MNU[TEXTJUSTYES][TEXTJUSTNO]@CHOICE@}{\rtlch\fcs1 \af0 \ltrch\fcs0 \insrsid936451\charrsid5206641 #}{\rtlch\fcs1 \af0 \ltrch\fcs0 _x000d__x000a_\cs17\i0\v\fs20\cf9\lang1024\langfe1024\loch\af1\hich\af1\dbch\af31501\noproof\insrsid936451\charrsid5206641 \hich\af1\dbch\af31501\loch\f1 &lt;/OptDelPrev&gt;}{\rtlch\fcs1 \af0 \ltrch\fcs0 \insrsid936451\charrsid5206641 _x000d__x000a_\par }\pard\plain \ltrpar\ql \li0\ri0\widctlpar\wrapdefault\aspalpha\aspnum\faauto\adjustright\rin0\lin0\itap0\pararsid936451 \rtlch\fcs1 \af0\afs20\alang1025 \ltrch\fcs0 \fs24\lang2057\langfe2057\cgrid\langnp2057\langfenp2057 {\rtlch\fcs1 \af0 \ltrch\fcs0 _x000d__x000a_\cs17\v\fs20\cf9\lang1024\langfe1024\loch\af1\hich\af1\dbch\af31501\noproof\langnp1082\insrsid936451\charrsid5206641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2d_x000d__x000a_1b8a7de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85"/>
    <w:docVar w:name="TXTAUTHOR" w:val=" Jonás Fernández "/>
    <w:docVar w:name="TXTLANGUE" w:val="MT"/>
    <w:docVar w:name="TXTLANGUEMIN" w:val="mt"/>
    <w:docVar w:name="TXTNRCOD" w:val="2023/0113"/>
    <w:docVar w:name="TXTNRPE" w:val="752.913"/>
    <w:docVar w:name="TXTPEorAP" w:val="PE"/>
    <w:docVar w:name="TXTROUTE" w:val="PR\1285454MT.docx"/>
    <w:docVar w:name="TXTVERSION" w:val="01-00"/>
  </w:docVars>
  <w:rsids>
    <w:rsidRoot w:val="004F7271"/>
    <w:rsid w:val="00011AAB"/>
    <w:rsid w:val="00012351"/>
    <w:rsid w:val="000139E5"/>
    <w:rsid w:val="00084DD2"/>
    <w:rsid w:val="00084E89"/>
    <w:rsid w:val="000B7489"/>
    <w:rsid w:val="000F1096"/>
    <w:rsid w:val="00120948"/>
    <w:rsid w:val="00123DD5"/>
    <w:rsid w:val="001277AE"/>
    <w:rsid w:val="00142215"/>
    <w:rsid w:val="001767E2"/>
    <w:rsid w:val="00187008"/>
    <w:rsid w:val="001A03FF"/>
    <w:rsid w:val="001B3829"/>
    <w:rsid w:val="001C0B4B"/>
    <w:rsid w:val="001C5592"/>
    <w:rsid w:val="001C5B44"/>
    <w:rsid w:val="001C6FFC"/>
    <w:rsid w:val="001F7C7C"/>
    <w:rsid w:val="00212B84"/>
    <w:rsid w:val="002346B0"/>
    <w:rsid w:val="00250087"/>
    <w:rsid w:val="002667C3"/>
    <w:rsid w:val="002669B6"/>
    <w:rsid w:val="00290BED"/>
    <w:rsid w:val="002D13EE"/>
    <w:rsid w:val="002E33EE"/>
    <w:rsid w:val="002F40BB"/>
    <w:rsid w:val="002F4B02"/>
    <w:rsid w:val="00323EF8"/>
    <w:rsid w:val="003316DD"/>
    <w:rsid w:val="00366A46"/>
    <w:rsid w:val="00370AC3"/>
    <w:rsid w:val="003824EE"/>
    <w:rsid w:val="003B4689"/>
    <w:rsid w:val="003C2068"/>
    <w:rsid w:val="003C37CF"/>
    <w:rsid w:val="004100B1"/>
    <w:rsid w:val="00426E47"/>
    <w:rsid w:val="00455743"/>
    <w:rsid w:val="00461601"/>
    <w:rsid w:val="0046639E"/>
    <w:rsid w:val="004C0915"/>
    <w:rsid w:val="004D424E"/>
    <w:rsid w:val="004E42C8"/>
    <w:rsid w:val="004E733D"/>
    <w:rsid w:val="004F3FA5"/>
    <w:rsid w:val="004F7271"/>
    <w:rsid w:val="0051271F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42325"/>
    <w:rsid w:val="0069092A"/>
    <w:rsid w:val="006A2F5D"/>
    <w:rsid w:val="006F7907"/>
    <w:rsid w:val="00743189"/>
    <w:rsid w:val="00743D33"/>
    <w:rsid w:val="007932B3"/>
    <w:rsid w:val="00793EA9"/>
    <w:rsid w:val="007D6F68"/>
    <w:rsid w:val="007F43F3"/>
    <w:rsid w:val="00817843"/>
    <w:rsid w:val="00823E6B"/>
    <w:rsid w:val="00826780"/>
    <w:rsid w:val="00837CCD"/>
    <w:rsid w:val="008633CC"/>
    <w:rsid w:val="00865190"/>
    <w:rsid w:val="008719B9"/>
    <w:rsid w:val="00887F81"/>
    <w:rsid w:val="00894923"/>
    <w:rsid w:val="00894ECE"/>
    <w:rsid w:val="00896BB4"/>
    <w:rsid w:val="008A7FB8"/>
    <w:rsid w:val="008C37B3"/>
    <w:rsid w:val="009022B8"/>
    <w:rsid w:val="00914537"/>
    <w:rsid w:val="00917CC4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85A26"/>
    <w:rsid w:val="00A910C9"/>
    <w:rsid w:val="00AA35B0"/>
    <w:rsid w:val="00AD18C8"/>
    <w:rsid w:val="00AD7FA6"/>
    <w:rsid w:val="00AE4643"/>
    <w:rsid w:val="00AF0416"/>
    <w:rsid w:val="00AF65B7"/>
    <w:rsid w:val="00B10CB4"/>
    <w:rsid w:val="00B13D6F"/>
    <w:rsid w:val="00B23B72"/>
    <w:rsid w:val="00B42702"/>
    <w:rsid w:val="00B57B8B"/>
    <w:rsid w:val="00B85407"/>
    <w:rsid w:val="00B95702"/>
    <w:rsid w:val="00BC6489"/>
    <w:rsid w:val="00BD480C"/>
    <w:rsid w:val="00C20954"/>
    <w:rsid w:val="00C23324"/>
    <w:rsid w:val="00C42A41"/>
    <w:rsid w:val="00C47E74"/>
    <w:rsid w:val="00C57A72"/>
    <w:rsid w:val="00C73602"/>
    <w:rsid w:val="00C85D0F"/>
    <w:rsid w:val="00CF60C8"/>
    <w:rsid w:val="00D30DE2"/>
    <w:rsid w:val="00D32924"/>
    <w:rsid w:val="00D503A3"/>
    <w:rsid w:val="00DA6ED0"/>
    <w:rsid w:val="00DC5011"/>
    <w:rsid w:val="00E171B6"/>
    <w:rsid w:val="00E72695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FFC465-3E1C-4F00-8097-08BD0ED30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A85A2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85A2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A85A26"/>
    <w:pPr>
      <w:ind w:left="0" w:firstLine="0"/>
    </w:pPr>
  </w:style>
  <w:style w:type="paragraph" w:styleId="FootnoteText">
    <w:name w:val="footnote text"/>
    <w:basedOn w:val="Normal"/>
    <w:link w:val="FootnoteTextChar"/>
    <w:rsid w:val="00A85A26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A85A26"/>
  </w:style>
  <w:style w:type="character" w:styleId="FootnoteReference">
    <w:name w:val="footnote reference"/>
    <w:basedOn w:val="DefaultParagraphFont"/>
    <w:rsid w:val="00A85A26"/>
    <w:rPr>
      <w:vertAlign w:val="superscript"/>
    </w:rPr>
  </w:style>
  <w:style w:type="character" w:customStyle="1" w:styleId="Normal6Char">
    <w:name w:val="Normal6 Char"/>
    <w:basedOn w:val="DefaultParagraphFont"/>
    <w:link w:val="Normal6"/>
    <w:locked/>
    <w:rsid w:val="00A85A26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A85A2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85A26"/>
    <w:rPr>
      <w:b/>
      <w:sz w:val="24"/>
      <w:lang w:val="mt-MT"/>
    </w:rPr>
  </w:style>
  <w:style w:type="paragraph" w:customStyle="1" w:styleId="ColumnHeading">
    <w:name w:val="ColumnHeading"/>
    <w:basedOn w:val="Normal"/>
    <w:rsid w:val="00A85A2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85A2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A85A26"/>
    <w:pPr>
      <w:jc w:val="right"/>
    </w:pPr>
  </w:style>
  <w:style w:type="paragraph" w:styleId="Footer">
    <w:name w:val="footer"/>
    <w:basedOn w:val="Normal"/>
    <w:link w:val="FooterChar"/>
    <w:semiHidden/>
    <w:rsid w:val="00A85A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A85A26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3B27A-1240-4D3C-921D-42D2068A2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5462</Words>
  <Characters>39713</Characters>
  <Application>Microsoft Office Word</Application>
  <DocSecurity>0</DocSecurity>
  <Lines>1281</Lines>
  <Paragraphs>273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44902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MAGRO Josefa Maria</dc:creator>
  <cp:lastModifiedBy>MAGRO Josefa Maria</cp:lastModifiedBy>
  <cp:revision>2</cp:revision>
  <cp:lastPrinted>2004-11-04T09:41:00Z</cp:lastPrinted>
  <dcterms:created xsi:type="dcterms:W3CDTF">2023-09-25T15:58:00Z</dcterms:created>
  <dcterms:modified xsi:type="dcterms:W3CDTF">2023-09-25T15:58:00Z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1285454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\\eiciLUXpr1\pdocep$\DocEP\DOCS\General\PR\PR_Leg\COD\COD_1st\PR_COD_1amCom.dotx(17/04/2020 19:27:09)</vt:lpwstr>
  </property>
  <property fmtid="{D5CDD505-2E9C-101B-9397-08002B2CF9AE}" pid="6" name="&lt;ModelTra&gt;">
    <vt:lpwstr>\\eiciLUXpr1\pdocep$\DocEP\TRANSFIL\MT\PR_COD_1amCom.MT(25/05/2023 16:04:04)</vt:lpwstr>
  </property>
  <property fmtid="{D5CDD505-2E9C-101B-9397-08002B2CF9AE}" pid="7" name="&lt;Type&gt;">
    <vt:lpwstr>PR</vt:lpwstr>
  </property>
  <property fmtid="{D5CDD505-2E9C-101B-9397-08002B2CF9AE}" pid="8" name="Bookout">
    <vt:lpwstr>OK - 2023/09/25 17:58</vt:lpwstr>
  </property>
  <property fmtid="{D5CDD505-2E9C-101B-9397-08002B2CF9AE}" pid="9" name="Created with">
    <vt:lpwstr>9.14.1 Build [20230315]</vt:lpwstr>
  </property>
  <property fmtid="{D5CDD505-2E9C-101B-9397-08002B2CF9AE}" pid="10" name="FooterPath">
    <vt:lpwstr>PR\1285454MT.docx</vt:lpwstr>
  </property>
  <property fmtid="{D5CDD505-2E9C-101B-9397-08002B2CF9AE}" pid="11" name="LastEdited with">
    <vt:lpwstr>9.14.1 Build [20230315]</vt:lpwstr>
  </property>
  <property fmtid="{D5CDD505-2E9C-101B-9397-08002B2CF9AE}" pid="12" name="PE number">
    <vt:lpwstr>752.913</vt:lpwstr>
  </property>
  <property fmtid="{D5CDD505-2E9C-101B-9397-08002B2CF9AE}" pid="13" name="SDLStudio">
    <vt:lpwstr/>
  </property>
</Properties>
</file>