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4405A" w:rsidRPr="00CA2FA5" w:rsidTr="00DA0796">
        <w:trPr>
          <w:trHeight w:hRule="exact" w:val="1418"/>
        </w:trPr>
        <w:tc>
          <w:tcPr>
            <w:tcW w:w="6804" w:type="dxa"/>
            <w:shd w:val="clear" w:color="auto" w:fill="auto"/>
            <w:vAlign w:val="center"/>
          </w:tcPr>
          <w:p w:rsidR="00B13D6F" w:rsidRPr="00CA2FA5" w:rsidRDefault="00980439" w:rsidP="00DA0796">
            <w:pPr>
              <w:pStyle w:val="EPName"/>
            </w:pPr>
            <w:r w:rsidRPr="00CA2FA5">
              <w:t>Europees Parlement</w:t>
            </w:r>
          </w:p>
          <w:p w:rsidR="00B13D6F" w:rsidRPr="00CA2FA5" w:rsidRDefault="00980439" w:rsidP="006F1136">
            <w:pPr>
              <w:pStyle w:val="EPTerm"/>
            </w:pPr>
            <w:r w:rsidRPr="00CA2FA5">
              <w:t>2019-2024</w:t>
            </w:r>
          </w:p>
        </w:tc>
        <w:tc>
          <w:tcPr>
            <w:tcW w:w="2268" w:type="dxa"/>
            <w:shd w:val="clear" w:color="auto" w:fill="auto"/>
          </w:tcPr>
          <w:p w:rsidR="00B13D6F" w:rsidRPr="00CA2FA5" w:rsidRDefault="00980439" w:rsidP="00DA0796">
            <w:pPr>
              <w:pStyle w:val="EPLogo"/>
            </w:pPr>
            <w:r w:rsidRPr="00CA2FA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CA2FA5" w:rsidRDefault="00461601" w:rsidP="00461601">
      <w:pPr>
        <w:pStyle w:val="LineTop"/>
      </w:pPr>
    </w:p>
    <w:p w:rsidR="00461601" w:rsidRPr="00CA2FA5" w:rsidRDefault="00980439" w:rsidP="00461601">
      <w:pPr>
        <w:pStyle w:val="EPBody"/>
      </w:pPr>
      <w:r w:rsidRPr="00CA2FA5">
        <w:rPr>
          <w:rStyle w:val="HideTWBExt"/>
        </w:rPr>
        <w:t>&lt;</w:t>
      </w:r>
      <w:r w:rsidRPr="00CA2FA5">
        <w:rPr>
          <w:rStyle w:val="HideTWBExt"/>
          <w:i w:val="0"/>
        </w:rPr>
        <w:t>Commission</w:t>
      </w:r>
      <w:r w:rsidRPr="00CA2FA5">
        <w:rPr>
          <w:rStyle w:val="HideTWBExt"/>
        </w:rPr>
        <w:t>&gt;</w:t>
      </w:r>
      <w:r w:rsidRPr="00CA2FA5">
        <w:rPr>
          <w:rStyle w:val="HideTWBInt"/>
          <w:color w:val="auto"/>
        </w:rPr>
        <w:t>{ECON}</w:t>
      </w:r>
      <w:r w:rsidRPr="00CA2FA5">
        <w:t>Commissie economische en monetaire zaken</w:t>
      </w:r>
      <w:r w:rsidRPr="00CA2FA5">
        <w:rPr>
          <w:rStyle w:val="HideTWBExt"/>
        </w:rPr>
        <w:t>&lt;/</w:t>
      </w:r>
      <w:r w:rsidRPr="00CA2FA5">
        <w:rPr>
          <w:rStyle w:val="HideTWBExt"/>
          <w:i w:val="0"/>
        </w:rPr>
        <w:t>Commission</w:t>
      </w:r>
      <w:r w:rsidRPr="00CA2FA5">
        <w:rPr>
          <w:rStyle w:val="HideTWBExt"/>
        </w:rPr>
        <w:t>&gt;</w:t>
      </w:r>
    </w:p>
    <w:p w:rsidR="00461601" w:rsidRPr="00CA2FA5" w:rsidRDefault="00461601" w:rsidP="00461601">
      <w:pPr>
        <w:pStyle w:val="LineBottom"/>
      </w:pPr>
    </w:p>
    <w:p w:rsidR="00793EA9" w:rsidRPr="00CA2FA5" w:rsidRDefault="00980439">
      <w:pPr>
        <w:pStyle w:val="CoverReference"/>
      </w:pPr>
      <w:r w:rsidRPr="00CA2FA5">
        <w:rPr>
          <w:rStyle w:val="HideTWBExt"/>
          <w:b w:val="0"/>
        </w:rPr>
        <w:t>&lt;RefProc&gt;</w:t>
      </w:r>
      <w:r w:rsidRPr="00CA2FA5">
        <w:t>2023/0113</w:t>
      </w:r>
      <w:r w:rsidRPr="00CA2FA5">
        <w:rPr>
          <w:rStyle w:val="HideTWBExt"/>
          <w:b w:val="0"/>
        </w:rPr>
        <w:t>&lt;/RefProc&gt;&lt;RefTypeProc&gt;</w:t>
      </w:r>
      <w:r w:rsidRPr="00CA2FA5">
        <w:t>(COD)</w:t>
      </w:r>
      <w:r w:rsidRPr="00CA2FA5">
        <w:rPr>
          <w:rStyle w:val="HideTWBExt"/>
          <w:b w:val="0"/>
        </w:rPr>
        <w:t>&lt;/RefTypeProc&gt;</w:t>
      </w:r>
    </w:p>
    <w:p w:rsidR="00793EA9" w:rsidRPr="00CA2FA5" w:rsidRDefault="00980439">
      <w:pPr>
        <w:pStyle w:val="CoverDate"/>
      </w:pPr>
      <w:r w:rsidRPr="00CA2FA5">
        <w:rPr>
          <w:rStyle w:val="HideTWBExt"/>
        </w:rPr>
        <w:t>&lt;Date&gt;</w:t>
      </w:r>
      <w:r w:rsidRPr="00CA2FA5">
        <w:rPr>
          <w:rStyle w:val="HideTWBInt"/>
          <w:color w:val="auto"/>
        </w:rPr>
        <w:t>{11/09/2023}</w:t>
      </w:r>
      <w:r w:rsidRPr="00CA2FA5">
        <w:t>11.9.2023</w:t>
      </w:r>
      <w:r w:rsidRPr="00CA2FA5">
        <w:rPr>
          <w:rStyle w:val="HideTWBExt"/>
        </w:rPr>
        <w:t>&lt;/Date&gt;</w:t>
      </w:r>
    </w:p>
    <w:p w:rsidR="00793EA9" w:rsidRPr="00CA2FA5" w:rsidRDefault="00980439">
      <w:pPr>
        <w:pStyle w:val="CoverDocType"/>
      </w:pPr>
      <w:r w:rsidRPr="00CA2FA5">
        <w:rPr>
          <w:rStyle w:val="HideTWBExt"/>
          <w:b w:val="0"/>
        </w:rPr>
        <w:t>&lt;RefProcLect&gt;</w:t>
      </w:r>
      <w:r w:rsidRPr="00CA2FA5">
        <w:t>***I</w:t>
      </w:r>
      <w:r w:rsidRPr="00CA2FA5">
        <w:rPr>
          <w:rStyle w:val="HideTWBExt"/>
          <w:b w:val="0"/>
        </w:rPr>
        <w:t>&lt;/RefProcLect&gt;</w:t>
      </w:r>
    </w:p>
    <w:p w:rsidR="00793EA9" w:rsidRPr="00CA2FA5" w:rsidRDefault="00980439">
      <w:pPr>
        <w:pStyle w:val="CoverDocType24a"/>
      </w:pPr>
      <w:r w:rsidRPr="00CA2FA5">
        <w:rPr>
          <w:rStyle w:val="HideTWBExt"/>
          <w:b w:val="0"/>
        </w:rPr>
        <w:t>&lt;TitreType&gt;</w:t>
      </w:r>
      <w:r w:rsidRPr="00CA2FA5">
        <w:t>ONTWERPVERSLAG</w:t>
      </w:r>
      <w:r w:rsidRPr="00CA2FA5">
        <w:rPr>
          <w:rStyle w:val="HideTWBExt"/>
          <w:b w:val="0"/>
        </w:rPr>
        <w:t>&lt;/TitreType&gt;</w:t>
      </w:r>
    </w:p>
    <w:p w:rsidR="00793EA9" w:rsidRPr="00CA2FA5" w:rsidRDefault="00980439">
      <w:pPr>
        <w:pStyle w:val="CoverNormal"/>
      </w:pPr>
      <w:r w:rsidRPr="00CA2FA5">
        <w:rPr>
          <w:rStyle w:val="HideTWBExt"/>
        </w:rPr>
        <w:t>&lt;Titre&gt;</w:t>
      </w:r>
      <w:r w:rsidRPr="00CA2FA5">
        <w:t>over het voorstel voor een richtlijn van het Europees Parlement en de Raad tot wijziging van Richtlijn 2014/59/EU en Verordening (EU) nr. 806/2014 met betrekking tot bepaalde aspecten van het minimumvereiste voor eigen ver</w:t>
      </w:r>
      <w:r w:rsidRPr="00CA2FA5">
        <w:t>mogen en in aanmerking komende passiva</w:t>
      </w:r>
      <w:r w:rsidRPr="00CA2FA5">
        <w:rPr>
          <w:rStyle w:val="HideTWBExt"/>
        </w:rPr>
        <w:t>&lt;/Titre&gt;</w:t>
      </w:r>
    </w:p>
    <w:p w:rsidR="00793EA9" w:rsidRPr="00CA2FA5" w:rsidRDefault="00980439">
      <w:pPr>
        <w:pStyle w:val="CoverNormal24a"/>
      </w:pPr>
      <w:r w:rsidRPr="00CA2FA5">
        <w:rPr>
          <w:rStyle w:val="HideTWBExt"/>
        </w:rPr>
        <w:t>&lt;DocRef&gt;</w:t>
      </w:r>
      <w:r w:rsidRPr="00CA2FA5">
        <w:t>(COM(2023)0229 – C9</w:t>
      </w:r>
      <w:r w:rsidRPr="00CA2FA5">
        <w:noBreakHyphen/>
        <w:t>0134/2023 – 2023/0113(COD))</w:t>
      </w:r>
      <w:r w:rsidRPr="00CA2FA5">
        <w:rPr>
          <w:rStyle w:val="HideTWBExt"/>
        </w:rPr>
        <w:t>&lt;/DocRef&gt;</w:t>
      </w:r>
    </w:p>
    <w:p w:rsidR="00793EA9" w:rsidRPr="00CA2FA5" w:rsidRDefault="00980439">
      <w:pPr>
        <w:pStyle w:val="CoverNormal24a"/>
      </w:pPr>
      <w:r w:rsidRPr="00CA2FA5">
        <w:rPr>
          <w:rStyle w:val="HideTWBExt"/>
        </w:rPr>
        <w:t>&lt;Commission&gt;</w:t>
      </w:r>
      <w:r w:rsidRPr="00CA2FA5">
        <w:rPr>
          <w:rStyle w:val="HideTWBInt"/>
          <w:color w:val="auto"/>
        </w:rPr>
        <w:t>{ECON}</w:t>
      </w:r>
      <w:r w:rsidRPr="00CA2FA5">
        <w:t>Commissie economische en monetaire zaken</w:t>
      </w:r>
      <w:r w:rsidRPr="00CA2FA5">
        <w:rPr>
          <w:rStyle w:val="HideTWBExt"/>
        </w:rPr>
        <w:t>&lt;/Commission&gt;</w:t>
      </w:r>
    </w:p>
    <w:p w:rsidR="00793EA9" w:rsidRPr="00CA2FA5" w:rsidRDefault="00980439">
      <w:pPr>
        <w:pStyle w:val="CoverNormal24a"/>
      </w:pPr>
      <w:r w:rsidRPr="00CA2FA5">
        <w:t xml:space="preserve">Rapporteur: </w:t>
      </w:r>
      <w:r w:rsidRPr="00CA2FA5">
        <w:rPr>
          <w:rStyle w:val="HideTWBExt"/>
        </w:rPr>
        <w:t>&lt;Depute&gt;</w:t>
      </w:r>
      <w:r w:rsidRPr="00CA2FA5">
        <w:t>Jonás Fernández</w:t>
      </w:r>
      <w:r w:rsidRPr="00CA2FA5">
        <w:rPr>
          <w:rStyle w:val="HideTWBExt"/>
        </w:rPr>
        <w:t>&lt;/Depute&gt;</w:t>
      </w:r>
    </w:p>
    <w:p w:rsidR="001C5B44" w:rsidRPr="00CA2FA5" w:rsidRDefault="001C5B44" w:rsidP="001C5B44">
      <w:pPr>
        <w:pStyle w:val="CoverNormal"/>
      </w:pPr>
    </w:p>
    <w:p w:rsidR="006F1136" w:rsidRPr="00CA2FA5" w:rsidRDefault="00980439" w:rsidP="00DA0796">
      <w:r w:rsidRPr="00CA2FA5">
        <w:br w:type="page"/>
      </w:r>
      <w:fldSimple w:instr=" TITLE  \* MERGEFORMAT ">
        <w:r>
          <w:t>PR_COD_1amCom</w:t>
        </w:r>
      </w:fldSimple>
    </w:p>
    <w:p w:rsidR="006F1136" w:rsidRPr="00CA2FA5" w:rsidRDefault="006F1136" w:rsidP="00DA0796"/>
    <w:p w:rsidR="006F1136" w:rsidRPr="00CA2FA5" w:rsidRDefault="006F1136" w:rsidP="00DA079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4405A" w:rsidRPr="00CA2FA5">
        <w:tc>
          <w:tcPr>
            <w:tcW w:w="5811" w:type="dxa"/>
          </w:tcPr>
          <w:p w:rsidR="006F1136" w:rsidRPr="00CA2FA5" w:rsidRDefault="00980439" w:rsidP="00DA0796">
            <w:pPr>
              <w:pStyle w:val="Lgendetitre"/>
            </w:pPr>
            <w:r w:rsidRPr="00CA2FA5">
              <w:t>Verklaring van de gebruikte tekens</w:t>
            </w:r>
          </w:p>
        </w:tc>
      </w:tr>
      <w:tr w:rsidR="0044405A" w:rsidRPr="00CA2FA5" w:rsidTr="00DA0796">
        <w:trPr>
          <w:cantSplit/>
          <w:trHeight w:val="1807"/>
        </w:trPr>
        <w:tc>
          <w:tcPr>
            <w:tcW w:w="5811" w:type="dxa"/>
            <w:tcBorders>
              <w:bottom w:val="single" w:sz="4" w:space="0" w:color="auto"/>
            </w:tcBorders>
          </w:tcPr>
          <w:p w:rsidR="006F1136" w:rsidRPr="00CA2FA5" w:rsidRDefault="00980439" w:rsidP="00DA0796">
            <w:pPr>
              <w:pStyle w:val="Lgendesigne"/>
            </w:pPr>
            <w:r w:rsidRPr="00CA2FA5">
              <w:tab/>
              <w:t>*</w:t>
            </w:r>
            <w:r w:rsidRPr="00CA2FA5">
              <w:tab/>
              <w:t>Raadplegingsprocedure</w:t>
            </w:r>
          </w:p>
          <w:p w:rsidR="006F1136" w:rsidRPr="00CA2FA5" w:rsidRDefault="00980439" w:rsidP="00DA0796">
            <w:pPr>
              <w:pStyle w:val="Lgendesigne"/>
            </w:pPr>
            <w:r w:rsidRPr="00CA2FA5">
              <w:tab/>
              <w:t>***</w:t>
            </w:r>
            <w:r w:rsidRPr="00CA2FA5">
              <w:tab/>
              <w:t>Goedkeuringsprocedure</w:t>
            </w:r>
          </w:p>
          <w:p w:rsidR="006F1136" w:rsidRPr="00CA2FA5" w:rsidRDefault="00980439" w:rsidP="00DA0796">
            <w:pPr>
              <w:pStyle w:val="Lgendesigne"/>
            </w:pPr>
            <w:r w:rsidRPr="00CA2FA5">
              <w:tab/>
              <w:t>***I</w:t>
            </w:r>
            <w:r w:rsidRPr="00CA2FA5">
              <w:tab/>
              <w:t>Gewone wetgevingsprocedure (eerste lezing)</w:t>
            </w:r>
          </w:p>
          <w:p w:rsidR="006F1136" w:rsidRPr="00CA2FA5" w:rsidRDefault="00980439" w:rsidP="00DA0796">
            <w:pPr>
              <w:pStyle w:val="Lgendesigne"/>
            </w:pPr>
            <w:r w:rsidRPr="00CA2FA5">
              <w:tab/>
              <w:t>***II</w:t>
            </w:r>
            <w:r w:rsidRPr="00CA2FA5">
              <w:tab/>
              <w:t>Gewone wetgevingsprocedure (tweede lezing)</w:t>
            </w:r>
          </w:p>
          <w:p w:rsidR="006F1136" w:rsidRPr="00CA2FA5" w:rsidRDefault="00980439" w:rsidP="00DA0796">
            <w:pPr>
              <w:pStyle w:val="Lgendesigne"/>
            </w:pPr>
            <w:r w:rsidRPr="00CA2FA5">
              <w:tab/>
              <w:t>***III</w:t>
            </w:r>
            <w:r w:rsidRPr="00CA2FA5">
              <w:tab/>
              <w:t>Gewone wetgevingsprocedure (derde lezing)</w:t>
            </w:r>
          </w:p>
          <w:p w:rsidR="006F1136" w:rsidRPr="00CA2FA5" w:rsidRDefault="006F1136" w:rsidP="00DA0796">
            <w:pPr>
              <w:pStyle w:val="Lgendestandard"/>
            </w:pPr>
          </w:p>
          <w:p w:rsidR="006F1136" w:rsidRPr="00CA2FA5" w:rsidRDefault="00980439" w:rsidP="00DA0796">
            <w:pPr>
              <w:pStyle w:val="Lgendestandard"/>
            </w:pPr>
            <w:r w:rsidRPr="00CA2FA5">
              <w:t>(De aangeduide procedure is gebaseerd op de in de ontwerptekst voorgestelde rechtsgrond.)</w:t>
            </w:r>
          </w:p>
          <w:p w:rsidR="006F1136" w:rsidRPr="00CA2FA5" w:rsidRDefault="006F1136" w:rsidP="00DA0796">
            <w:pPr>
              <w:pStyle w:val="Lgendestandard"/>
            </w:pPr>
          </w:p>
        </w:tc>
      </w:tr>
    </w:tbl>
    <w:p w:rsidR="006F1136" w:rsidRPr="00CA2FA5" w:rsidRDefault="006F1136" w:rsidP="00DA0796"/>
    <w:p w:rsidR="006F1136" w:rsidRPr="00CA2FA5" w:rsidRDefault="006F1136" w:rsidP="00DA0796"/>
    <w:p w:rsidR="006F1136" w:rsidRPr="00CA2FA5" w:rsidRDefault="006F1136" w:rsidP="00DA0796"/>
    <w:p w:rsidR="006F1136" w:rsidRPr="00CA2FA5" w:rsidRDefault="006F1136" w:rsidP="00DA079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4405A" w:rsidRPr="00CA2FA5">
        <w:tc>
          <w:tcPr>
            <w:tcW w:w="5811" w:type="dxa"/>
          </w:tcPr>
          <w:p w:rsidR="006F1136" w:rsidRPr="00CA2FA5" w:rsidRDefault="00980439" w:rsidP="00DA0796">
            <w:pPr>
              <w:pStyle w:val="Lgendetitre"/>
            </w:pPr>
            <w:r w:rsidRPr="00CA2FA5">
              <w:t>Amendementen op een ontwerphandeling</w:t>
            </w:r>
          </w:p>
        </w:tc>
      </w:tr>
      <w:tr w:rsidR="0044405A" w:rsidRPr="00CA2FA5" w:rsidTr="00DA0796">
        <w:trPr>
          <w:trHeight w:val="4496"/>
        </w:trPr>
        <w:tc>
          <w:tcPr>
            <w:tcW w:w="5811" w:type="dxa"/>
          </w:tcPr>
          <w:p w:rsidR="006F1136" w:rsidRPr="00CA2FA5" w:rsidRDefault="00980439" w:rsidP="00DA0796">
            <w:pPr>
              <w:pStyle w:val="Lgendestandard"/>
              <w:rPr>
                <w:szCs w:val="24"/>
              </w:rPr>
            </w:pPr>
            <w:r w:rsidRPr="00CA2FA5">
              <w:rPr>
                <w:b/>
              </w:rPr>
              <w:t>Amendementen van het Parlement in twee kolommen</w:t>
            </w:r>
          </w:p>
          <w:p w:rsidR="006F1136" w:rsidRPr="00CA2FA5" w:rsidRDefault="006F1136" w:rsidP="00DA0796">
            <w:pPr>
              <w:pStyle w:val="Lgendestandard"/>
              <w:rPr>
                <w:szCs w:val="24"/>
              </w:rPr>
            </w:pPr>
          </w:p>
          <w:p w:rsidR="006F1136" w:rsidRPr="00CA2FA5" w:rsidRDefault="00980439" w:rsidP="00DA0796">
            <w:pPr>
              <w:pStyle w:val="Lgendestandard"/>
              <w:rPr>
                <w:szCs w:val="24"/>
              </w:rPr>
            </w:pPr>
            <w:r w:rsidRPr="00CA2FA5">
              <w:t xml:space="preserve">Geschrapte tekstdelen worden in de linkerkolom in </w:t>
            </w:r>
            <w:r w:rsidRPr="00CA2FA5">
              <w:rPr>
                <w:b/>
                <w:bCs/>
                <w:i/>
                <w:iCs/>
              </w:rPr>
              <w:t>vet cursief</w:t>
            </w:r>
            <w:r w:rsidRPr="00CA2FA5">
              <w:t xml:space="preserve"> aangegeven. Vervangen tekstdelen worden in beide kolommen in </w:t>
            </w:r>
            <w:r w:rsidRPr="00CA2FA5">
              <w:rPr>
                <w:b/>
                <w:bCs/>
                <w:i/>
                <w:iCs/>
              </w:rPr>
              <w:t>vet cursief</w:t>
            </w:r>
            <w:r w:rsidRPr="00CA2FA5">
              <w:t xml:space="preserve"> aangegeven. Nieuwe tekst wordt in de rechterkolom in </w:t>
            </w:r>
            <w:r w:rsidRPr="00CA2FA5">
              <w:rPr>
                <w:b/>
                <w:bCs/>
                <w:i/>
                <w:iCs/>
              </w:rPr>
              <w:t>vet cursief</w:t>
            </w:r>
            <w:r w:rsidRPr="00CA2FA5">
              <w:t xml:space="preserve"> aangegeven.</w:t>
            </w:r>
          </w:p>
          <w:p w:rsidR="006F1136" w:rsidRPr="00CA2FA5" w:rsidRDefault="006F1136" w:rsidP="00DA0796">
            <w:pPr>
              <w:pStyle w:val="Lgendestandard"/>
              <w:rPr>
                <w:szCs w:val="24"/>
              </w:rPr>
            </w:pPr>
          </w:p>
          <w:p w:rsidR="006F1136" w:rsidRPr="00CA2FA5" w:rsidRDefault="00980439" w:rsidP="00DA0796">
            <w:pPr>
              <w:pStyle w:val="Lgendestandard"/>
              <w:rPr>
                <w:szCs w:val="24"/>
              </w:rPr>
            </w:pPr>
            <w:r w:rsidRPr="00CA2FA5">
              <w:t xml:space="preserve">In de eerste en tweede regel van de koptekst boven elk amendement wordt verwezen naar het tekstdeel in </w:t>
            </w:r>
            <w:r w:rsidRPr="00CA2FA5">
              <w:t>kwestie van de ontwerphandeling. Indien een amendement betrekking heeft op een bestaande handeling, waarop in de ontwerphandeling wijzigingen worden voorgesteld, bevat de koptekst bovendien een derde en vierde regel, die verwijzen naar de bestaande handeli</w:t>
            </w:r>
            <w:r w:rsidRPr="00CA2FA5">
              <w:t>ng respectievelijk naar de bepaling in kwestie.</w:t>
            </w:r>
          </w:p>
          <w:p w:rsidR="006F1136" w:rsidRPr="00CA2FA5" w:rsidRDefault="006F1136" w:rsidP="00DA0796">
            <w:pPr>
              <w:pStyle w:val="Lgendestandard"/>
              <w:rPr>
                <w:szCs w:val="24"/>
              </w:rPr>
            </w:pPr>
          </w:p>
          <w:p w:rsidR="006F1136" w:rsidRPr="00CA2FA5" w:rsidRDefault="00980439" w:rsidP="00DA0796">
            <w:pPr>
              <w:pStyle w:val="Lgendestandard"/>
              <w:rPr>
                <w:b/>
                <w:szCs w:val="24"/>
              </w:rPr>
            </w:pPr>
            <w:r w:rsidRPr="00CA2FA5">
              <w:rPr>
                <w:b/>
              </w:rPr>
              <w:t>Amendementen van het Parlement in de vorm van een geconsolideerde tekst</w:t>
            </w:r>
          </w:p>
          <w:p w:rsidR="006F1136" w:rsidRPr="00CA2FA5" w:rsidRDefault="006F1136" w:rsidP="00DA0796">
            <w:pPr>
              <w:pStyle w:val="Lgendestandard"/>
              <w:rPr>
                <w:szCs w:val="24"/>
              </w:rPr>
            </w:pPr>
          </w:p>
          <w:p w:rsidR="006F1136" w:rsidRPr="00CA2FA5" w:rsidRDefault="00980439" w:rsidP="00DA0796">
            <w:pPr>
              <w:pStyle w:val="Lgendestandard"/>
              <w:rPr>
                <w:szCs w:val="24"/>
              </w:rPr>
            </w:pPr>
            <w:r w:rsidRPr="00CA2FA5">
              <w:t xml:space="preserve">Nieuwe tekstdelen worden in </w:t>
            </w:r>
            <w:r w:rsidRPr="00CA2FA5">
              <w:rPr>
                <w:b/>
                <w:bCs/>
                <w:i/>
                <w:iCs/>
              </w:rPr>
              <w:t>vet cursief</w:t>
            </w:r>
            <w:r w:rsidRPr="00CA2FA5">
              <w:t xml:space="preserve"> aangegeven. Geschrapte tekstdelen worden aangegeven met het symbool ▌ of worden doorgestreept.</w:t>
            </w:r>
            <w:r w:rsidRPr="00CA2FA5">
              <w:t xml:space="preserve"> Waar tekstdelen vervangen worden, wordt de nieuwe tekst in </w:t>
            </w:r>
            <w:r w:rsidRPr="00CA2FA5">
              <w:rPr>
                <w:b/>
                <w:bCs/>
                <w:i/>
                <w:iCs/>
              </w:rPr>
              <w:t>vet cursief</w:t>
            </w:r>
            <w:r w:rsidRPr="00CA2FA5">
              <w:t xml:space="preserve"> aangegeven, terwijl de vervangen tekst wordt geschrapt of doorgestreept. </w:t>
            </w:r>
          </w:p>
          <w:p w:rsidR="006F1136" w:rsidRPr="00CA2FA5" w:rsidRDefault="00980439" w:rsidP="00DA0796">
            <w:pPr>
              <w:pStyle w:val="Lgendestandard"/>
            </w:pPr>
            <w:r w:rsidRPr="00CA2FA5">
              <w:t>Bij wijze van uitzondering worden zuiver technische wijzigingen die de diensten aanbrengen met het oog op de o</w:t>
            </w:r>
            <w:r w:rsidRPr="00CA2FA5">
              <w:t>pstelling van de definitieve tekst, niet gemarkeerd.</w:t>
            </w:r>
          </w:p>
          <w:p w:rsidR="006F1136" w:rsidRPr="00CA2FA5" w:rsidRDefault="006F1136" w:rsidP="00DA0796">
            <w:pPr>
              <w:pStyle w:val="Lgendestandard"/>
            </w:pPr>
          </w:p>
        </w:tc>
      </w:tr>
    </w:tbl>
    <w:p w:rsidR="006F1136" w:rsidRPr="00CA2FA5" w:rsidRDefault="006F1136" w:rsidP="00DA0796"/>
    <w:p w:rsidR="00793EA9" w:rsidRPr="00CA2FA5" w:rsidRDefault="00793EA9" w:rsidP="00012351">
      <w:pPr>
        <w:widowControl/>
        <w:tabs>
          <w:tab w:val="center" w:pos="4677"/>
        </w:tabs>
      </w:pPr>
    </w:p>
    <w:p w:rsidR="00793EA9" w:rsidRPr="00CA2FA5" w:rsidRDefault="00980439">
      <w:pPr>
        <w:pStyle w:val="TOCHeading"/>
      </w:pPr>
      <w:r w:rsidRPr="00CA2FA5">
        <w:br w:type="page"/>
      </w:r>
      <w:r w:rsidRPr="00CA2FA5">
        <w:lastRenderedPageBreak/>
        <w:t>INHOUD</w:t>
      </w:r>
    </w:p>
    <w:p w:rsidR="00793EA9" w:rsidRPr="00CA2FA5" w:rsidRDefault="00980439">
      <w:pPr>
        <w:pStyle w:val="TOCPage"/>
      </w:pPr>
      <w:r w:rsidRPr="00CA2FA5">
        <w:t>Blz.</w:t>
      </w:r>
    </w:p>
    <w:p w:rsidR="00980439" w:rsidRDefault="00980439">
      <w:pPr>
        <w:pStyle w:val="TOC1"/>
        <w:tabs>
          <w:tab w:val="right" w:leader="dot" w:pos="9060"/>
        </w:tabs>
        <w:rPr>
          <w:rFonts w:asciiTheme="minorHAnsi" w:eastAsiaTheme="minorEastAsia" w:hAnsiTheme="minorHAnsi" w:cstheme="minorBidi"/>
          <w:noProof/>
          <w:sz w:val="22"/>
          <w:szCs w:val="22"/>
          <w:lang w:val="en-GB"/>
        </w:rPr>
      </w:pPr>
      <w:r w:rsidRPr="00CA2FA5">
        <w:rPr>
          <w:b/>
        </w:rPr>
        <w:fldChar w:fldCharType="begin"/>
      </w:r>
      <w:r w:rsidRPr="00CA2FA5">
        <w:rPr>
          <w:b/>
        </w:rPr>
        <w:instrText xml:space="preserve"> TOC \t "PageHeading</w:instrText>
      </w:r>
      <w:r w:rsidR="00E70D3B" w:rsidRPr="00CA2FA5">
        <w:rPr>
          <w:b/>
        </w:rPr>
        <w:instrText>;</w:instrText>
      </w:r>
      <w:r w:rsidRPr="00CA2FA5">
        <w:rPr>
          <w:b/>
        </w:rPr>
        <w:instrText xml:space="preserve">1" </w:instrText>
      </w:r>
      <w:r w:rsidRPr="00CA2FA5">
        <w:rPr>
          <w:b/>
        </w:rPr>
        <w:fldChar w:fldCharType="separate"/>
      </w:r>
      <w:r>
        <w:rPr>
          <w:noProof/>
        </w:rPr>
        <w:t>ONTWERPWETGEVINGSRESOLUTIE VAN HET EUROPEES PARLEMENT</w:t>
      </w:r>
      <w:r>
        <w:rPr>
          <w:noProof/>
        </w:rPr>
        <w:tab/>
      </w:r>
      <w:r>
        <w:rPr>
          <w:noProof/>
        </w:rPr>
        <w:fldChar w:fldCharType="begin"/>
      </w:r>
      <w:r>
        <w:rPr>
          <w:noProof/>
        </w:rPr>
        <w:instrText xml:space="preserve"> PAGEREF _Toc146620313 \h </w:instrText>
      </w:r>
      <w:r>
        <w:rPr>
          <w:noProof/>
        </w:rPr>
      </w:r>
      <w:r>
        <w:rPr>
          <w:noProof/>
        </w:rPr>
        <w:fldChar w:fldCharType="separate"/>
      </w:r>
      <w:r>
        <w:rPr>
          <w:noProof/>
        </w:rPr>
        <w:t>5</w:t>
      </w:r>
      <w:r>
        <w:rPr>
          <w:noProof/>
        </w:rPr>
        <w:fldChar w:fldCharType="end"/>
      </w:r>
    </w:p>
    <w:p w:rsidR="002346B0" w:rsidRPr="00CA2FA5" w:rsidRDefault="00980439" w:rsidP="00C23324">
      <w:r w:rsidRPr="00CA2FA5">
        <w:rPr>
          <w:b/>
        </w:rPr>
        <w:fldChar w:fldCharType="end"/>
      </w:r>
    </w:p>
    <w:p w:rsidR="00793EA9" w:rsidRPr="00CA2FA5" w:rsidRDefault="00980439">
      <w:pPr>
        <w:pStyle w:val="PageHeading"/>
      </w:pPr>
      <w:r w:rsidRPr="00CA2FA5">
        <w:br w:type="page"/>
      </w:r>
      <w:r w:rsidRPr="00CA2FA5">
        <w:lastRenderedPageBreak/>
        <w:br w:type="page"/>
      </w:r>
      <w:bookmarkStart w:id="0" w:name="_Toc146620313"/>
      <w:r w:rsidRPr="00CA2FA5">
        <w:lastRenderedPageBreak/>
        <w:t>ONTWERPWETGEVINGSRESOLUTIE VAN HET EUROPEES PARLEMENT</w:t>
      </w:r>
      <w:bookmarkEnd w:id="0"/>
    </w:p>
    <w:p w:rsidR="00793EA9" w:rsidRPr="00CA2FA5" w:rsidRDefault="00980439">
      <w:pPr>
        <w:pStyle w:val="NormalBold"/>
      </w:pPr>
      <w:r w:rsidRPr="00CA2FA5">
        <w:t>over het voorstel voor een richtlijn van het Europees Parlement en de Raad tot wijziging van Richtlijn 2014/59/EU en Verordening (E</w:t>
      </w:r>
      <w:r w:rsidRPr="00CA2FA5">
        <w:t>U) nr. 806/2014 met betrekking tot bepaalde aspecten van het minimumvereiste voor eigen vermogen en in aanmerking komende passiva</w:t>
      </w:r>
    </w:p>
    <w:p w:rsidR="00793EA9" w:rsidRPr="00CA2FA5" w:rsidRDefault="00980439">
      <w:pPr>
        <w:pStyle w:val="NormalBold12a"/>
      </w:pPr>
      <w:r w:rsidRPr="00CA2FA5">
        <w:t>(COM(2023)0229 – C9</w:t>
      </w:r>
      <w:r w:rsidRPr="00CA2FA5">
        <w:noBreakHyphen/>
        <w:t>0134/2023 – 2023/0113(COD))</w:t>
      </w:r>
    </w:p>
    <w:p w:rsidR="00793EA9" w:rsidRPr="00CA2FA5" w:rsidRDefault="00980439" w:rsidP="00A910C9">
      <w:pPr>
        <w:pStyle w:val="NormalBold"/>
      </w:pPr>
      <w:r w:rsidRPr="00CA2FA5">
        <w:t>(Gewone wetgevingsprocedure: eerste lezing)</w:t>
      </w:r>
    </w:p>
    <w:p w:rsidR="00793EA9" w:rsidRPr="00CA2FA5" w:rsidRDefault="00980439" w:rsidP="00A910C9">
      <w:pPr>
        <w:pStyle w:val="EPComma"/>
      </w:pPr>
      <w:r w:rsidRPr="00CA2FA5">
        <w:rPr>
          <w:i/>
          <w:iCs/>
        </w:rPr>
        <w:t>Het Europees Parlement</w:t>
      </w:r>
      <w:r w:rsidRPr="00CA2FA5">
        <w:t>,</w:t>
      </w:r>
    </w:p>
    <w:p w:rsidR="00793EA9" w:rsidRPr="00CA2FA5" w:rsidRDefault="00980439">
      <w:pPr>
        <w:pStyle w:val="NormalHanging12a"/>
      </w:pPr>
      <w:r w:rsidRPr="00CA2FA5">
        <w:t>–</w:t>
      </w:r>
      <w:r w:rsidRPr="00CA2FA5">
        <w:tab/>
        <w:t xml:space="preserve">gezien </w:t>
      </w:r>
      <w:r w:rsidRPr="00CA2FA5">
        <w:t>het voorstel van de Commissie aan het Europees Parlement en de Raad (COM(2023)0229),</w:t>
      </w:r>
    </w:p>
    <w:p w:rsidR="00793EA9" w:rsidRPr="00CA2FA5" w:rsidRDefault="00980439">
      <w:pPr>
        <w:pStyle w:val="NormalHanging12a"/>
      </w:pPr>
      <w:r w:rsidRPr="00CA2FA5">
        <w:t>–</w:t>
      </w:r>
      <w:r w:rsidRPr="00CA2FA5">
        <w:tab/>
        <w:t xml:space="preserve">gezien artikel 294, lid 2, en artikel 114 van het Verdrag betreffende de werking van de Europese Unie, op grond waarvan het voorstel door de Commissie bij het Parlement </w:t>
      </w:r>
      <w:r w:rsidRPr="00CA2FA5">
        <w:t>is ingediend (C9</w:t>
      </w:r>
      <w:r w:rsidRPr="00CA2FA5">
        <w:noBreakHyphen/>
        <w:t>0134/2023),</w:t>
      </w:r>
    </w:p>
    <w:p w:rsidR="00A26F46" w:rsidRPr="00CA2FA5" w:rsidRDefault="00980439" w:rsidP="00A26F46">
      <w:pPr>
        <w:pStyle w:val="NormalHanging12a"/>
      </w:pPr>
      <w:r w:rsidRPr="00CA2FA5">
        <w:t>–</w:t>
      </w:r>
      <w:r w:rsidRPr="00CA2FA5">
        <w:tab/>
        <w:t>gezien artikel 294, lid 3, van het Verdrag betreffende de werking van de Europese Unie,</w:t>
      </w:r>
    </w:p>
    <w:p w:rsidR="006F1136" w:rsidRPr="00CA2FA5" w:rsidRDefault="00980439" w:rsidP="00AD7FA6">
      <w:pPr>
        <w:pStyle w:val="NormalHanging12a"/>
      </w:pPr>
      <w:r w:rsidRPr="00CA2FA5">
        <w:t>–</w:t>
      </w:r>
      <w:r w:rsidRPr="00CA2FA5">
        <w:tab/>
        <w:t>gezien het advies van de Europese Centrale Bank van 5 juli 2023</w:t>
      </w:r>
      <w:r w:rsidRPr="00CA2FA5">
        <w:rPr>
          <w:rStyle w:val="FootnoteReference"/>
        </w:rPr>
        <w:footnoteReference w:id="1"/>
      </w:r>
      <w:r w:rsidRPr="00CA2FA5">
        <w:t>,</w:t>
      </w:r>
    </w:p>
    <w:p w:rsidR="00D73518" w:rsidRPr="00CA2FA5" w:rsidRDefault="00980439" w:rsidP="00AD7FA6">
      <w:pPr>
        <w:pStyle w:val="NormalHanging12a"/>
      </w:pPr>
      <w:r w:rsidRPr="00CA2FA5">
        <w:t>–</w:t>
      </w:r>
      <w:r w:rsidRPr="00CA2FA5">
        <w:tab/>
        <w:t>gezien het advies van het Europees Economisch en Sociaal Comité van</w:t>
      </w:r>
      <w:r w:rsidRPr="00CA2FA5">
        <w:t xml:space="preserve"> 13 juli 2023</w:t>
      </w:r>
      <w:r w:rsidRPr="00CA2FA5">
        <w:rPr>
          <w:rStyle w:val="FootnoteReference"/>
          <w:szCs w:val="24"/>
        </w:rPr>
        <w:footnoteReference w:id="2"/>
      </w:r>
      <w:r w:rsidRPr="00CA2FA5">
        <w:t>,</w:t>
      </w:r>
    </w:p>
    <w:p w:rsidR="00793EA9" w:rsidRPr="00CA2FA5" w:rsidRDefault="00980439">
      <w:pPr>
        <w:pStyle w:val="NormalHanging12a"/>
      </w:pPr>
      <w:r w:rsidRPr="00CA2FA5">
        <w:t>–</w:t>
      </w:r>
      <w:r w:rsidRPr="00CA2FA5">
        <w:tab/>
        <w:t>gezien artikel 59 van zijn Reglement,</w:t>
      </w:r>
    </w:p>
    <w:p w:rsidR="006A2F5D" w:rsidRPr="00CA2FA5" w:rsidRDefault="00980439" w:rsidP="006A2F5D">
      <w:pPr>
        <w:pStyle w:val="NormalHanging12a"/>
      </w:pPr>
      <w:r w:rsidRPr="00CA2FA5">
        <w:t>–</w:t>
      </w:r>
      <w:r w:rsidRPr="00CA2FA5">
        <w:tab/>
        <w:t>gezien het verslag van de Commissie economische en monetaire zaken (A9</w:t>
      </w:r>
      <w:r w:rsidRPr="00CA2FA5">
        <w:noBreakHyphen/>
        <w:t>0000/2023),</w:t>
      </w:r>
    </w:p>
    <w:p w:rsidR="009F6C2F" w:rsidRPr="00CA2FA5" w:rsidRDefault="00980439" w:rsidP="00B17848">
      <w:pPr>
        <w:pStyle w:val="NormalHanging12a"/>
      </w:pPr>
      <w:r w:rsidRPr="00CA2FA5">
        <w:t>1.</w:t>
      </w:r>
      <w:r w:rsidRPr="00CA2FA5">
        <w:tab/>
        <w:t>stelt onderstaand standpunt in eerste lezing vast;</w:t>
      </w:r>
    </w:p>
    <w:p w:rsidR="009F6C2F" w:rsidRPr="00CA2FA5" w:rsidRDefault="00980439" w:rsidP="009F6C2F">
      <w:pPr>
        <w:pStyle w:val="NormalHanging12a"/>
      </w:pPr>
      <w:r w:rsidRPr="00CA2FA5">
        <w:t>2.</w:t>
      </w:r>
      <w:r w:rsidRPr="00CA2FA5">
        <w:tab/>
        <w:t>verzoekt de Commissie om hernieuwde voorlegging aan het Pa</w:t>
      </w:r>
      <w:r w:rsidRPr="00CA2FA5">
        <w:t>rlement indien zij haar voorstel vervangt, ingrijpend wijzigt of voornemens is het ingrijpend te wijzigen;</w:t>
      </w:r>
    </w:p>
    <w:p w:rsidR="009F6C2F" w:rsidRPr="00CA2FA5" w:rsidRDefault="00980439" w:rsidP="009F6C2F">
      <w:pPr>
        <w:pStyle w:val="NormalHanging12a"/>
      </w:pPr>
      <w:r w:rsidRPr="00CA2FA5">
        <w:t>3.</w:t>
      </w:r>
      <w:r w:rsidRPr="00CA2FA5">
        <w:tab/>
        <w:t>verzoekt zijn Voorzitter het standpunt van het Parlement te doen toekomen aan de Raad en aan de Commissie alsmede aan de nationale parlementen.</w:t>
      </w:r>
    </w:p>
    <w:p w:rsidR="00D30DE2" w:rsidRPr="00CA2FA5" w:rsidRDefault="00D30DE2" w:rsidP="00D30DE2"/>
    <w:p w:rsidR="008C37B3" w:rsidRPr="00CA2FA5" w:rsidRDefault="008C37B3" w:rsidP="00D30DE2"/>
    <w:p w:rsidR="008C37B3" w:rsidRPr="00CA2FA5" w:rsidRDefault="008C37B3" w:rsidP="00D30DE2"/>
    <w:p w:rsidR="008C37B3" w:rsidRPr="00CA2FA5" w:rsidRDefault="008C37B3" w:rsidP="00D30DE2"/>
    <w:p w:rsidR="008C37B3" w:rsidRPr="00CA2FA5" w:rsidRDefault="008C37B3" w:rsidP="00D30DE2"/>
    <w:p w:rsidR="002669B6" w:rsidRPr="00CA2FA5" w:rsidRDefault="00980439" w:rsidP="00212B84">
      <w:pPr>
        <w:pStyle w:val="AmNumberTabs"/>
        <w:keepNext/>
      </w:pPr>
      <w:r w:rsidRPr="00CA2FA5">
        <w:rPr>
          <w:rStyle w:val="HideTWBExt"/>
          <w:b w:val="0"/>
        </w:rPr>
        <w:lastRenderedPageBreak/>
        <w:t>&lt;RepeatBlock-Amend&gt;</w:t>
      </w:r>
      <w:bookmarkStart w:id="1" w:name="restart"/>
      <w:r w:rsidRPr="00CA2FA5">
        <w:rPr>
          <w:rStyle w:val="HideTWBExt"/>
          <w:b w:val="0"/>
        </w:rPr>
        <w:t>&lt;Amend&gt;</w:t>
      </w:r>
      <w:r w:rsidRPr="00CA2FA5">
        <w:t>Amendement</w:t>
      </w:r>
      <w:r w:rsidRPr="00CA2FA5">
        <w:tab/>
      </w:r>
      <w:r w:rsidRPr="00CA2FA5">
        <w:tab/>
      </w:r>
      <w:r w:rsidRPr="00CA2FA5">
        <w:rPr>
          <w:rStyle w:val="HideTWBExt"/>
          <w:b w:val="0"/>
        </w:rPr>
        <w:t>&lt;NumAm&gt;</w:t>
      </w:r>
      <w:r w:rsidRPr="00CA2FA5">
        <w:t>1</w:t>
      </w:r>
      <w:r w:rsidRPr="00CA2FA5">
        <w:rPr>
          <w:rStyle w:val="HideTWBExt"/>
          <w:b w:val="0"/>
        </w:rPr>
        <w:t>&lt;/NumAm&gt;</w:t>
      </w:r>
    </w:p>
    <w:p w:rsidR="002669B6" w:rsidRPr="00CA2FA5" w:rsidRDefault="00980439" w:rsidP="00212B84">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Overweging 1</w:t>
      </w:r>
      <w:r w:rsidRPr="00CA2FA5">
        <w:rPr>
          <w:rStyle w:val="HideTWBExt"/>
          <w:b w:val="0"/>
        </w:rPr>
        <w:t>&lt;/Article&gt;</w:t>
      </w:r>
      <w:bookmarkEnd w:id="1"/>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(1)</w:t>
            </w:r>
            <w:r w:rsidRPr="00CA2FA5">
              <w:tab/>
              <w:t xml:space="preserve">Bij Richtlijn (EU) 2019/879 van het Europees Parlement en de </w:t>
            </w:r>
            <w:r w:rsidRPr="00CA2FA5">
              <w:t>Raad</w:t>
            </w:r>
            <w:r w:rsidRPr="00CA2FA5">
              <w:rPr>
                <w:vertAlign w:val="superscript"/>
              </w:rPr>
              <w:t>16</w:t>
            </w:r>
            <w:r w:rsidRPr="00CA2FA5">
              <w:t xml:space="preserve"> en Verordening (EU) 2019/877 van het Europees Parlement en de Raad</w:t>
            </w:r>
            <w:r w:rsidRPr="00CA2FA5">
              <w:rPr>
                <w:vertAlign w:val="superscript"/>
              </w:rPr>
              <w:t>17</w:t>
            </w:r>
            <w:r w:rsidRPr="00CA2FA5">
              <w:t xml:space="preserve"> zijn wijzigingen aangebracht in het minimumvereiste voor eigen vermogen en in aanmerking komende passiva (MREL), dat is vastgesteld in Richtlijn 2014/59/EU van het Europees Parleme</w:t>
            </w:r>
            <w:r w:rsidRPr="00CA2FA5">
              <w:t>nt en de Raad</w:t>
            </w:r>
            <w:r w:rsidRPr="00CA2FA5">
              <w:rPr>
                <w:vertAlign w:val="superscript"/>
              </w:rPr>
              <w:t>18</w:t>
            </w:r>
            <w:r w:rsidRPr="00CA2FA5">
              <w:t xml:space="preserve"> en in Verordening (EU) nr. 806/2014 van het Europees Parlement en de Raad</w:t>
            </w:r>
            <w:r w:rsidRPr="00CA2FA5">
              <w:rPr>
                <w:vertAlign w:val="superscript"/>
              </w:rPr>
              <w:t>19</w:t>
            </w:r>
            <w:r w:rsidRPr="00CA2FA5">
              <w:t>, dat van toepassing is op in de Unie gevestigde kredietinstellingen en beleggingsondernemingen (instellingen) en op alle andere entiteiten die onder het toepassings</w:t>
            </w:r>
            <w:r w:rsidRPr="00CA2FA5">
              <w:t>gebied van Richtlijn 2014/59/EU of Verordening (EU) nr. 806/2014 vallen (entiteiten). Die wijzigingen hielden in dat aan het interne MREL, d.w.z. het MREL dat van toepassing is op instellingen en entiteiten die dochterondernemingen van afwikkelingsentiteit</w:t>
            </w:r>
            <w:r w:rsidRPr="00CA2FA5">
              <w:t xml:space="preserve">en zijn, maar zelf geen afwikkelingsentiteiten zijn, door die </w:t>
            </w:r>
            <w:r w:rsidRPr="00CA2FA5">
              <w:rPr>
                <w:b/>
                <w:i/>
              </w:rPr>
              <w:t>[instellingen en]</w:t>
            </w:r>
            <w:r w:rsidRPr="00CA2FA5">
              <w:t xml:space="preserve"> entiteiten kan worden voldaan met behulp van instrumenten die zijn uitgegeven aan en gekocht door de afwikkelingsentiteit, hetzij direct, hetzij indirect via andere entiteiten </w:t>
            </w:r>
            <w:r w:rsidRPr="00CA2FA5">
              <w:t>binnen dezelfde afwikkelingsgroep.</w:t>
            </w:r>
          </w:p>
        </w:tc>
        <w:tc>
          <w:tcPr>
            <w:tcW w:w="4876" w:type="dxa"/>
            <w:hideMark/>
          </w:tcPr>
          <w:p w:rsidR="00932D06" w:rsidRPr="00CA2FA5" w:rsidRDefault="00980439">
            <w:pPr>
              <w:pStyle w:val="Normal6"/>
              <w:rPr>
                <w:szCs w:val="24"/>
              </w:rPr>
            </w:pPr>
            <w:r w:rsidRPr="00CA2FA5">
              <w:t>(1)</w:t>
            </w:r>
            <w:r w:rsidRPr="00CA2FA5">
              <w:tab/>
              <w:t>Bij Richtlijn (EU) 2019/879 van het Europees Parlement en de Raad</w:t>
            </w:r>
            <w:r w:rsidRPr="00CA2FA5">
              <w:rPr>
                <w:vertAlign w:val="superscript"/>
              </w:rPr>
              <w:t>16</w:t>
            </w:r>
            <w:r w:rsidRPr="00CA2FA5">
              <w:t xml:space="preserve"> en Verordening (EU) 2019/877 van het Europees Parlement en de Raad</w:t>
            </w:r>
            <w:r w:rsidRPr="00CA2FA5">
              <w:rPr>
                <w:vertAlign w:val="superscript"/>
              </w:rPr>
              <w:t>17</w:t>
            </w:r>
            <w:r w:rsidRPr="00CA2FA5">
              <w:t xml:space="preserve"> zijn wijzigingen aangebracht in het minimumvereiste voor eigen vermogen en in aa</w:t>
            </w:r>
            <w:r w:rsidRPr="00CA2FA5">
              <w:t>nmerking komende passiva (MREL), dat is vastgesteld in Richtlijn 2014/59/EU van het Europees Parlement en de Raad</w:t>
            </w:r>
            <w:r w:rsidRPr="00CA2FA5">
              <w:rPr>
                <w:vertAlign w:val="superscript"/>
              </w:rPr>
              <w:t>18</w:t>
            </w:r>
            <w:r w:rsidRPr="00CA2FA5">
              <w:t xml:space="preserve"> en in Verordening (EU) nr. 806/2014 van het Europees Parlement en de Raad</w:t>
            </w:r>
            <w:r w:rsidRPr="00CA2FA5">
              <w:rPr>
                <w:vertAlign w:val="superscript"/>
              </w:rPr>
              <w:t>19</w:t>
            </w:r>
            <w:r w:rsidRPr="00CA2FA5">
              <w:t>, dat van toepassing is op in de Unie gevestigde kredietinstellin</w:t>
            </w:r>
            <w:r w:rsidRPr="00CA2FA5">
              <w:t>gen en beleggingsondernemingen (instellingen) en op alle andere entiteiten die onder het toepassingsgebied van Richtlijn 2014/59/EU of Verordening (EU) nr. 806/2014 vallen (entiteiten). Die wijzigingen hielden in dat aan het interne MREL, d.w.z. het MREL d</w:t>
            </w:r>
            <w:r w:rsidRPr="00CA2FA5">
              <w:t xml:space="preserve">at van toepassing is op instellingen en entiteiten die dochterondernemingen van afwikkelingsentiteiten zijn, maar zelf geen afwikkelingsentiteiten zijn, door die </w:t>
            </w:r>
            <w:r w:rsidRPr="00CA2FA5">
              <w:rPr>
                <w:b/>
                <w:i/>
              </w:rPr>
              <w:t>instellingen en</w:t>
            </w:r>
            <w:r w:rsidRPr="00CA2FA5">
              <w:t xml:space="preserve"> entiteiten kan worden voldaan met behulp van instrumenten die zijn uitgegeven </w:t>
            </w:r>
            <w:r w:rsidRPr="00CA2FA5">
              <w:t>aan en gekocht door de afwikkelingsentiteit, hetzij direct, hetzij indirect via andere entiteiten binnen dezelfde afwikkelingsgroep.</w:t>
            </w:r>
          </w:p>
        </w:tc>
      </w:tr>
      <w:tr w:rsidR="0044405A" w:rsidRPr="00CA2FA5" w:rsidTr="00932D06">
        <w:trPr>
          <w:jc w:val="center"/>
        </w:trPr>
        <w:tc>
          <w:tcPr>
            <w:tcW w:w="4876" w:type="dxa"/>
            <w:hideMark/>
          </w:tcPr>
          <w:p w:rsidR="00932D06" w:rsidRPr="00CA2FA5" w:rsidRDefault="00980439">
            <w:pPr>
              <w:pStyle w:val="Normal6"/>
            </w:pPr>
            <w:r w:rsidRPr="00CA2FA5">
              <w:t>__________________</w:t>
            </w:r>
          </w:p>
        </w:tc>
        <w:tc>
          <w:tcPr>
            <w:tcW w:w="4876" w:type="dxa"/>
            <w:hideMark/>
          </w:tcPr>
          <w:p w:rsidR="00932D06" w:rsidRPr="00CA2FA5" w:rsidRDefault="00980439">
            <w:pPr>
              <w:pStyle w:val="Normal6"/>
              <w:rPr>
                <w:szCs w:val="24"/>
              </w:rPr>
            </w:pPr>
            <w:r w:rsidRPr="00CA2FA5">
              <w:t>__________________</w:t>
            </w:r>
          </w:p>
        </w:tc>
      </w:tr>
      <w:tr w:rsidR="0044405A" w:rsidRPr="00CA2FA5" w:rsidTr="00932D06">
        <w:trPr>
          <w:jc w:val="center"/>
        </w:trPr>
        <w:tc>
          <w:tcPr>
            <w:tcW w:w="4876" w:type="dxa"/>
            <w:hideMark/>
          </w:tcPr>
          <w:p w:rsidR="00932D06" w:rsidRPr="00CA2FA5" w:rsidRDefault="00980439">
            <w:pPr>
              <w:pStyle w:val="Normal6"/>
            </w:pPr>
            <w:r w:rsidRPr="00CA2FA5">
              <w:rPr>
                <w:vertAlign w:val="superscript"/>
              </w:rPr>
              <w:t>16</w:t>
            </w:r>
            <w:r w:rsidRPr="00CA2FA5">
              <w:t xml:space="preserve"> Richtlijn (EU) 2019/879 van het Europees Parlement en de Raad van 20 mei 2019 to</w:t>
            </w:r>
            <w:r w:rsidRPr="00CA2FA5">
              <w:t>t wijziging van Richtlijn 2014/59/EU met betrekking tot de verliesabsorptie- en herkapitalisatiecapaciteit van kredietinstellingen en beleggingsondernemingen en Richtlijn 98/26/EG (PB L 150 van 7.6.2019, blz. 296).</w:t>
            </w:r>
          </w:p>
        </w:tc>
        <w:tc>
          <w:tcPr>
            <w:tcW w:w="4876" w:type="dxa"/>
            <w:hideMark/>
          </w:tcPr>
          <w:p w:rsidR="00932D06" w:rsidRPr="00CA2FA5" w:rsidRDefault="00980439">
            <w:pPr>
              <w:pStyle w:val="Normal6"/>
              <w:rPr>
                <w:szCs w:val="24"/>
              </w:rPr>
            </w:pPr>
            <w:r w:rsidRPr="00CA2FA5">
              <w:rPr>
                <w:vertAlign w:val="superscript"/>
              </w:rPr>
              <w:t>16</w:t>
            </w:r>
            <w:r w:rsidRPr="00CA2FA5">
              <w:t xml:space="preserve"> Richtlijn (EU) 2019/879 van het Europe</w:t>
            </w:r>
            <w:r w:rsidRPr="00CA2FA5">
              <w:t>es Parlement en de Raad van 20 mei 2019 tot wijziging van Richtlijn 2014/59/EU met betrekking tot de verliesabsorptie- en herkapitalisatiecapaciteit van kredietinstellingen en beleggingsondernemingen en Richtlijn 98/26/EG (PB L 150 van 7.6.2019, blz. 296).</w:t>
            </w:r>
          </w:p>
        </w:tc>
      </w:tr>
      <w:tr w:rsidR="0044405A" w:rsidRPr="00CA2FA5" w:rsidTr="00932D06">
        <w:trPr>
          <w:jc w:val="center"/>
        </w:trPr>
        <w:tc>
          <w:tcPr>
            <w:tcW w:w="4876" w:type="dxa"/>
            <w:hideMark/>
          </w:tcPr>
          <w:p w:rsidR="00932D06" w:rsidRPr="00CA2FA5" w:rsidRDefault="00980439">
            <w:pPr>
              <w:pStyle w:val="Normal6"/>
            </w:pPr>
            <w:r w:rsidRPr="00CA2FA5">
              <w:rPr>
                <w:vertAlign w:val="superscript"/>
              </w:rPr>
              <w:lastRenderedPageBreak/>
              <w:t>17</w:t>
            </w:r>
            <w:r w:rsidRPr="00CA2FA5">
              <w:t xml:space="preserve"> Verordening (EU) 2019/877 van het Europees Parlement en de Raad van 20 mei 2019 tot wijziging van Verordening (EU) nr. 806/2014 met betrekking tot de verliesabsorptie- en herkapitalisatiecapaciteit van kredietinstellingen en beleggingsondernemingen (P</w:t>
            </w:r>
            <w:r w:rsidRPr="00CA2FA5">
              <w:t>B L 150 van 7.6.2019, blz. 226).</w:t>
            </w:r>
          </w:p>
        </w:tc>
        <w:tc>
          <w:tcPr>
            <w:tcW w:w="4876" w:type="dxa"/>
            <w:hideMark/>
          </w:tcPr>
          <w:p w:rsidR="00932D06" w:rsidRPr="00CA2FA5" w:rsidRDefault="00980439">
            <w:pPr>
              <w:pStyle w:val="Normal6"/>
              <w:rPr>
                <w:szCs w:val="24"/>
              </w:rPr>
            </w:pPr>
            <w:r w:rsidRPr="00CA2FA5">
              <w:rPr>
                <w:vertAlign w:val="superscript"/>
              </w:rPr>
              <w:t>17</w:t>
            </w:r>
            <w:r w:rsidRPr="00CA2FA5">
              <w:t xml:space="preserve"> Verordening (EU) 2019/877 van het Europees Parlement en de Raad van 20 mei 2019 tot wijziging van Verordening (EU) nr. 806/2014 met betrekking tot de verliesabsorptie- en herkapitalisatiecapaciteit van kredietinstellingen en beleggingsondernemingen (PB L </w:t>
            </w:r>
            <w:r w:rsidRPr="00CA2FA5">
              <w:t>150 van 7.6.2019, blz. 226).</w:t>
            </w:r>
          </w:p>
        </w:tc>
      </w:tr>
      <w:tr w:rsidR="0044405A" w:rsidRPr="00CA2FA5" w:rsidTr="00932D06">
        <w:trPr>
          <w:jc w:val="center"/>
        </w:trPr>
        <w:tc>
          <w:tcPr>
            <w:tcW w:w="4876" w:type="dxa"/>
            <w:hideMark/>
          </w:tcPr>
          <w:p w:rsidR="00932D06" w:rsidRPr="00CA2FA5" w:rsidRDefault="00980439">
            <w:pPr>
              <w:pStyle w:val="Normal6"/>
            </w:pPr>
            <w:r w:rsidRPr="00CA2FA5">
              <w:rPr>
                <w:vertAlign w:val="superscript"/>
              </w:rPr>
              <w:t>18</w:t>
            </w:r>
            <w:r w:rsidRPr="00CA2FA5">
              <w:t xml:space="preserve"> Richtlijn 2014/59/EU van het Europees Parlement en de Raad van 15 mei 2014 betreffende de totstandbrenging van een kader voor het herstel en de afwikkeling van kredietinstellingen en beleggingsondernemingen en tot wijziging</w:t>
            </w:r>
            <w:r w:rsidRPr="00CA2FA5">
              <w:t xml:space="preserve"> van Richtlijn 82/891/EEG van de Raad en de Richtlijnen 2001/24/EG, 2002/47/EG, 2004/25/EG, 2005/56/EG, 2007/36/EG, 2011/35/EU, 2012/30/EU en 2013/36/EU en de Verordeningen (EU) nr. 1093/2010 en (EU) nr. 648/2012, van het Europees Parlement en de Raad (PB </w:t>
            </w:r>
            <w:r w:rsidRPr="00CA2FA5">
              <w:t>L 173 van 12.6.2014, blz. 190).</w:t>
            </w:r>
          </w:p>
        </w:tc>
        <w:tc>
          <w:tcPr>
            <w:tcW w:w="4876" w:type="dxa"/>
            <w:hideMark/>
          </w:tcPr>
          <w:p w:rsidR="00932D06" w:rsidRPr="00CA2FA5" w:rsidRDefault="00980439">
            <w:pPr>
              <w:pStyle w:val="Normal6"/>
              <w:rPr>
                <w:szCs w:val="24"/>
              </w:rPr>
            </w:pPr>
            <w:r w:rsidRPr="00CA2FA5">
              <w:rPr>
                <w:vertAlign w:val="superscript"/>
              </w:rPr>
              <w:t>18</w:t>
            </w:r>
            <w:r w:rsidRPr="00CA2FA5">
              <w:t xml:space="preserve"> Richtlijn 2014/59/EU van het Europees Parlement en de Raad van 15 mei 2014 betreffende de totstandbrenging van een kader voor het herstel en de afwikkeling van kredietinstellingen en beleggingsondernemingen en tot wijzigi</w:t>
            </w:r>
            <w:r w:rsidRPr="00CA2FA5">
              <w:t>ng van Richtlijn 82/891/EEG van de Raad en de Richtlijnen 2001/24/EG, 2002/47/EG, 2004/25/EG, 2005/56/EG, 2007/36/EG, 2011/35/EU, 2012/30/EU en 2013/36/EU en de Verordeningen (EU) nr. 1093/2010 en (EU) nr. 648/2012, van het Europees Parlement en de Raad (P</w:t>
            </w:r>
            <w:r w:rsidRPr="00CA2FA5">
              <w:t>B L 173 van 12.6.2014, blz. 190).</w:t>
            </w:r>
          </w:p>
        </w:tc>
      </w:tr>
      <w:tr w:rsidR="0044405A" w:rsidRPr="00CA2FA5" w:rsidTr="00932D06">
        <w:trPr>
          <w:jc w:val="center"/>
        </w:trPr>
        <w:tc>
          <w:tcPr>
            <w:tcW w:w="4876" w:type="dxa"/>
            <w:hideMark/>
          </w:tcPr>
          <w:p w:rsidR="00932D06" w:rsidRPr="00CA2FA5" w:rsidRDefault="00980439">
            <w:pPr>
              <w:pStyle w:val="Normal6"/>
            </w:pPr>
            <w:r w:rsidRPr="00CA2FA5">
              <w:rPr>
                <w:vertAlign w:val="superscript"/>
              </w:rPr>
              <w:t>19</w:t>
            </w:r>
            <w:r w:rsidRPr="00CA2FA5">
              <w:t xml:space="preserve"> Verordening (EU) nr. 806/2014 van het Europees Parlement en de Raad van 15 juli 2014 tot vaststelling van eenvormige regels en een eenvormige procedure voor de afwikkeling van kredietinstellingen en bepaalde beleggings</w:t>
            </w:r>
            <w:r w:rsidRPr="00CA2FA5">
              <w:t>ondernemingen in het kader van een gemeenschappelijk afwikkelingsmechanisme en een gemeenschappelijk afwikkelingsfonds en tot wijziging van Ver</w:t>
            </w:r>
            <w:r w:rsidR="00D766E0">
              <w:t>ordening (EU) nr. 1093/2010 (PB </w:t>
            </w:r>
            <w:r w:rsidRPr="00CA2FA5">
              <w:t>L 225 van 30.7.2014, blz. 1).</w:t>
            </w:r>
          </w:p>
        </w:tc>
        <w:tc>
          <w:tcPr>
            <w:tcW w:w="4876" w:type="dxa"/>
            <w:hideMark/>
          </w:tcPr>
          <w:p w:rsidR="00932D06" w:rsidRPr="00CA2FA5" w:rsidRDefault="00980439">
            <w:pPr>
              <w:pStyle w:val="Normal6"/>
              <w:rPr>
                <w:szCs w:val="24"/>
              </w:rPr>
            </w:pPr>
            <w:r w:rsidRPr="00CA2FA5">
              <w:rPr>
                <w:vertAlign w:val="superscript"/>
              </w:rPr>
              <w:t>19</w:t>
            </w:r>
            <w:r w:rsidRPr="00CA2FA5">
              <w:t xml:space="preserve"> Verordening (EU) nr. 806/2014 van het Europees P</w:t>
            </w:r>
            <w:r w:rsidRPr="00CA2FA5">
              <w:t>arlement en de Raad van 15 juli 2014 tot vaststelling van eenvormige regels en een eenvormige procedure voor de afwikkeling van kredietinstellingen en bepaalde beleggingsondernemingen in het kader van een gemeenschappelijk afwikkelingsmechanisme en een gem</w:t>
            </w:r>
            <w:r w:rsidRPr="00CA2FA5">
              <w:t>eenschappelijk afwikkelingsfonds en tot wijziging van Ver</w:t>
            </w:r>
            <w:r w:rsidR="00D766E0">
              <w:t>ordening (EU) nr. 1093/2010 (PB </w:t>
            </w:r>
            <w:r w:rsidRPr="00CA2FA5">
              <w:t>L 225 van 30.7.2014, blz. 1).</w:t>
            </w:r>
          </w:p>
        </w:tc>
      </w:tr>
    </w:tbl>
    <w:p w:rsidR="00932D06" w:rsidRPr="00CA2FA5" w:rsidRDefault="00980439" w:rsidP="00932D06">
      <w:pPr>
        <w:pStyle w:val="Olang"/>
        <w:rPr>
          <w:sz w:val="24"/>
          <w:szCs w:val="24"/>
        </w:rPr>
      </w:pPr>
      <w:r w:rsidRPr="00CA2FA5">
        <w:rPr>
          <w:sz w:val="24"/>
          <w:szCs w:val="24"/>
        </w:rPr>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2</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Overweging 3</w:t>
      </w:r>
      <w:r w:rsidRPr="00CA2F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(3)</w:t>
            </w:r>
            <w:r w:rsidRPr="00CA2FA5">
              <w:tab/>
            </w:r>
            <w:r w:rsidRPr="00CA2FA5">
              <w:t xml:space="preserve">Uit de evaluatie van de Commissie is gebleken dat het passend en evenredig met de doelstellingen van de interne </w:t>
            </w:r>
            <w:r w:rsidRPr="00CA2FA5">
              <w:lastRenderedPageBreak/>
              <w:t>MREL-regels zou zijn om afwikkelingsautoriteiten toe te staan het interne MREL op geconsolideerde basis te bepalen voor een reeks entiteiten die</w:t>
            </w:r>
            <w:r w:rsidRPr="00CA2FA5">
              <w:t xml:space="preserve"> breder is dan het bereik dat voortvloeit uit de toepassing van Richtlijn 2014/59/EU en Verordening (EU) nr. 806/2014, wanneer een dergelijk breder bereik instellingen en entiteiten beslaat die zelf geen af te wikkelen entiteiten zijn, maar dochterondernem</w:t>
            </w:r>
            <w:r w:rsidRPr="00CA2FA5">
              <w:t xml:space="preserve">ingen van af te wikkelen entiteiten, en zelf zeggenschap hebben over </w:t>
            </w:r>
            <w:r w:rsidRPr="00CA2FA5">
              <w:rPr>
                <w:b/>
                <w:i/>
              </w:rPr>
              <w:t>dochterondernemingen die onder het MREL vallen</w:t>
            </w:r>
            <w:r w:rsidRPr="00CA2FA5">
              <w:t xml:space="preserve"> (“intermediaire entiteiten”). Dit zou met name het geval zijn voor bankgroepen waarbij een holding aan het hoofd staat. In dergelijke gevall</w:t>
            </w:r>
            <w:r w:rsidRPr="00CA2FA5">
              <w:t>en centraliseren de intermediaire entiteiten uiteraard intragroepblootstellingen en kanaliseren zij de voor het interne MREL in aanmerking komende middelen die door de afwikkelingsentiteit zijn voorgepositioneerd. Door die structuur zouden dergelijke inter</w:t>
            </w:r>
            <w:r w:rsidRPr="00CA2FA5">
              <w:t xml:space="preserve">mediaire entiteiten onevenredig worden getroffen door de aftrekregels. De Commissie concludeerde ook dat het MREL-kader evenrediger zou </w:t>
            </w:r>
            <w:r w:rsidRPr="00CA2FA5">
              <w:rPr>
                <w:b/>
                <w:i/>
              </w:rPr>
              <w:t>zijn als de uitgiften van liquidatie-entiteiten zouden worden uitgesloten van</w:t>
            </w:r>
            <w:r w:rsidRPr="00CA2FA5">
              <w:t xml:space="preserve"> het toepassingsgebied van</w:t>
            </w:r>
            <w:r w:rsidRPr="00CA2FA5">
              <w:rPr>
                <w:b/>
                <w:i/>
              </w:rPr>
              <w:t xml:space="preserve"> de</w:t>
            </w:r>
            <w:r w:rsidRPr="00CA2FA5">
              <w:t xml:space="preserve"> blootstelling</w:t>
            </w:r>
            <w:r w:rsidRPr="00CA2FA5">
              <w:t>en die een intermediaire entiteit moet aftrekken</w:t>
            </w:r>
            <w:r w:rsidRPr="00CA2FA5">
              <w:rPr>
                <w:b/>
                <w:i/>
              </w:rPr>
              <w:t xml:space="preserve"> op grond van het aftrekmechanisme voor de indirecte plaatsing van voor het interne MREL</w:t>
            </w:r>
            <w:r w:rsidRPr="00CA2FA5">
              <w:t xml:space="preserve"> in </w:t>
            </w:r>
            <w:r w:rsidRPr="00CA2FA5">
              <w:rPr>
                <w:b/>
                <w:i/>
              </w:rPr>
              <w:t>aanmerking komende middelen.</w:t>
            </w:r>
            <w:r w:rsidRPr="00CA2FA5">
              <w:t xml:space="preserve"> </w:t>
            </w:r>
            <w:r w:rsidRPr="00CA2FA5">
              <w:rPr>
                <w:b/>
                <w:i/>
              </w:rPr>
              <w:t>Een liquidatie-entiteit hoeft in geval van faillissement niet door de afwikkelingsentit</w:t>
            </w:r>
            <w:r w:rsidRPr="00CA2FA5">
              <w:rPr>
                <w:b/>
                <w:i/>
              </w:rPr>
              <w:t>eit te worden ondersteund</w:t>
            </w:r>
            <w:r w:rsidRPr="00CA2FA5">
              <w:t xml:space="preserve">, waardoor de noodzaak wordt weggenomen om mechanismen voor verlies- en kapitaaloverdracht binnen afwikkelingsgroepen te waarborgen, hetgeen het doel was van de bij Verordening (EU) 2022/2036 ingevoerde aftrekregels. De resterende </w:t>
            </w:r>
            <w:r w:rsidRPr="00CA2FA5">
              <w:t xml:space="preserve">entiteiten van de afwikkelingsgroep zullen daarentegen in geval van moeilijkheden of een faillissement door de afwikkelingsentiteit moeten worden ondersteund. De benodigde </w:t>
            </w:r>
            <w:r w:rsidRPr="00CA2FA5">
              <w:lastRenderedPageBreak/>
              <w:t>MREL-middelen moeten derhalve op alle niveaus van de afwikkelingsgroep aanwezig zijn</w:t>
            </w:r>
            <w:r w:rsidRPr="00CA2FA5">
              <w:t xml:space="preserve"> en hun beschikbaarheid voor verliesabsorptie en herkapitalisatie moet door middel van het aftrekmechanisme worden gewaarborgd. In de evaluatie van de Commissie werd derhalve geconcludeerd dat intermediaire entiteiten het volledige bedrag van hun bezit aan</w:t>
            </w:r>
            <w:r w:rsidRPr="00CA2FA5">
              <w:t xml:space="preserve"> voor het interne MREL in aanmerking komende middelen die zijn uitgegeven door andere niet-liquidatie-entiteiten in dezelfde afwikkelingsgroep, moeten blijven aftrekken.</w:t>
            </w:r>
          </w:p>
        </w:tc>
        <w:tc>
          <w:tcPr>
            <w:tcW w:w="4876" w:type="dxa"/>
            <w:hideMark/>
          </w:tcPr>
          <w:p w:rsidR="00932D06" w:rsidRPr="00CA2FA5" w:rsidRDefault="00980439" w:rsidP="006A17A3">
            <w:pPr>
              <w:pStyle w:val="Normal6"/>
              <w:rPr>
                <w:szCs w:val="24"/>
              </w:rPr>
            </w:pPr>
            <w:r w:rsidRPr="00CA2FA5">
              <w:lastRenderedPageBreak/>
              <w:t>(3)</w:t>
            </w:r>
            <w:r w:rsidRPr="00CA2FA5">
              <w:tab/>
              <w:t xml:space="preserve">Uit de evaluatie van de Commissie is gebleken dat het passend en evenredig met de </w:t>
            </w:r>
            <w:r w:rsidRPr="00CA2FA5">
              <w:t xml:space="preserve">doelstellingen van de interne </w:t>
            </w:r>
            <w:r w:rsidRPr="00CA2FA5">
              <w:lastRenderedPageBreak/>
              <w:t>MREL-regels zou zijn om afwikkelingsautoriteiten toe te staan het interne MREL op geconsolideerde basis te bepalen voor een reeks entiteiten die breder is dan het bereik dat voortvloeit uit de toepassing van Richtlijn 2014/59/</w:t>
            </w:r>
            <w:r w:rsidRPr="00CA2FA5">
              <w:t xml:space="preserve">EU en Verordening (EU) nr. 806/2014, wanneer een dergelijk breder bereik instellingen en entiteiten beslaat die zelf geen af te wikkelen entiteiten zijn, maar dochterondernemingen van af te wikkelen entiteiten, en zelf zeggenschap hebben over </w:t>
            </w:r>
            <w:r w:rsidRPr="00CA2FA5">
              <w:rPr>
                <w:b/>
                <w:i/>
              </w:rPr>
              <w:t>andere dochte</w:t>
            </w:r>
            <w:r w:rsidRPr="00CA2FA5">
              <w:rPr>
                <w:b/>
                <w:i/>
              </w:rPr>
              <w:t>rondernemingen</w:t>
            </w:r>
            <w:r w:rsidRPr="00CA2FA5">
              <w:t xml:space="preserve"> (“intermediaire entiteiten”)</w:t>
            </w:r>
            <w:r w:rsidRPr="00CA2FA5">
              <w:rPr>
                <w:b/>
                <w:i/>
              </w:rPr>
              <w:t xml:space="preserve"> binnen dezelfde afwikkelingsgroep</w:t>
            </w:r>
            <w:r w:rsidRPr="00CA2FA5">
              <w:t>. Dit zou met name het geval zijn voor bankgroepen waarbij een holding aan het hoofd staat. In dergelijke gevallen centraliseren de intermediaire entiteiten uiteraard intragroepbl</w:t>
            </w:r>
            <w:r w:rsidRPr="00CA2FA5">
              <w:t xml:space="preserve">ootstellingen en kanaliseren zij de voor het interne MREL in aanmerking komende middelen die door de afwikkelingsentiteit zijn voorgepositioneerd. Door die structuur zouden dergelijke intermediaire entiteiten onevenredig </w:t>
            </w:r>
            <w:r w:rsidRPr="00CA2FA5">
              <w:rPr>
                <w:b/>
                <w:i/>
              </w:rPr>
              <w:t xml:space="preserve">kunnen </w:t>
            </w:r>
            <w:r w:rsidRPr="00CA2FA5">
              <w:t>worden getroffen door de aft</w:t>
            </w:r>
            <w:r w:rsidRPr="00CA2FA5">
              <w:t xml:space="preserve">rekregels. De Commissie concludeerde ook dat het MREL-kader evenrediger zou </w:t>
            </w:r>
            <w:r w:rsidRPr="00CA2FA5">
              <w:rPr>
                <w:b/>
                <w:i/>
              </w:rPr>
              <w:t>kunnen worden gemaakt door de regels inzake</w:t>
            </w:r>
            <w:r w:rsidRPr="00CA2FA5">
              <w:t xml:space="preserve"> het toepassingsgebied van blootstellingen die een intermediaire entiteit moet aftrekken</w:t>
            </w:r>
            <w:r w:rsidRPr="00CA2FA5">
              <w:rPr>
                <w:b/>
                <w:i/>
              </w:rPr>
              <w:t>, aan te passen indien de uitgevende entiteit een</w:t>
            </w:r>
            <w:r w:rsidRPr="00CA2FA5">
              <w:rPr>
                <w:b/>
                <w:i/>
              </w:rPr>
              <w:t xml:space="preserve"> liquidatie-entiteit is die niet aan een MREL-besluit onderworpen is. </w:t>
            </w:r>
            <w:r w:rsidRPr="00CA2FA5">
              <w:t xml:space="preserve">In </w:t>
            </w:r>
            <w:r w:rsidRPr="00CA2FA5">
              <w:rPr>
                <w:b/>
                <w:i/>
              </w:rPr>
              <w:t>die gevallen wordt niet verwacht dat de afschrijvings- en omzettingsbevoegdheden zullen moeten worden uitgeoefend met betrekking tot dergelijke liquidatie-entiteiten</w:t>
            </w:r>
            <w:r w:rsidRPr="00CA2FA5">
              <w:t>, waardoor de nood</w:t>
            </w:r>
            <w:r w:rsidRPr="00CA2FA5">
              <w:t>zaak wordt weggenomen om</w:t>
            </w:r>
            <w:r w:rsidRPr="00CA2FA5">
              <w:rPr>
                <w:b/>
                <w:i/>
              </w:rPr>
              <w:t xml:space="preserve"> de</w:t>
            </w:r>
            <w:r w:rsidRPr="00CA2FA5">
              <w:t xml:space="preserve"> mechanismen voor verlies- en kapitaaloverdracht binnen afwikkelingsgroepen te waarborgen, hetgeen het doel was van de bij Verordening (EU) 2022/2036 ingevoerde aftrekregels. De resterende entiteiten van de afwikkelingsgroep zull</w:t>
            </w:r>
            <w:r w:rsidRPr="00CA2FA5">
              <w:t xml:space="preserve">en daarentegen in geval van moeilijkheden of een faillissement door de afwikkelingsentiteit </w:t>
            </w:r>
            <w:r w:rsidRPr="00CA2FA5">
              <w:lastRenderedPageBreak/>
              <w:t>moeten worden ondersteund. De benodigde MREL-middelen moeten derhalve op alle niveaus van de afwikkelingsgroep aanwezig zijn en hun beschikbaarheid voor verliesabso</w:t>
            </w:r>
            <w:r w:rsidRPr="00CA2FA5">
              <w:t>rptie en herkapitalisatie moet door middel van het aftrekmechanisme worden gewaarborgd. In de evaluatie van de Commissie werd derhalve geconcludeerd dat intermediaire entiteiten het volledige bedrag van hun bezit aan voor het interne MREL in aanmerking kom</w:t>
            </w:r>
            <w:r w:rsidRPr="00CA2FA5">
              <w:t>ende middelen die zijn uitgegeven door andere niet-liquidatie-entiteiten in dezelfde afwikkelingsgroep, moeten blijven aftrekken.</w:t>
            </w:r>
          </w:p>
        </w:tc>
      </w:tr>
    </w:tbl>
    <w:p w:rsidR="00932D06" w:rsidRPr="00CA2FA5" w:rsidRDefault="00980439" w:rsidP="00932D06">
      <w:pPr>
        <w:pStyle w:val="Olang"/>
        <w:rPr>
          <w:sz w:val="24"/>
          <w:szCs w:val="24"/>
        </w:rPr>
      </w:pPr>
      <w:r w:rsidRPr="00CA2FA5">
        <w:rPr>
          <w:sz w:val="24"/>
          <w:szCs w:val="24"/>
        </w:rPr>
        <w:lastRenderedPageBreak/>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3</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Overweging 5</w:t>
      </w:r>
      <w:r w:rsidRPr="00CA2F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(5)</w:t>
            </w:r>
            <w:r w:rsidRPr="00CA2FA5">
              <w:tab/>
              <w:t xml:space="preserve">Om ervoor te zorgen dat de mogelijkheid om op geconsolideerde basis aan het MREL te voldoen alleen beschikbaar is in de relevante gevallen die bij de evaluatie van de </w:t>
            </w:r>
            <w:r w:rsidRPr="00CA2FA5">
              <w:t>Commissie zijn vastgesteld en niet leidt tot een tekort aan voor het interne MREL in aanmerking komende middelen in de gehele afwikkelingsgroep, moet de bevoegdheid om het interne MREL op geconsolideerde basis voor intermediaire entiteiten te bepalen een d</w:t>
            </w:r>
            <w:r w:rsidRPr="00CA2FA5">
              <w:t>iscretionaire bevoegdheid van de afwikkelingsautoriteit zijn en aan bepaalde voorwaarden worden onderworpen. De intermediaire entiteit moet de enige directe dochteronderneming zijn, d.w.z. een instelling of een entiteit, van een afwikkelingsentiteit die ee</w:t>
            </w:r>
            <w:r w:rsidRPr="00CA2FA5">
              <w:t xml:space="preserve">n financiële EU-moederholding of een gemengde financiële EU-moederholding is, in dezelfde lidstaat is gevestigd en deel uitmaakt van dezelfde afwikkelingsgroep. Als alternatief moet de betrokken intermediaire entiteit voldoen aan het </w:t>
            </w:r>
            <w:r w:rsidRPr="00CA2FA5">
              <w:lastRenderedPageBreak/>
              <w:t>aanvullend-eigenvermog</w:t>
            </w:r>
            <w:r w:rsidRPr="00CA2FA5">
              <w:t>ensvereiste of aan het gecombineerde buffervereiste op basis van haar geconsolideerde situatie. In beide gevallen echter mag de naleving van het interne MREL op geconsolideerde basis bij de beoordeling van de afwikkelingsautoriteit geen significante negati</w:t>
            </w:r>
            <w:r w:rsidRPr="00CA2FA5">
              <w:t>eve invloed hebben op de afwikkelbaarheid van de betrokken afwikkelingsgroep, noch op de toepassing door de afwikkelingsautoriteit van de bevoegdheid om relevante kapitaalinstrumenten en in aanmerking komende passiva van de betrokken intermediaire entiteit</w:t>
            </w:r>
            <w:r w:rsidRPr="00CA2FA5">
              <w:t xml:space="preserve"> of van andere entiteiten in haar afwikkelingsgroep af te schrijven of om te zetten.</w:t>
            </w:r>
          </w:p>
        </w:tc>
        <w:tc>
          <w:tcPr>
            <w:tcW w:w="4876" w:type="dxa"/>
            <w:hideMark/>
          </w:tcPr>
          <w:p w:rsidR="00932D06" w:rsidRPr="00CA2FA5" w:rsidRDefault="00980439" w:rsidP="001C63AC">
            <w:pPr>
              <w:pStyle w:val="Normal6"/>
              <w:rPr>
                <w:szCs w:val="24"/>
              </w:rPr>
            </w:pPr>
            <w:r w:rsidRPr="00CA2FA5">
              <w:lastRenderedPageBreak/>
              <w:t>(5)</w:t>
            </w:r>
            <w:r w:rsidRPr="00CA2FA5">
              <w:tab/>
              <w:t xml:space="preserve">Om ervoor te zorgen dat de mogelijkheid om op geconsolideerde basis aan het MREL te voldoen alleen beschikbaar is in de relevante gevallen die bij de evaluatie van de </w:t>
            </w:r>
            <w:r w:rsidRPr="00CA2FA5">
              <w:t>Commissie zijn vastgesteld en niet leidt tot een tekort aan voor het interne MREL in aanmerking komende middelen in de gehele afwikkelingsgroep, moet de bevoegdheid om het interne MREL op geconsolideerde basis voor intermediaire entiteiten te bepalen een d</w:t>
            </w:r>
            <w:r w:rsidRPr="00CA2FA5">
              <w:t>iscretionaire bevoegdheid van de afwikkelingsautoriteit zijn en aan bepaalde voorwaarden worden onderworpen. De intermediaire entiteit moet de enige directe dochteronderneming zijn, d.w.z. een instelling of een entiteit, van een afwikkelingsentiteit die ee</w:t>
            </w:r>
            <w:r w:rsidRPr="00CA2FA5">
              <w:t xml:space="preserve">n financiële EU-moederholding of een gemengde financiële EU-moederholding is, in dezelfde lidstaat is gevestigd en deel uitmaakt van dezelfde afwikkelingsgroep. Als alternatief moet de betrokken intermediaire entiteit voldoen aan het </w:t>
            </w:r>
            <w:r w:rsidRPr="00CA2FA5">
              <w:lastRenderedPageBreak/>
              <w:t>aanvullend-eigenvermog</w:t>
            </w:r>
            <w:r w:rsidRPr="00CA2FA5">
              <w:t>ensvereiste of aan het gecombineerde buffervereiste op basis van haar geconsolideerde situatie. In beide gevallen echter mag de naleving van het interne MREL op geconsolideerde basis bij de beoordeling van de afwikkelingsautoriteit geen negatieve invloed h</w:t>
            </w:r>
            <w:r w:rsidRPr="00CA2FA5">
              <w:t>ebben op de afwikkelbaarheid van de betrokken afwikkelingsgroep, noch op de toepassing door de afwikkelingsautoriteit van de bevoegdheid om relevante kapitaalinstrumenten en in aanmerking komende passiva van de betrokken intermediaire entiteit of van ander</w:t>
            </w:r>
            <w:r w:rsidRPr="00CA2FA5">
              <w:t xml:space="preserve">e entiteiten in haar afwikkelingsgroep af te schrijven of om te zetten. </w:t>
            </w:r>
            <w:r w:rsidRPr="00CA2FA5">
              <w:rPr>
                <w:b/>
                <w:i/>
              </w:rPr>
              <w:t>Een situatie waarin de vaststelling van het interne MREL op geconsolideerde basis nadelig zou zijn voor de afwikkelbaarheid van de afwikkelingsgroep, doet zich bijvoorbeeld voor wannee</w:t>
            </w:r>
            <w:r w:rsidRPr="00CA2FA5">
              <w:rPr>
                <w:b/>
                <w:i/>
              </w:rPr>
              <w:t>r het bedrag van dat MREL niet waarborgt dat wordt voldaan aan de individuele eigenvermogensvereisten die van toepassing zijn na de uitoefening van de afschrijvings- en omzettingsbevoegdheden.</w:t>
            </w:r>
          </w:p>
        </w:tc>
      </w:tr>
    </w:tbl>
    <w:p w:rsidR="00932D06" w:rsidRPr="00CA2FA5" w:rsidRDefault="00980439" w:rsidP="00932D06">
      <w:pPr>
        <w:pStyle w:val="Olang"/>
        <w:rPr>
          <w:sz w:val="24"/>
          <w:szCs w:val="24"/>
        </w:rPr>
      </w:pPr>
      <w:r w:rsidRPr="00CA2FA5">
        <w:rPr>
          <w:sz w:val="24"/>
          <w:szCs w:val="24"/>
        </w:rPr>
        <w:lastRenderedPageBreak/>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w:t>
      </w:r>
      <w:r w:rsidRPr="00CA2FA5">
        <w:rPr>
          <w:rStyle w:val="HideTWBExt"/>
          <w:b w:val="0"/>
        </w:rPr>
        <w:t>umAm&gt;</w:t>
      </w:r>
      <w:r w:rsidRPr="00CA2FA5">
        <w:t>4</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Overweging 6</w:t>
      </w:r>
      <w:r w:rsidRPr="00CA2F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(6)</w:t>
            </w:r>
            <w:r w:rsidRPr="00CA2FA5">
              <w:tab/>
              <w:t xml:space="preserve">Overeenkomstig artikel 45 septies, lid 2, van Richtlijn 2014/59/EU en artikel 12 octies, lid 2, van </w:t>
            </w:r>
            <w:r w:rsidRPr="00CA2FA5">
              <w:t>Verordening (EU) nr. 806/2014 kunnen intermediaire entiteiten aan het geconsolideerde interne MREL voldoen met behulp van eigen vermogen en in aanmerking komende passiva. Om volledig te kunnen voldoen aan de mogelijkheid om op geconsolideerde basis aan het</w:t>
            </w:r>
            <w:r w:rsidRPr="00CA2FA5">
              <w:t xml:space="preserve"> MREL te voldoen, moet ervoor worden gezorgd dat de in aanmerking komende passiva van intermediaire entiteiten worden berekend </w:t>
            </w:r>
            <w:r w:rsidRPr="00CA2FA5">
              <w:lastRenderedPageBreak/>
              <w:t xml:space="preserve">op een wijze die vergelijkbaar is met de berekening van het eigen vermogen. De criteria voor het in aanmerking komen van passiva </w:t>
            </w:r>
            <w:r w:rsidRPr="00CA2FA5">
              <w:t xml:space="preserve">die kunnen worden gebruikt om aan het interne MREL op geconsolideerde basis te voldoen, moeten daarom worden afgestemd op de regels voor de berekening van het geconsolideerde eigen vermogen zoals neergelegd in Verordening (EU) nr. 575/2013. Omwille van de </w:t>
            </w:r>
            <w:r w:rsidRPr="00CA2FA5">
              <w:t>consistentie met de bestaande regels inzake het externe MREL, moet die afstemming ook de bestaande regels weerspiegelen die zijn neergelegd in artikel 45 ter, lid 3, van Richtlijn 2014/59/EU en artikel 12 quinquies, lid 3, van Verordening (EU) nr. 806/2014</w:t>
            </w:r>
            <w:r w:rsidRPr="00CA2FA5">
              <w:t xml:space="preserve"> voor de berekening van in aanmerking komende passiva waarmee af te wikkelen entiteiten aan hun geconsolideerde MREL kunnen voldoen. Het is met name noodzakelijk om ervoor te zorgen dat in aanmerking komende passiva die zijn uitgegeven door de dochteronder</w:t>
            </w:r>
            <w:r w:rsidRPr="00CA2FA5">
              <w:t>nemingen van de entiteit die aan het geconsolideerde interne MREL onderworpen is en die worden aangehouden door andere entiteiten binnen dezelfde afwikkelingsgroep, maar buiten de consolidatiekring,</w:t>
            </w:r>
            <w:r w:rsidRPr="00CA2FA5">
              <w:rPr>
                <w:b/>
                <w:i/>
              </w:rPr>
              <w:t xml:space="preserve"> met inbegrip van de afwikkelingsentiteit, </w:t>
            </w:r>
            <w:r w:rsidRPr="00CA2FA5">
              <w:t>of door bestaan</w:t>
            </w:r>
            <w:r w:rsidRPr="00CA2FA5">
              <w:t>de aandeelhouders die niet tot dezelfde afwikkelingsgroep behoren, meetellen voor het eigen vermogen en voor de in aanmerking komende passiva van de entiteit die onderworpen is aan het geconsolideerde interne MREL.</w:t>
            </w:r>
          </w:p>
        </w:tc>
        <w:tc>
          <w:tcPr>
            <w:tcW w:w="4876" w:type="dxa"/>
            <w:hideMark/>
          </w:tcPr>
          <w:p w:rsidR="00932D06" w:rsidRPr="00CA2FA5" w:rsidRDefault="00980439">
            <w:pPr>
              <w:pStyle w:val="Normal6"/>
              <w:rPr>
                <w:szCs w:val="24"/>
              </w:rPr>
            </w:pPr>
            <w:r w:rsidRPr="00CA2FA5">
              <w:lastRenderedPageBreak/>
              <w:t>(6)</w:t>
            </w:r>
            <w:r w:rsidRPr="00CA2FA5">
              <w:tab/>
              <w:t>Overeenkomstig artikel 45 septies, li</w:t>
            </w:r>
            <w:r w:rsidRPr="00CA2FA5">
              <w:t xml:space="preserve">d 2, van Richtlijn 2014/59/EU en artikel 12 octies, lid 2, van Verordening (EU) nr. 806/2014 kunnen intermediaire entiteiten aan het geconsolideerde interne MREL voldoen met behulp van eigen vermogen en in aanmerking komende passiva. Om volledig te kunnen </w:t>
            </w:r>
            <w:r w:rsidRPr="00CA2FA5">
              <w:t xml:space="preserve">voldoen aan de mogelijkheid om op geconsolideerde basis aan het MREL te voldoen, moet ervoor worden gezorgd dat de in aanmerking komende passiva van intermediaire entiteiten worden berekend </w:t>
            </w:r>
            <w:r w:rsidRPr="00CA2FA5">
              <w:lastRenderedPageBreak/>
              <w:t xml:space="preserve">op een wijze die vergelijkbaar is met de berekening van het eigen </w:t>
            </w:r>
            <w:r w:rsidRPr="00CA2FA5">
              <w:t>vermogen. De criteria voor het in aanmerking komen van passiva die kunnen worden gebruikt om aan het interne MREL op geconsolideerde basis te voldoen, moeten daarom worden afgestemd op de regels voor de berekening van het geconsolideerde eigen vermogen zoa</w:t>
            </w:r>
            <w:r w:rsidRPr="00CA2FA5">
              <w:t>ls neergelegd in Verordening (EU) nr. 575/2013. Omwille van de consistentie met de bestaande regels inzake het externe MREL, moet die afstemming ook de bestaande regels weerspiegelen die zijn neergelegd in artikel 45 ter, lid 3, van Richtlijn 2014/59/EU en</w:t>
            </w:r>
            <w:r w:rsidRPr="00CA2FA5">
              <w:t xml:space="preserve"> artikel 12 quinquies, lid 3, van Verordening (EU) nr. 806/2014 voor de berekening van in aanmerking komende passiva waarmee af te wikkelen entiteiten aan hun geconsolideerde MREL kunnen voldoen. Het is met name noodzakelijk om ervoor te zorgen dat in aanm</w:t>
            </w:r>
            <w:r w:rsidRPr="00CA2FA5">
              <w:t xml:space="preserve">erking komende passiva die zijn uitgegeven door de dochterondernemingen van de entiteit die aan het geconsolideerde interne MREL onderworpen is en die worden aangehouden door </w:t>
            </w:r>
            <w:r w:rsidRPr="00CA2FA5">
              <w:rPr>
                <w:b/>
                <w:i/>
              </w:rPr>
              <w:t xml:space="preserve">de afwikkelingsentiteit, hetzij direct, hetzij indirect via </w:t>
            </w:r>
            <w:r w:rsidRPr="00CA2FA5">
              <w:t xml:space="preserve">andere entiteiten </w:t>
            </w:r>
            <w:r w:rsidRPr="00CA2FA5">
              <w:t>binnen dezelfde afwikkelingsgroep, maar buiten de consolidatiekring, of door bestaande aandeelhouders die niet tot dezelfde afwikkelingsgroep behoren, meetellen voor het eigen vermogen en voor de in aanmerking komende passiva van de entiteit die onderworpe</w:t>
            </w:r>
            <w:r w:rsidRPr="00CA2FA5">
              <w:t>n is aan het geconsolideerde interne MREL.</w:t>
            </w:r>
          </w:p>
        </w:tc>
      </w:tr>
    </w:tbl>
    <w:p w:rsidR="00932D06" w:rsidRPr="00CA2FA5" w:rsidRDefault="00980439" w:rsidP="00932D06">
      <w:pPr>
        <w:pStyle w:val="Olang"/>
        <w:rPr>
          <w:sz w:val="24"/>
          <w:szCs w:val="24"/>
        </w:rPr>
      </w:pPr>
      <w:r w:rsidRPr="00CA2FA5">
        <w:rPr>
          <w:sz w:val="24"/>
          <w:szCs w:val="24"/>
        </w:rPr>
        <w:lastRenderedPageBreak/>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5</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Overweging 7</w:t>
      </w:r>
      <w:r w:rsidRPr="00CA2F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(7)</w:t>
            </w:r>
            <w:r w:rsidRPr="00CA2FA5">
              <w:tab/>
              <w:t xml:space="preserve">Voor </w:t>
            </w:r>
            <w:r w:rsidRPr="00CA2FA5">
              <w:rPr>
                <w:b/>
                <w:i/>
              </w:rPr>
              <w:t>liquidatie-entiteiten is</w:t>
            </w:r>
            <w:r w:rsidRPr="00CA2FA5">
              <w:t xml:space="preserve"> het </w:t>
            </w:r>
            <w:r w:rsidRPr="00CA2FA5">
              <w:rPr>
                <w:b/>
                <w:i/>
              </w:rPr>
              <w:lastRenderedPageBreak/>
              <w:t>MREL normaal gesproken beperkt tot</w:t>
            </w:r>
            <w:r w:rsidRPr="00CA2FA5">
              <w:t xml:space="preserve"> het bedrag dat nodig is voor verliesabsorptie, hetgeen overeenstemt met de eigenvermogensvereisten. In dergelijke gevallen brengt het MREL voor de liquidatie-entiteit geen aanvullende ve</w:t>
            </w:r>
            <w:r w:rsidRPr="00CA2FA5">
              <w:t>reisten met zich mee die rechtstreeks verband houden met het afwikkelingskader. Dat betekent dat een liquidatie-entiteit volledig aan het MREL kan voldoen door te voldoen aan de eigenvermogensvereisten en dat een specifiek besluit van de afwikkelingsautori</w:t>
            </w:r>
            <w:r w:rsidRPr="00CA2FA5">
              <w:t>teit tot bepaling van het MREL niet op zinvolle wijze bijdraagt aan de afwikkelbaarheid van liquidatie-entiteiten. Een dergelijk besluit brengt tal van procedurele verplichtingen voor afwikkelingsautoriteiten en liquidatie-entiteiten met zich mee, zonder e</w:t>
            </w:r>
            <w:r w:rsidRPr="00CA2FA5">
              <w:t>en overeenkomstig voordeel in termen van verbeterde afwikkelbaarheid. Daarom zouden afwikkelingsautoriteiten geen MREL voor liquidatie-entiteiten moeten vaststellen.</w:t>
            </w:r>
          </w:p>
        </w:tc>
        <w:tc>
          <w:tcPr>
            <w:tcW w:w="4876" w:type="dxa"/>
            <w:hideMark/>
          </w:tcPr>
          <w:p w:rsidR="00932D06" w:rsidRPr="00CA2FA5" w:rsidRDefault="00980439" w:rsidP="006A17A3">
            <w:pPr>
              <w:pStyle w:val="Normal6"/>
              <w:rPr>
                <w:szCs w:val="24"/>
              </w:rPr>
            </w:pPr>
            <w:r w:rsidRPr="00CA2FA5">
              <w:lastRenderedPageBreak/>
              <w:t>(7)</w:t>
            </w:r>
            <w:r w:rsidRPr="00CA2FA5">
              <w:tab/>
            </w:r>
            <w:r w:rsidRPr="00CA2FA5">
              <w:rPr>
                <w:b/>
                <w:i/>
              </w:rPr>
              <w:t xml:space="preserve">In het huidige MREL-kader wordt </w:t>
            </w:r>
            <w:r w:rsidRPr="00CA2FA5">
              <w:rPr>
                <w:b/>
                <w:i/>
              </w:rPr>
              <w:lastRenderedPageBreak/>
              <w:t>het MREL</w:t>
            </w:r>
            <w:r w:rsidRPr="00CA2FA5">
              <w:t xml:space="preserve"> voor </w:t>
            </w:r>
            <w:r w:rsidRPr="00CA2FA5">
              <w:rPr>
                <w:b/>
                <w:i/>
              </w:rPr>
              <w:t>entiteiten die moeten worden geliquideer</w:t>
            </w:r>
            <w:r w:rsidRPr="00CA2FA5">
              <w:rPr>
                <w:b/>
                <w:i/>
              </w:rPr>
              <w:t>d, in</w:t>
            </w:r>
            <w:r w:rsidRPr="00CA2FA5">
              <w:t xml:space="preserve"> het </w:t>
            </w:r>
            <w:r w:rsidRPr="00CA2FA5">
              <w:rPr>
                <w:b/>
                <w:i/>
              </w:rPr>
              <w:t>merendeel van de gevallen vastgesteld op</w:t>
            </w:r>
            <w:r w:rsidRPr="00CA2FA5">
              <w:t xml:space="preserve"> het bedrag dat nodig is voor verliesabsorptie, hetgeen overeenstemt met de eigenvermogensvereisten. In dergelijke gevallen brengt het MREL voor de liquidatie-entiteit geen aanvullende vereisten met zich me</w:t>
            </w:r>
            <w:r w:rsidRPr="00CA2FA5">
              <w:t>e die rechtstreeks verband houden met het afwikkelingskader. Dat betekent dat een liquidatie-entiteit volledig aan het MREL kan voldoen door te voldoen aan de eigenvermogensvereisten en dat een specifiek besluit van de afwikkelingsautoriteit tot bepaling v</w:t>
            </w:r>
            <w:r w:rsidRPr="00CA2FA5">
              <w:t>an het MREL niet op zinvolle wijze bijdraagt aan de afwikkelbaarheid van liquidatie-entiteiten. Een dergelijk besluit brengt tal van procedurele verplichtingen voor afwikkelingsautoriteiten en liquidatie-entiteiten met zich mee, zonder een overeenkomstig v</w:t>
            </w:r>
            <w:r w:rsidRPr="00CA2FA5">
              <w:t>oordeel in termen van verbeterde afwikkelbaarheid. Daarom zouden afwikkelingsautoriteiten geen MREL voor liquidatie-entiteiten moeten vaststellen.</w:t>
            </w:r>
          </w:p>
        </w:tc>
      </w:tr>
    </w:tbl>
    <w:p w:rsidR="00932D06" w:rsidRPr="00CA2FA5" w:rsidRDefault="00980439" w:rsidP="00932D06">
      <w:pPr>
        <w:pStyle w:val="Olang"/>
        <w:rPr>
          <w:sz w:val="24"/>
          <w:szCs w:val="24"/>
        </w:rPr>
      </w:pPr>
      <w:r w:rsidRPr="00CA2FA5">
        <w:rPr>
          <w:sz w:val="24"/>
          <w:szCs w:val="24"/>
        </w:rPr>
        <w:lastRenderedPageBreak/>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6</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 xml:space="preserve">Voorstel voor een </w:t>
      </w:r>
      <w:r w:rsidRPr="00CA2FA5">
        <w:t>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Overweging 8</w:t>
      </w:r>
      <w:r w:rsidRPr="00CA2F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(8)</w:t>
            </w:r>
            <w:r w:rsidRPr="00CA2FA5">
              <w:tab/>
            </w:r>
            <w:r w:rsidRPr="00CA2FA5">
              <w:rPr>
                <w:b/>
                <w:i/>
              </w:rPr>
              <w:t>Wanneer</w:t>
            </w:r>
            <w:r w:rsidRPr="00CA2FA5">
              <w:t xml:space="preserve"> de </w:t>
            </w:r>
            <w:r w:rsidRPr="00CA2FA5">
              <w:rPr>
                <w:b/>
                <w:i/>
              </w:rPr>
              <w:t>afwikkelingsautoriteit</w:t>
            </w:r>
            <w:r w:rsidRPr="00CA2FA5">
              <w:t xml:space="preserve"> van </w:t>
            </w:r>
            <w:r w:rsidRPr="00CA2FA5">
              <w:rPr>
                <w:b/>
                <w:i/>
              </w:rPr>
              <w:t>oordeel is dat een entiteit die deel uitmaakt van</w:t>
            </w:r>
            <w:r w:rsidRPr="00CA2FA5">
              <w:t xml:space="preserve"> een </w:t>
            </w:r>
            <w:r w:rsidRPr="00CA2FA5">
              <w:rPr>
                <w:b/>
                <w:i/>
              </w:rPr>
              <w:t>afwikkelingsgroep</w:t>
            </w:r>
            <w:r w:rsidRPr="00CA2FA5">
              <w:t xml:space="preserve"> als een liquidatie-entiteit kan worden aangemerkt, </w:t>
            </w:r>
            <w:r w:rsidRPr="00CA2FA5">
              <w:rPr>
                <w:b/>
                <w:i/>
              </w:rPr>
              <w:t>mag van intermediaire entiteiten niet worden vereist dat zij hun bezit aan eigen vermogen of andere passiva die aan</w:t>
            </w:r>
            <w:r w:rsidRPr="00CA2FA5">
              <w:t xml:space="preserve"> de </w:t>
            </w:r>
            <w:r w:rsidRPr="00CA2FA5">
              <w:rPr>
                <w:b/>
                <w:i/>
              </w:rPr>
              <w:t>voorwaarden voor naleving van het interne MREL voldoen en die zijn uitgegeven door li</w:t>
            </w:r>
            <w:r w:rsidRPr="00CA2FA5">
              <w:rPr>
                <w:b/>
                <w:i/>
              </w:rPr>
              <w:t>quidatie-entiteiten, aftrekken van hun interne MREL-capaciteit</w:t>
            </w:r>
            <w:r w:rsidRPr="00CA2FA5">
              <w:t>.</w:t>
            </w:r>
            <w:r w:rsidRPr="00CA2FA5">
              <w:rPr>
                <w:b/>
                <w:i/>
              </w:rPr>
              <w:t xml:space="preserve"> </w:t>
            </w:r>
            <w:r w:rsidRPr="00CA2FA5">
              <w:t xml:space="preserve">In </w:t>
            </w:r>
            <w:r w:rsidRPr="00CA2FA5">
              <w:rPr>
                <w:b/>
                <w:i/>
              </w:rPr>
              <w:t xml:space="preserve">een dergelijk geval </w:t>
            </w:r>
            <w:r w:rsidRPr="00CA2FA5">
              <w:rPr>
                <w:b/>
                <w:i/>
              </w:rPr>
              <w:lastRenderedPageBreak/>
              <w:t>hoeft de liquidatie-entiteit niet langer</w:t>
            </w:r>
            <w:r w:rsidRPr="00CA2FA5">
              <w:t xml:space="preserve"> aan </w:t>
            </w:r>
            <w:r w:rsidRPr="00CA2FA5">
              <w:rPr>
                <w:b/>
                <w:i/>
              </w:rPr>
              <w:t>het MREL te voldoen en is er dus geen sprake van indirecte plaatsing</w:t>
            </w:r>
            <w:r w:rsidRPr="00CA2FA5">
              <w:t xml:space="preserve"> van </w:t>
            </w:r>
            <w:r w:rsidRPr="00CA2FA5">
              <w:rPr>
                <w:b/>
                <w:i/>
              </w:rPr>
              <w:t>voor het</w:t>
            </w:r>
            <w:r w:rsidRPr="00CA2FA5">
              <w:t xml:space="preserve"> interne </w:t>
            </w:r>
            <w:r w:rsidRPr="00CA2FA5">
              <w:rPr>
                <w:b/>
                <w:i/>
              </w:rPr>
              <w:t>MREL in aanmerking komende middele</w:t>
            </w:r>
            <w:r w:rsidRPr="00CA2FA5">
              <w:rPr>
                <w:b/>
                <w:i/>
              </w:rPr>
              <w:t>n via de keten die wordt gevormd door</w:t>
            </w:r>
            <w:r w:rsidRPr="00CA2FA5">
              <w:t xml:space="preserve"> de </w:t>
            </w:r>
            <w:r w:rsidRPr="00CA2FA5">
              <w:rPr>
                <w:b/>
                <w:i/>
              </w:rPr>
              <w:t>afwikkelingsentiteit, de intermediaire entiteit en de liquidatie-entiteit</w:t>
            </w:r>
            <w:r w:rsidRPr="00CA2FA5">
              <w:t xml:space="preserve">. In geval van faillissement is in de afwikkelingsstrategie niet voorzien dat de liquidatie-entiteit door de afwikkelingsentiteit zou worden </w:t>
            </w:r>
            <w:r w:rsidRPr="00CA2FA5">
              <w:rPr>
                <w:b/>
                <w:i/>
              </w:rPr>
              <w:t>o</w:t>
            </w:r>
            <w:r w:rsidRPr="00CA2FA5">
              <w:rPr>
                <w:b/>
                <w:i/>
              </w:rPr>
              <w:t>ndersteund</w:t>
            </w:r>
            <w:r w:rsidRPr="00CA2FA5">
              <w:t xml:space="preserve">. Dit betekent dat niet wordt verwacht dat </w:t>
            </w:r>
            <w:r w:rsidRPr="00CA2FA5">
              <w:rPr>
                <w:b/>
                <w:i/>
              </w:rPr>
              <w:t>er verliezen</w:t>
            </w:r>
            <w:r w:rsidRPr="00CA2FA5">
              <w:t xml:space="preserve"> van de liquidatie-entiteit, via de intermediaire entiteit, naar de afwikkelingsentiteit worden geüpstreamd, noch dat er kapitaal in tegenovergestelde richting wordt gedownstreamd. Die aanpas</w:t>
            </w:r>
            <w:r w:rsidRPr="00CA2FA5">
              <w:t>sing van de omvang van het bezit dat moet worden afgetrokken in het kader van de indirecte plaatsing van voor het interne MREL in aanmerking komende middelen, zou dus geen afbreuk doen aan de prudentiële soliditeit van het kader.</w:t>
            </w:r>
          </w:p>
        </w:tc>
        <w:tc>
          <w:tcPr>
            <w:tcW w:w="4876" w:type="dxa"/>
            <w:hideMark/>
          </w:tcPr>
          <w:p w:rsidR="00932D06" w:rsidRPr="00CA2FA5" w:rsidRDefault="00980439">
            <w:pPr>
              <w:pStyle w:val="Normal6"/>
              <w:rPr>
                <w:szCs w:val="24"/>
              </w:rPr>
            </w:pPr>
            <w:r w:rsidRPr="00CA2FA5">
              <w:lastRenderedPageBreak/>
              <w:t>(8)</w:t>
            </w:r>
            <w:r w:rsidRPr="00CA2FA5">
              <w:tab/>
            </w:r>
            <w:r w:rsidRPr="00CA2FA5">
              <w:rPr>
                <w:b/>
                <w:i/>
              </w:rPr>
              <w:t xml:space="preserve">Bij het opstellen van </w:t>
            </w:r>
            <w:r w:rsidRPr="00CA2FA5">
              <w:rPr>
                <w:b/>
                <w:i/>
              </w:rPr>
              <w:t>afwikkelingsplannen en het beoordelen van</w:t>
            </w:r>
            <w:r w:rsidRPr="00CA2FA5">
              <w:t xml:space="preserve"> de </w:t>
            </w:r>
            <w:r w:rsidRPr="00CA2FA5">
              <w:rPr>
                <w:b/>
                <w:i/>
              </w:rPr>
              <w:t>afwikkelbaarheid</w:t>
            </w:r>
            <w:r w:rsidRPr="00CA2FA5">
              <w:t xml:space="preserve"> van </w:t>
            </w:r>
            <w:r w:rsidRPr="00CA2FA5">
              <w:rPr>
                <w:b/>
                <w:i/>
              </w:rPr>
              <w:t>af te wikkelen groepen kunnen afwikkelingsautoriteiten ervan uitgaan dat</w:t>
            </w:r>
            <w:r w:rsidRPr="00CA2FA5">
              <w:t xml:space="preserve"> een </w:t>
            </w:r>
            <w:r w:rsidRPr="00CA2FA5">
              <w:rPr>
                <w:b/>
                <w:i/>
              </w:rPr>
              <w:t>groepsentiteit</w:t>
            </w:r>
            <w:r w:rsidRPr="00CA2FA5">
              <w:t xml:space="preserve"> als een liquidatie-entiteit kan worden aangemerkt, </w:t>
            </w:r>
            <w:r w:rsidRPr="00CA2FA5">
              <w:rPr>
                <w:b/>
                <w:i/>
              </w:rPr>
              <w:t>aangezien niet wordt voorzien in de uitoefening</w:t>
            </w:r>
            <w:r w:rsidRPr="00CA2FA5">
              <w:rPr>
                <w:b/>
                <w:i/>
              </w:rPr>
              <w:t xml:space="preserve"> van de afschrijvings- en omzettingsbevoegdheden met betrekking tot die entiteit. In dat geval hoeft de groepsentiteit mogelijk geen eigen </w:t>
            </w:r>
            <w:r w:rsidRPr="00CA2FA5">
              <w:rPr>
                <w:b/>
                <w:i/>
              </w:rPr>
              <w:lastRenderedPageBreak/>
              <w:t xml:space="preserve">vermogen en in aanmerking komende passiva aan te houden die hoger zijn dan haar eigenvermogensvereisten. </w:t>
            </w:r>
            <w:r w:rsidRPr="00CA2FA5">
              <w:t xml:space="preserve">In </w:t>
            </w:r>
            <w:r w:rsidRPr="00CA2FA5">
              <w:rPr>
                <w:b/>
                <w:i/>
              </w:rPr>
              <w:t>die omsta</w:t>
            </w:r>
            <w:r w:rsidRPr="00CA2FA5">
              <w:rPr>
                <w:b/>
                <w:i/>
              </w:rPr>
              <w:t>ndigheden moet van intermediaire entiteiten worden vereist dat zij hun bezit</w:t>
            </w:r>
            <w:r w:rsidRPr="00CA2FA5">
              <w:t xml:space="preserve"> aan </w:t>
            </w:r>
            <w:r w:rsidRPr="00CA2FA5">
              <w:rPr>
                <w:b/>
                <w:i/>
              </w:rPr>
              <w:t>eigen vermogen dat is uitgegeven door liquidatie-entiteiten die niet aan een MREL-besluit onderworpen zijn, aftrekken</w:t>
            </w:r>
            <w:r w:rsidRPr="00CA2FA5">
              <w:t xml:space="preserve"> van </w:t>
            </w:r>
            <w:r w:rsidRPr="00CA2FA5">
              <w:rPr>
                <w:b/>
                <w:i/>
              </w:rPr>
              <w:t>hun</w:t>
            </w:r>
            <w:r w:rsidRPr="00CA2FA5">
              <w:t xml:space="preserve"> interne </w:t>
            </w:r>
            <w:r w:rsidRPr="00CA2FA5">
              <w:rPr>
                <w:b/>
                <w:i/>
              </w:rPr>
              <w:t>MREL-capaciteit. Er mag echter niet van h</w:t>
            </w:r>
            <w:r w:rsidRPr="00CA2FA5">
              <w:rPr>
                <w:b/>
                <w:i/>
              </w:rPr>
              <w:t>en worden vereist dat zij passiva aftrekken die aan</w:t>
            </w:r>
            <w:r w:rsidRPr="00CA2FA5">
              <w:t xml:space="preserve"> de </w:t>
            </w:r>
            <w:r w:rsidRPr="00CA2FA5">
              <w:rPr>
                <w:b/>
                <w:i/>
              </w:rPr>
              <w:t>voorwaarden voor naleving van het interne MREL voldoen</w:t>
            </w:r>
            <w:r w:rsidRPr="00CA2FA5">
              <w:t xml:space="preserve">. In geval van faillissement is in de afwikkelingsstrategie niet voorzien dat de liquidatie-entiteit door de afwikkelingsentiteit zou worden </w:t>
            </w:r>
            <w:r w:rsidRPr="00CA2FA5">
              <w:rPr>
                <w:b/>
                <w:i/>
              </w:rPr>
              <w:t>geherk</w:t>
            </w:r>
            <w:r w:rsidRPr="00CA2FA5">
              <w:rPr>
                <w:b/>
                <w:i/>
              </w:rPr>
              <w:t>apitaliseerd</w:t>
            </w:r>
            <w:r w:rsidRPr="00CA2FA5">
              <w:t xml:space="preserve">. Dit betekent dat niet wordt verwacht dat </w:t>
            </w:r>
            <w:r w:rsidRPr="00CA2FA5">
              <w:rPr>
                <w:b/>
                <w:i/>
              </w:rPr>
              <w:t>verliezen die de bestaande eigenvermogensvereisten overschrijden,</w:t>
            </w:r>
            <w:r w:rsidRPr="00CA2FA5">
              <w:t xml:space="preserve"> van de liquidatie-entiteit, via de intermediaire entiteit, naar de afwikkelingsentiteit worden geüpstreamd, noch dat er kapitaal in teg</w:t>
            </w:r>
            <w:r w:rsidRPr="00CA2FA5">
              <w:t>enovergestelde richting wordt gedownstreamd. Die aanpassing van de omvang van het bezit dat moet worden afgetrokken in het kader van de indirecte plaatsing van voor het interne MREL in aanmerking komende middelen, zou dus geen afbreuk doen aan de prudentië</w:t>
            </w:r>
            <w:r w:rsidRPr="00CA2FA5">
              <w:t>le soliditeit van het kader.</w:t>
            </w:r>
          </w:p>
        </w:tc>
      </w:tr>
    </w:tbl>
    <w:p w:rsidR="00932D06" w:rsidRPr="00CA2FA5" w:rsidRDefault="00980439" w:rsidP="00932D06">
      <w:pPr>
        <w:pStyle w:val="Olang"/>
        <w:rPr>
          <w:sz w:val="24"/>
          <w:szCs w:val="24"/>
        </w:rPr>
      </w:pPr>
      <w:r w:rsidRPr="00CA2FA5">
        <w:rPr>
          <w:sz w:val="24"/>
          <w:szCs w:val="24"/>
        </w:rPr>
        <w:lastRenderedPageBreak/>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7</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Overweging 9</w:t>
      </w:r>
      <w:r w:rsidRPr="00CA2F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(9)</w:t>
            </w:r>
            <w:r w:rsidRPr="00CA2FA5">
              <w:tab/>
              <w:t xml:space="preserve">De </w:t>
            </w:r>
            <w:r w:rsidRPr="00CA2FA5">
              <w:t>hoofddoelstelling van de in artikel 77, lid 2, en artikel 78 bis van Verordening (EU) nr. 575/2013 neergelegde toestemmingsregeling voor de vermindering van in aanmerking komende passiva-instrumenten, die ook van toepassing is op instellingen en entiteiten</w:t>
            </w:r>
            <w:r w:rsidRPr="00CA2FA5">
              <w:t xml:space="preserve"> die onder het MREL vallen en op de </w:t>
            </w:r>
            <w:r w:rsidRPr="00CA2FA5">
              <w:lastRenderedPageBreak/>
              <w:t>passiva die worden uitgegeven om aan het MREL te voldoen, is om afwikkelingsautoriteiten in staat te stellen toezicht te houden op de maatregelen die leiden tot een vermindering van de in aanmerking komende passiva en el</w:t>
            </w:r>
            <w:r w:rsidRPr="00CA2FA5">
              <w:t>ke maatregel te verbieden die zou neerkomen op een verlaging tot onder een niveau dat afwikkelingsautoriteiten passend achten. Wanneer de afwikkelingsautoriteit geen besluit tot bepaling van het MREL met betrekking tot een instelling of entiteit heeft vast</w:t>
            </w:r>
            <w:r w:rsidRPr="00CA2FA5">
              <w:t xml:space="preserve">gesteld, is die doelstelling niet relevant. </w:t>
            </w:r>
            <w:r w:rsidRPr="00CA2FA5">
              <w:rPr>
                <w:b/>
                <w:i/>
              </w:rPr>
              <w:t>Bovendien hebben instellingen of entiteiten die niet onderworpen zijn aan een besluit tot bepaling van het MREL geen in aanmerking komende passiva op hun balans.</w:t>
            </w:r>
            <w:r w:rsidRPr="00CA2FA5">
              <w:t xml:space="preserve"> Instellingen of entiteiten waarvoor geen besluiten</w:t>
            </w:r>
            <w:r w:rsidRPr="00CA2FA5">
              <w:t xml:space="preserve"> tot bepaling van het MREL zijn vastgesteld, mogen daarom niet worden verplicht om de voorafgaande toestemming van de afwikkelingsautoriteit te verkrijgen voor het opvragen, aflossen, terugbetalen of wederinkopen van passiva die zouden voldoen aan de verei</w:t>
            </w:r>
            <w:r w:rsidRPr="00CA2FA5">
              <w:t>sten om in aanmerking te komen voor het MREL.</w:t>
            </w:r>
          </w:p>
        </w:tc>
        <w:tc>
          <w:tcPr>
            <w:tcW w:w="4876" w:type="dxa"/>
            <w:hideMark/>
          </w:tcPr>
          <w:p w:rsidR="00932D06" w:rsidRPr="00CA2FA5" w:rsidRDefault="00980439">
            <w:pPr>
              <w:pStyle w:val="Normal6"/>
              <w:rPr>
                <w:szCs w:val="24"/>
              </w:rPr>
            </w:pPr>
            <w:r w:rsidRPr="00CA2FA5">
              <w:lastRenderedPageBreak/>
              <w:t>(9)</w:t>
            </w:r>
            <w:r w:rsidRPr="00CA2FA5">
              <w:tab/>
              <w:t xml:space="preserve">De hoofddoelstelling van de in artikel 77, lid 2, en artikel 78 bis van Verordening (EU) nr. 575/2013 neergelegde toestemmingsregeling voor de vermindering van in aanmerking komende passiva-instrumenten, </w:t>
            </w:r>
            <w:r w:rsidRPr="00CA2FA5">
              <w:t xml:space="preserve">die ook van toepassing is op instellingen en entiteiten die onder het MREL vallen en op de </w:t>
            </w:r>
            <w:r w:rsidRPr="00CA2FA5">
              <w:lastRenderedPageBreak/>
              <w:t xml:space="preserve">passiva die worden uitgegeven om aan het MREL te voldoen, is om afwikkelingsautoriteiten in staat te stellen toezicht te houden op de maatregelen die leiden tot een </w:t>
            </w:r>
            <w:r w:rsidRPr="00CA2FA5">
              <w:t>vermindering van de in aanmerking komende passiva en elke maatregel te verbieden die zou neerkomen op een verlaging tot onder een niveau dat afwikkelingsautoriteiten passend achten. Wanneer de afwikkelingsautoriteit geen besluit tot bepaling van het MREL m</w:t>
            </w:r>
            <w:r w:rsidRPr="00CA2FA5">
              <w:t>et betrekking tot een instelling of entiteit heeft vastgesteld, is die doelstelling niet relevant. Instellingen of entiteiten waarvoor geen besluiten tot bepaling van het MREL zijn vastgesteld, mogen daarom niet worden verplicht om de voorafgaande toestemm</w:t>
            </w:r>
            <w:r w:rsidRPr="00CA2FA5">
              <w:t>ing van de afwikkelingsautoriteit te verkrijgen voor het opvragen, aflossen, terugbetalen of wederinkopen van passiva die zouden voldoen aan de vereisten om in aanmerking te komen voor het MREL.</w:t>
            </w:r>
          </w:p>
        </w:tc>
      </w:tr>
    </w:tbl>
    <w:p w:rsidR="00932D06" w:rsidRPr="00CA2FA5" w:rsidRDefault="00980439" w:rsidP="00932D06">
      <w:pPr>
        <w:pStyle w:val="Olang"/>
        <w:rPr>
          <w:sz w:val="24"/>
          <w:szCs w:val="24"/>
        </w:rPr>
      </w:pPr>
      <w:r w:rsidRPr="00CA2FA5">
        <w:rPr>
          <w:sz w:val="24"/>
          <w:szCs w:val="24"/>
        </w:rPr>
        <w:lastRenderedPageBreak/>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8</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Overweging 10</w:t>
      </w:r>
      <w:r w:rsidRPr="00CA2F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(10)</w:t>
            </w:r>
            <w:r w:rsidRPr="00CA2FA5">
              <w:tab/>
              <w:t xml:space="preserve">Er zijn liquidatie-entiteiten waarvoor het MREL </w:t>
            </w:r>
            <w:r w:rsidRPr="00CA2FA5">
              <w:rPr>
                <w:b/>
                <w:i/>
              </w:rPr>
              <w:t xml:space="preserve">het bedrag van de eigenvermogensvereisten </w:t>
            </w:r>
            <w:r w:rsidRPr="00CA2FA5">
              <w:rPr>
                <w:b/>
                <w:i/>
              </w:rPr>
              <w:t>overschrijdt; in dat geval zouden afwikkelingsautoriteiten</w:t>
            </w:r>
            <w:r w:rsidRPr="00CA2FA5">
              <w:t xml:space="preserve"> het </w:t>
            </w:r>
            <w:r w:rsidRPr="00CA2FA5">
              <w:rPr>
                <w:b/>
                <w:i/>
              </w:rPr>
              <w:t>MREL moeten kunnen bepalen</w:t>
            </w:r>
            <w:r w:rsidRPr="00CA2FA5">
              <w:t>.</w:t>
            </w:r>
            <w:r w:rsidRPr="00CA2FA5">
              <w:rPr>
                <w:b/>
                <w:i/>
              </w:rPr>
              <w:t xml:space="preserve"> </w:t>
            </w:r>
            <w:r w:rsidRPr="00CA2FA5">
              <w:t>Dat</w:t>
            </w:r>
            <w:r w:rsidRPr="00CA2FA5">
              <w:rPr>
                <w:b/>
                <w:i/>
              </w:rPr>
              <w:t xml:space="preserve"> MREL zou moeten worden bepaald op een bedrag dat hoger</w:t>
            </w:r>
            <w:r w:rsidRPr="00CA2FA5">
              <w:t xml:space="preserve"> is </w:t>
            </w:r>
            <w:r w:rsidRPr="00CA2FA5">
              <w:rPr>
                <w:b/>
                <w:i/>
              </w:rPr>
              <w:t xml:space="preserve">dan </w:t>
            </w:r>
            <w:r w:rsidRPr="00CA2FA5">
              <w:t xml:space="preserve">het </w:t>
            </w:r>
            <w:r w:rsidRPr="00CA2FA5">
              <w:rPr>
                <w:b/>
                <w:i/>
              </w:rPr>
              <w:t>bedrag voor verliesabsorptie</w:t>
            </w:r>
            <w:r w:rsidRPr="00CA2FA5">
              <w:t xml:space="preserve"> wanneer de afwikkelingsautoriteiten van oordeel zijn dat een derge</w:t>
            </w:r>
            <w:r w:rsidRPr="00CA2FA5">
              <w:t xml:space="preserve">lijk bedrag noodzakelijk is om de financiële stabiliteit te beschermen of het risico van besmetting van het financiële stelsel aan te pakken. In die </w:t>
            </w:r>
            <w:r w:rsidRPr="00CA2FA5">
              <w:lastRenderedPageBreak/>
              <w:t xml:space="preserve">situaties </w:t>
            </w:r>
            <w:r w:rsidRPr="00CA2FA5">
              <w:rPr>
                <w:b/>
                <w:i/>
              </w:rPr>
              <w:t>moet</w:t>
            </w:r>
            <w:r w:rsidRPr="00CA2FA5">
              <w:t xml:space="preserve"> de liquidatie-entiteit voldoen aan het MREL en </w:t>
            </w:r>
            <w:r w:rsidRPr="00CA2FA5">
              <w:rPr>
                <w:b/>
                <w:i/>
              </w:rPr>
              <w:t>zou zij</w:t>
            </w:r>
            <w:r w:rsidRPr="00CA2FA5">
              <w:t xml:space="preserve"> niet</w:t>
            </w:r>
            <w:r w:rsidRPr="00CA2FA5">
              <w:rPr>
                <w:b/>
                <w:i/>
              </w:rPr>
              <w:t xml:space="preserve"> mogen</w:t>
            </w:r>
            <w:r w:rsidRPr="00CA2FA5">
              <w:t xml:space="preserve"> worden vrijgesteld van de </w:t>
            </w:r>
            <w:r w:rsidRPr="00CA2FA5">
              <w:t xml:space="preserve">in artikel 77, lid 2, en artikel 78 bis van Verordening (EU) nr. 575/2013 neergelegde regeling voor voorafgaande toestemming. Intermediaire entiteiten die tot dezelfde afwikkelingsgroep als de betrokken liquidatie-entiteit behoren, zouden verplicht moeten </w:t>
            </w:r>
            <w:r w:rsidRPr="00CA2FA5">
              <w:t xml:space="preserve">blijven hun bezit aan voor het interne MREL in aanmerking komende, door die liquidatie-entiteit uitgegeven middelen af te trekken van hun interne MREL-capaciteit. Aangezien liquidatieprocedures plaatsvinden op het niveau van de juridische entiteit, zouden </w:t>
            </w:r>
            <w:r w:rsidRPr="00CA2FA5">
              <w:t>liquidatie-entiteiten die nog steeds aan het MREL onderworpen zijn, bovendien alleen op individuele basis aan het vereiste moeten voldoen. Tot slot zijn bepaalde vereisten om in aanmerking te komen in verband met de eigendom van de betrokken passiva niet r</w:t>
            </w:r>
            <w:r w:rsidRPr="00CA2FA5">
              <w:t xml:space="preserve">elevant, aangezien het niet nodig </w:t>
            </w:r>
            <w:r w:rsidRPr="00CA2FA5">
              <w:rPr>
                <w:b/>
                <w:i/>
              </w:rPr>
              <w:t>is</w:t>
            </w:r>
            <w:r w:rsidRPr="00CA2FA5">
              <w:t xml:space="preserve"> om </w:t>
            </w:r>
            <w:r w:rsidRPr="00CA2FA5">
              <w:rPr>
                <w:b/>
                <w:i/>
              </w:rPr>
              <w:t>te zorgen voor</w:t>
            </w:r>
            <w:r w:rsidRPr="00CA2FA5">
              <w:t xml:space="preserve"> de </w:t>
            </w:r>
            <w:r w:rsidRPr="00CA2FA5">
              <w:rPr>
                <w:b/>
                <w:i/>
              </w:rPr>
              <w:t>overdracht van verliezen en kapitaal van</w:t>
            </w:r>
            <w:r w:rsidRPr="00CA2FA5">
              <w:t xml:space="preserve"> de </w:t>
            </w:r>
            <w:r w:rsidRPr="00CA2FA5">
              <w:rPr>
                <w:b/>
                <w:i/>
              </w:rPr>
              <w:t>liquidatie-entiteit naar een afwikkelingsentiteit</w:t>
            </w:r>
            <w:r w:rsidRPr="00CA2FA5">
              <w:t xml:space="preserve">, en </w:t>
            </w:r>
            <w:r w:rsidRPr="00CA2FA5">
              <w:rPr>
                <w:b/>
                <w:i/>
              </w:rPr>
              <w:t>zouden</w:t>
            </w:r>
            <w:r w:rsidRPr="00CA2FA5">
              <w:t xml:space="preserve"> zij derhalve niet van toepassing </w:t>
            </w:r>
            <w:r w:rsidRPr="00CA2FA5">
              <w:rPr>
                <w:b/>
                <w:i/>
              </w:rPr>
              <w:t>moeten</w:t>
            </w:r>
            <w:r w:rsidRPr="00CA2FA5">
              <w:t xml:space="preserve"> zijn.</w:t>
            </w:r>
          </w:p>
        </w:tc>
        <w:tc>
          <w:tcPr>
            <w:tcW w:w="4876" w:type="dxa"/>
            <w:hideMark/>
          </w:tcPr>
          <w:p w:rsidR="00932D06" w:rsidRPr="00CA2FA5" w:rsidRDefault="00980439" w:rsidP="000A7B09">
            <w:pPr>
              <w:pStyle w:val="Normal6"/>
              <w:rPr>
                <w:szCs w:val="24"/>
              </w:rPr>
            </w:pPr>
            <w:r w:rsidRPr="00CA2FA5">
              <w:lastRenderedPageBreak/>
              <w:t>(10)</w:t>
            </w:r>
            <w:r w:rsidRPr="00CA2FA5">
              <w:tab/>
              <w:t>Er zijn liquidatie-entiteiten waarvoor het</w:t>
            </w:r>
            <w:r w:rsidRPr="00CA2FA5">
              <w:t xml:space="preserve"> MREL </w:t>
            </w:r>
            <w:r w:rsidRPr="00CA2FA5">
              <w:rPr>
                <w:b/>
                <w:i/>
              </w:rPr>
              <w:t>hoger moet zijn dan</w:t>
            </w:r>
            <w:r w:rsidRPr="00CA2FA5">
              <w:t xml:space="preserve"> het </w:t>
            </w:r>
            <w:r w:rsidRPr="00CA2FA5">
              <w:rPr>
                <w:b/>
                <w:i/>
              </w:rPr>
              <w:t>bedrag voor verliesabsorptie</w:t>
            </w:r>
            <w:r w:rsidRPr="00CA2FA5">
              <w:t>.</w:t>
            </w:r>
            <w:r w:rsidRPr="00CA2FA5">
              <w:rPr>
                <w:b/>
                <w:i/>
              </w:rPr>
              <w:t xml:space="preserve"> </w:t>
            </w:r>
            <w:r w:rsidRPr="00CA2FA5">
              <w:t xml:space="preserve">Dat is het </w:t>
            </w:r>
            <w:r w:rsidRPr="00CA2FA5">
              <w:rPr>
                <w:b/>
                <w:i/>
              </w:rPr>
              <w:t>geval</w:t>
            </w:r>
            <w:r w:rsidRPr="00CA2FA5">
              <w:t xml:space="preserve"> wanneer de afwikkelingsautoriteiten van oordeel zijn dat een dergelijk</w:t>
            </w:r>
            <w:r w:rsidRPr="00CA2FA5">
              <w:rPr>
                <w:b/>
                <w:i/>
              </w:rPr>
              <w:t xml:space="preserve"> hoger</w:t>
            </w:r>
            <w:r w:rsidRPr="00CA2FA5">
              <w:t xml:space="preserve"> bedrag noodzakelijk is om de financiële stabiliteit te beschermen of het risico van besmetting van het</w:t>
            </w:r>
            <w:r w:rsidRPr="00CA2FA5">
              <w:t xml:space="preserve"> financiële stelsel aan te pakken. In die situaties </w:t>
            </w:r>
            <w:r w:rsidRPr="00CA2FA5">
              <w:rPr>
                <w:b/>
                <w:i/>
              </w:rPr>
              <w:t>moeten de afwikkelingsautoriteiten voor</w:t>
            </w:r>
            <w:r w:rsidRPr="00CA2FA5">
              <w:t xml:space="preserve"> de liquidatie-entiteit </w:t>
            </w:r>
            <w:r w:rsidRPr="00CA2FA5">
              <w:rPr>
                <w:b/>
                <w:i/>
              </w:rPr>
              <w:t xml:space="preserve">een MREL bepalen dat bestaat uit een bedrag dat toereikend is om verliezen te absorberen, vermeerderd </w:t>
            </w:r>
            <w:r w:rsidRPr="00CA2FA5">
              <w:rPr>
                <w:b/>
                <w:i/>
              </w:rPr>
              <w:lastRenderedPageBreak/>
              <w:t xml:space="preserve">met het bedrag dat nodig is om de door </w:t>
            </w:r>
            <w:r w:rsidRPr="00CA2FA5">
              <w:rPr>
                <w:b/>
                <w:i/>
              </w:rPr>
              <w:t>de afwikkelingsautoriteiten vastgestelde potentiële risico’s naar behoren aan te pakken.</w:t>
            </w:r>
            <w:r w:rsidRPr="00CA2FA5">
              <w:t xml:space="preserve"> </w:t>
            </w:r>
            <w:r w:rsidRPr="00CA2FA5">
              <w:rPr>
                <w:b/>
                <w:i/>
              </w:rPr>
              <w:t xml:space="preserve">De liquidatie-entiteit moet </w:t>
            </w:r>
            <w:r w:rsidRPr="00CA2FA5">
              <w:t xml:space="preserve">voldoen aan het MREL en </w:t>
            </w:r>
            <w:r w:rsidRPr="00CA2FA5">
              <w:rPr>
                <w:b/>
                <w:i/>
              </w:rPr>
              <w:t>mag</w:t>
            </w:r>
            <w:r w:rsidRPr="00CA2FA5">
              <w:t xml:space="preserve"> niet worden vrijgesteld van de in artikel 77, lid 2, en artikel 78 bis van Verordening (EU) nr. 575/2013 neerge</w:t>
            </w:r>
            <w:r w:rsidRPr="00CA2FA5">
              <w:t>legde regeling voor voorafgaande toestemming. Intermediaire entiteiten die tot dezelfde afwikkelingsgroep als de betrokken liquidatie-entiteit behoren, zouden verplicht moeten blijven hun bezit aan voor het interne MREL in aanmerking komende, door die liqu</w:t>
            </w:r>
            <w:r w:rsidRPr="00CA2FA5">
              <w:t>idatie-entiteit uitgegeven middelen af te trekken van hun interne MREL-capaciteit. Aangezien liquidatieprocedures plaatsvinden op het niveau van de juridische entiteit, zouden liquidatie-entiteiten die nog steeds aan het MREL onderworpen zijn, bovendien al</w:t>
            </w:r>
            <w:r w:rsidRPr="00CA2FA5">
              <w:t xml:space="preserve">leen op individuele basis aan het vereiste moeten voldoen. Tot slot zijn bepaalde vereisten om in aanmerking te komen in verband met de eigendom van de betrokken passiva niet relevant, aangezien het </w:t>
            </w:r>
            <w:r w:rsidRPr="00CA2FA5">
              <w:rPr>
                <w:b/>
                <w:i/>
              </w:rPr>
              <w:t>als de afschrijvings- en omzettingsbevoegdheden niet word</w:t>
            </w:r>
            <w:r w:rsidRPr="00CA2FA5">
              <w:rPr>
                <w:b/>
                <w:i/>
              </w:rPr>
              <w:t xml:space="preserve">en uitgeoefend, </w:t>
            </w:r>
            <w:r w:rsidRPr="00CA2FA5">
              <w:t xml:space="preserve">niet nodig </w:t>
            </w:r>
            <w:r w:rsidRPr="00CA2FA5">
              <w:rPr>
                <w:b/>
                <w:i/>
              </w:rPr>
              <w:t>zou zijn</w:t>
            </w:r>
            <w:r w:rsidRPr="00CA2FA5">
              <w:t xml:space="preserve"> om </w:t>
            </w:r>
            <w:r w:rsidRPr="00CA2FA5">
              <w:rPr>
                <w:b/>
                <w:i/>
              </w:rPr>
              <w:t>de zeggenschap van</w:t>
            </w:r>
            <w:r w:rsidRPr="00CA2FA5">
              <w:t xml:space="preserve"> de </w:t>
            </w:r>
            <w:r w:rsidRPr="00CA2FA5">
              <w:rPr>
                <w:b/>
                <w:i/>
              </w:rPr>
              <w:t>af te wikkelen entiteit over</w:t>
            </w:r>
            <w:r w:rsidRPr="00CA2FA5">
              <w:t xml:space="preserve"> de </w:t>
            </w:r>
            <w:r w:rsidRPr="00CA2FA5">
              <w:rPr>
                <w:b/>
                <w:i/>
              </w:rPr>
              <w:t>dochteronderneming te handhaven</w:t>
            </w:r>
            <w:r w:rsidRPr="00CA2FA5">
              <w:t xml:space="preserve">, en </w:t>
            </w:r>
            <w:r w:rsidRPr="00CA2FA5">
              <w:rPr>
                <w:b/>
                <w:i/>
              </w:rPr>
              <w:t>dienen</w:t>
            </w:r>
            <w:r w:rsidRPr="00CA2FA5">
              <w:t xml:space="preserve"> zij derhalve niet van toepassing </w:t>
            </w:r>
            <w:r w:rsidRPr="00CA2FA5">
              <w:rPr>
                <w:b/>
                <w:i/>
              </w:rPr>
              <w:t>te</w:t>
            </w:r>
            <w:r w:rsidRPr="00CA2FA5">
              <w:t xml:space="preserve"> zijn.</w:t>
            </w:r>
          </w:p>
        </w:tc>
      </w:tr>
    </w:tbl>
    <w:p w:rsidR="00932D06" w:rsidRPr="00CA2FA5" w:rsidRDefault="00980439" w:rsidP="00932D06">
      <w:pPr>
        <w:pStyle w:val="Olang"/>
        <w:rPr>
          <w:sz w:val="24"/>
          <w:szCs w:val="24"/>
        </w:rPr>
      </w:pPr>
      <w:r w:rsidRPr="00CA2FA5">
        <w:rPr>
          <w:sz w:val="24"/>
          <w:szCs w:val="24"/>
        </w:rPr>
        <w:lastRenderedPageBreak/>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9</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Overweging 14</w:t>
      </w:r>
      <w:r w:rsidRPr="00CA2F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(14)</w:t>
            </w:r>
            <w:r w:rsidRPr="00CA2FA5">
              <w:tab/>
            </w:r>
            <w:r w:rsidRPr="00CA2FA5">
              <w:t xml:space="preserve">Daar de doelstellingen van deze richtlijn, namelijk aanpassing van de behandeling van liquidatie-entiteiten binnen het MREL-kader en van de </w:t>
            </w:r>
            <w:r w:rsidRPr="00CA2FA5">
              <w:rPr>
                <w:b/>
                <w:i/>
              </w:rPr>
              <w:t>mogelijkheden</w:t>
            </w:r>
            <w:r w:rsidRPr="00CA2FA5">
              <w:t xml:space="preserve"> om aan het interne MREL op geconsolideerde basis te </w:t>
            </w:r>
            <w:r w:rsidRPr="00CA2FA5">
              <w:rPr>
                <w:b/>
                <w:i/>
              </w:rPr>
              <w:t>voldoen</w:t>
            </w:r>
            <w:r w:rsidRPr="00CA2FA5">
              <w:t xml:space="preserve">, niet </w:t>
            </w:r>
            <w:r w:rsidRPr="00CA2FA5">
              <w:lastRenderedPageBreak/>
              <w:t>voldoende door de lidstaten kunnen w</w:t>
            </w:r>
            <w:r w:rsidRPr="00CA2FA5">
              <w:t>orden verwezenlijkt, en in plaats daarvan door wijziging van reeds op Unieniveau vastgestelde regels beter door de Unie kunnen worden verwezenlijkt, kan de Unie, overeenkomstig het in artikel 5 van het Verdrag betreffende de Europese Unie neergelegde subsi</w:t>
            </w:r>
            <w:r w:rsidRPr="00CA2FA5">
              <w:t>diariteitsbeginsel, maatregelen nemen. Overeenkomstig het in hetzelfde artikel neergelegde evenredigheidsbeginsel gaat deze richtlijn niet verder dan nodig is om deze doelstellingen te verwezenlijken,</w:t>
            </w:r>
          </w:p>
        </w:tc>
        <w:tc>
          <w:tcPr>
            <w:tcW w:w="4876" w:type="dxa"/>
            <w:hideMark/>
          </w:tcPr>
          <w:p w:rsidR="00932D06" w:rsidRPr="00CA2FA5" w:rsidRDefault="00980439">
            <w:pPr>
              <w:pStyle w:val="Normal6"/>
              <w:rPr>
                <w:szCs w:val="24"/>
              </w:rPr>
            </w:pPr>
            <w:r w:rsidRPr="00CA2FA5">
              <w:lastRenderedPageBreak/>
              <w:t>(14)</w:t>
            </w:r>
            <w:r w:rsidRPr="00CA2FA5">
              <w:tab/>
              <w:t>Daar de doelstellingen van deze richtlijn, namelij</w:t>
            </w:r>
            <w:r w:rsidRPr="00CA2FA5">
              <w:t xml:space="preserve">k aanpassing van de behandeling van liquidatie-entiteiten binnen het MREL-kader en van de </w:t>
            </w:r>
            <w:r w:rsidRPr="00CA2FA5">
              <w:rPr>
                <w:b/>
                <w:i/>
              </w:rPr>
              <w:t>mogelijkheid voor de afwikkelingsautoriteiten</w:t>
            </w:r>
            <w:r w:rsidRPr="00CA2FA5">
              <w:t xml:space="preserve"> om aan het </w:t>
            </w:r>
            <w:r w:rsidRPr="00CA2FA5">
              <w:lastRenderedPageBreak/>
              <w:t xml:space="preserve">interne MREL op geconsolideerde basis </w:t>
            </w:r>
            <w:r w:rsidRPr="00CA2FA5">
              <w:rPr>
                <w:b/>
                <w:i/>
              </w:rPr>
              <w:t xml:space="preserve">vast </w:t>
            </w:r>
            <w:r w:rsidRPr="00CA2FA5">
              <w:t xml:space="preserve">te </w:t>
            </w:r>
            <w:r w:rsidRPr="00CA2FA5">
              <w:rPr>
                <w:b/>
                <w:i/>
              </w:rPr>
              <w:t>stellen</w:t>
            </w:r>
            <w:r w:rsidRPr="00CA2FA5">
              <w:t>, niet voldoende door de lidstaten kunnen worden verweze</w:t>
            </w:r>
            <w:r w:rsidRPr="00CA2FA5">
              <w:t>nlijkt, en in plaats daarvan door wijziging van reeds op Unieniveau vastgestelde regels beter door de Unie kunnen worden verwezenlijkt, kan de Unie, overeenkomstig het in artikel 5 van het Verdrag betreffende de Europese Unie neergelegde subsidiariteitsbeg</w:t>
            </w:r>
            <w:r w:rsidRPr="00CA2FA5">
              <w:t>insel, maatregelen nemen. Overeenkomstig het in hetzelfde artikel neergelegde evenredigheidsbeginsel gaat deze richtlijn niet verder dan nodig is om deze doelstellingen te verwezenlijken,</w:t>
            </w:r>
          </w:p>
        </w:tc>
      </w:tr>
    </w:tbl>
    <w:p w:rsidR="00932D06" w:rsidRPr="00CA2FA5" w:rsidRDefault="00980439" w:rsidP="00932D06">
      <w:pPr>
        <w:pStyle w:val="Olang"/>
        <w:rPr>
          <w:sz w:val="24"/>
          <w:szCs w:val="24"/>
        </w:rPr>
      </w:pPr>
      <w:r w:rsidRPr="00CA2FA5">
        <w:rPr>
          <w:sz w:val="24"/>
          <w:szCs w:val="24"/>
        </w:rPr>
        <w:lastRenderedPageBreak/>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10</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Artikel 1 – alinea 1 – punt 1</w:t>
      </w:r>
      <w:r w:rsidRPr="00CA2FA5">
        <w:rPr>
          <w:rStyle w:val="HideTWBExt"/>
          <w:b w:val="0"/>
        </w:rPr>
        <w:t>&lt;/Article&gt;</w:t>
      </w:r>
    </w:p>
    <w:p w:rsidR="00932D06" w:rsidRPr="00CA2FA5" w:rsidRDefault="00980439" w:rsidP="00932D06">
      <w:pPr>
        <w:keepNext/>
      </w:pPr>
      <w:r w:rsidRPr="00CA2FA5">
        <w:rPr>
          <w:rStyle w:val="HideTWBExt"/>
        </w:rPr>
        <w:t>&lt;DocAmend2&gt;</w:t>
      </w:r>
      <w:r w:rsidRPr="00CA2FA5">
        <w:t>Richtlijn 2014/59/EU</w:t>
      </w:r>
      <w:r w:rsidRPr="00CA2FA5">
        <w:rPr>
          <w:rStyle w:val="HideTWBExt"/>
        </w:rPr>
        <w:t>&lt;/DocAmend2&gt;</w:t>
      </w:r>
    </w:p>
    <w:p w:rsidR="00932D06" w:rsidRPr="00CA2FA5" w:rsidRDefault="00980439" w:rsidP="00932D06">
      <w:r w:rsidRPr="00CA2FA5">
        <w:rPr>
          <w:rStyle w:val="HideTWBExt"/>
        </w:rPr>
        <w:t>&lt;Article2&gt;</w:t>
      </w:r>
      <w:r w:rsidRPr="00CA2FA5">
        <w:t>Artikel 2 – lid 1 – punt 83 bis</w:t>
      </w:r>
      <w:r w:rsidRPr="00CA2F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rsidP="00980439">
            <w:pPr>
              <w:pStyle w:val="Normal6"/>
            </w:pPr>
            <w:r w:rsidRPr="00CA2FA5">
              <w:t>83 bis</w:t>
            </w:r>
            <w:r w:rsidRPr="00CA2FA5">
              <w:tab/>
              <w:t xml:space="preserve">“liquidatie-entiteit”: een in de Unie gevestigde rechtspersoon ten aanzien waarvan het groepsafwikkelingsplan of, voor entiteiten die geen deel uitmaken van een groep, het afwikkelingsplan </w:t>
            </w:r>
            <w:r w:rsidRPr="00CA2FA5">
              <w:rPr>
                <w:b/>
                <w:i/>
              </w:rPr>
              <w:t>bepaalt</w:t>
            </w:r>
            <w:r w:rsidRPr="00CA2FA5">
              <w:t xml:space="preserve"> dat de entiteit </w:t>
            </w:r>
            <w:r w:rsidRPr="00CA2FA5">
              <w:rPr>
                <w:b/>
                <w:i/>
              </w:rPr>
              <w:t xml:space="preserve">op ordelijke wijze, </w:t>
            </w:r>
            <w:r w:rsidRPr="00CA2FA5">
              <w:rPr>
                <w:b/>
                <w:i/>
              </w:rPr>
              <w:t>overeenkomstig het toepasselijke nationale recht, moet worden geliquideerd</w:t>
            </w:r>
            <w:r w:rsidRPr="00CA2FA5">
              <w:t>;</w:t>
            </w:r>
          </w:p>
        </w:tc>
        <w:tc>
          <w:tcPr>
            <w:tcW w:w="4876" w:type="dxa"/>
            <w:hideMark/>
          </w:tcPr>
          <w:p w:rsidR="00932D06" w:rsidRPr="00CA2FA5" w:rsidRDefault="00980439" w:rsidP="00980439">
            <w:pPr>
              <w:pStyle w:val="Normal6"/>
              <w:rPr>
                <w:szCs w:val="24"/>
              </w:rPr>
            </w:pPr>
            <w:r w:rsidRPr="00CA2FA5">
              <w:t>83 bis</w:t>
            </w:r>
            <w:bookmarkStart w:id="2" w:name="_GoBack"/>
            <w:bookmarkEnd w:id="2"/>
            <w:r w:rsidRPr="00CA2FA5">
              <w:tab/>
              <w:t xml:space="preserve">“liquidatie-entiteit”: een in de Unie gevestigde rechtspersoon ten aanzien waarvan het groepsafwikkelingsplan of, voor entiteiten die geen deel uitmaken van een groep, </w:t>
            </w:r>
            <w:r w:rsidRPr="00CA2FA5">
              <w:rPr>
                <w:b/>
                <w:i/>
              </w:rPr>
              <w:t>i</w:t>
            </w:r>
            <w:r w:rsidRPr="00CA2FA5">
              <w:rPr>
                <w:b/>
                <w:i/>
              </w:rPr>
              <w:t xml:space="preserve">n </w:t>
            </w:r>
            <w:r w:rsidRPr="00CA2FA5">
              <w:t xml:space="preserve">het afwikkelingsplan </w:t>
            </w:r>
            <w:r w:rsidRPr="00CA2FA5">
              <w:rPr>
                <w:b/>
                <w:i/>
              </w:rPr>
              <w:t>wordt bepaald</w:t>
            </w:r>
            <w:r w:rsidRPr="00CA2FA5">
              <w:t xml:space="preserve"> dat de entiteit </w:t>
            </w:r>
            <w:r w:rsidRPr="00CA2FA5">
              <w:rPr>
                <w:b/>
                <w:i/>
              </w:rPr>
              <w:t>volgens een normale insolventieprocedure dient te worden geliquideerd of niet wordt voorzien in de uitoefening van de afschrijvings- en omzettingsbevoegdheden met betrekking tot die entiteit</w:t>
            </w:r>
            <w:r w:rsidRPr="00CA2FA5">
              <w:t>;</w:t>
            </w:r>
          </w:p>
        </w:tc>
      </w:tr>
    </w:tbl>
    <w:p w:rsidR="00932D06" w:rsidRPr="00CA2FA5" w:rsidRDefault="00980439" w:rsidP="00932D06">
      <w:pPr>
        <w:pStyle w:val="Olang"/>
        <w:rPr>
          <w:sz w:val="24"/>
          <w:szCs w:val="24"/>
        </w:rPr>
      </w:pPr>
      <w:r w:rsidRPr="00CA2FA5">
        <w:rPr>
          <w:sz w:val="24"/>
          <w:szCs w:val="24"/>
        </w:rPr>
        <w:t xml:space="preserve">Or. </w:t>
      </w:r>
      <w:r w:rsidRPr="00CA2FA5">
        <w:rPr>
          <w:rStyle w:val="HideTWBExt"/>
        </w:rPr>
        <w:t>&lt;Origi</w:t>
      </w:r>
      <w:r w:rsidRPr="00CA2FA5">
        <w:rPr>
          <w:rStyle w:val="HideTWBExt"/>
        </w:rPr>
        <w:t>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11</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Artikel 1 – alinea 1 – punt 2 – b</w:t>
      </w:r>
      <w:r w:rsidRPr="00CA2FA5">
        <w:rPr>
          <w:rStyle w:val="HideTWBExt"/>
          <w:b w:val="0"/>
        </w:rPr>
        <w:t>&lt;/Article&gt;</w:t>
      </w:r>
    </w:p>
    <w:p w:rsidR="00932D06" w:rsidRPr="00CA2FA5" w:rsidRDefault="00980439" w:rsidP="00932D06">
      <w:pPr>
        <w:keepNext/>
      </w:pPr>
      <w:r w:rsidRPr="00CA2FA5">
        <w:rPr>
          <w:rStyle w:val="HideTWBExt"/>
        </w:rPr>
        <w:t>&lt;DocAmend2&gt;</w:t>
      </w:r>
      <w:r w:rsidRPr="00CA2FA5">
        <w:t>Richtlijn 2014/59/EU</w:t>
      </w:r>
      <w:r w:rsidRPr="00CA2FA5">
        <w:rPr>
          <w:rStyle w:val="HideTWBExt"/>
        </w:rPr>
        <w:t>&lt;/DocAmend2&gt;</w:t>
      </w:r>
    </w:p>
    <w:p w:rsidR="00932D06" w:rsidRPr="00CA2FA5" w:rsidRDefault="00980439" w:rsidP="00932D06">
      <w:r w:rsidRPr="00CA2FA5">
        <w:rPr>
          <w:rStyle w:val="HideTWBExt"/>
        </w:rPr>
        <w:t>&lt;Article2&gt;</w:t>
      </w:r>
      <w:r w:rsidRPr="00CA2FA5">
        <w:t xml:space="preserve">Artikel 45 quater – lid 2 – </w:t>
      </w:r>
      <w:r w:rsidRPr="00CA2FA5">
        <w:t>alinea 2</w:t>
      </w:r>
      <w:r w:rsidRPr="00CA2F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In afwijking van de eerste alinea</w:t>
            </w:r>
            <w:r w:rsidRPr="00CA2FA5">
              <w:rPr>
                <w:b/>
                <w:i/>
              </w:rPr>
              <w:t>, en indien dit noodzakelijk is voor de doelstellingen van bescherming van</w:t>
            </w:r>
            <w:r w:rsidRPr="00CA2FA5">
              <w:t xml:space="preserve"> de </w:t>
            </w:r>
            <w:r w:rsidRPr="00CA2FA5">
              <w:rPr>
                <w:b/>
                <w:i/>
              </w:rPr>
              <w:t>financiële stabiliteit</w:t>
            </w:r>
            <w:r w:rsidRPr="00CA2FA5">
              <w:t xml:space="preserve"> of </w:t>
            </w:r>
            <w:r w:rsidRPr="00CA2FA5">
              <w:rPr>
                <w:b/>
                <w:i/>
              </w:rPr>
              <w:t xml:space="preserve">beperking van mogelijke besmetting van </w:t>
            </w:r>
            <w:r w:rsidRPr="00CA2FA5">
              <w:t xml:space="preserve">het </w:t>
            </w:r>
            <w:r w:rsidRPr="00CA2FA5">
              <w:rPr>
                <w:b/>
                <w:i/>
              </w:rPr>
              <w:t>financiële stelsel, kunnen afwikkelingsautoriteiten bij wijze van uitzondering</w:t>
            </w:r>
            <w:r w:rsidRPr="00CA2FA5">
              <w:t xml:space="preserve"> het in artikel 45, lid 1, bedoelde vereiste voor liquidatie-entiteiten op individuele basis bepalen op een bedrag dat toereikend is om verliezen te absorberen overeenkomstig lid</w:t>
            </w:r>
            <w:r w:rsidRPr="00CA2FA5">
              <w:t> 2, punt a), van dit artikel</w:t>
            </w:r>
            <w:r w:rsidRPr="00CA2FA5">
              <w:rPr>
                <w:b/>
                <w:i/>
              </w:rPr>
              <w:t>, verhoogd tot</w:t>
            </w:r>
            <w:r w:rsidRPr="00CA2FA5">
              <w:t xml:space="preserve"> het </w:t>
            </w:r>
            <w:r w:rsidRPr="00CA2FA5">
              <w:rPr>
                <w:b/>
                <w:i/>
              </w:rPr>
              <w:t>bedrag dat nodig is om die doelstellingen te verwezenlijken</w:t>
            </w:r>
            <w:r w:rsidRPr="00CA2FA5">
              <w:t>. In die gevallen voldoen liquidatie-entiteiten aan het in artikel 45, lid 1, bedoelde vereiste met een of meer van de volgende elementen:</w:t>
            </w:r>
          </w:p>
        </w:tc>
        <w:tc>
          <w:tcPr>
            <w:tcW w:w="4876" w:type="dxa"/>
            <w:hideMark/>
          </w:tcPr>
          <w:p w:rsidR="00932D06" w:rsidRPr="00CA2FA5" w:rsidRDefault="00980439">
            <w:pPr>
              <w:pStyle w:val="Normal6"/>
              <w:rPr>
                <w:szCs w:val="24"/>
              </w:rPr>
            </w:pPr>
            <w:r w:rsidRPr="00CA2FA5">
              <w:t>In afwijkin</w:t>
            </w:r>
            <w:r w:rsidRPr="00CA2FA5">
              <w:t>g van de eerste alinea</w:t>
            </w:r>
            <w:r w:rsidRPr="00CA2FA5">
              <w:rPr>
                <w:b/>
                <w:i/>
              </w:rPr>
              <w:t xml:space="preserve"> beoordeelt</w:t>
            </w:r>
            <w:r w:rsidRPr="00CA2FA5">
              <w:t xml:space="preserve"> de </w:t>
            </w:r>
            <w:r w:rsidRPr="00CA2FA5">
              <w:rPr>
                <w:b/>
                <w:i/>
              </w:rPr>
              <w:t>afwikkelingsautoriteit</w:t>
            </w:r>
            <w:r w:rsidRPr="00CA2FA5">
              <w:t xml:space="preserve"> of het </w:t>
            </w:r>
            <w:r w:rsidRPr="00CA2FA5">
              <w:rPr>
                <w:b/>
                <w:i/>
              </w:rPr>
              <w:t>gerechtvaardigd is</w:t>
            </w:r>
            <w:r w:rsidRPr="00CA2FA5">
              <w:t xml:space="preserve"> het in artikel 45, lid 1, bedoelde vereiste voor liquidatie-entiteiten op individuele basis </w:t>
            </w:r>
            <w:r w:rsidRPr="00CA2FA5">
              <w:rPr>
                <w:b/>
                <w:i/>
              </w:rPr>
              <w:t xml:space="preserve">te </w:t>
            </w:r>
            <w:r w:rsidRPr="00CA2FA5">
              <w:t xml:space="preserve">bepalen op een bedrag dat </w:t>
            </w:r>
            <w:r w:rsidRPr="00CA2FA5">
              <w:rPr>
                <w:b/>
                <w:i/>
              </w:rPr>
              <w:t xml:space="preserve">hoger is dan het bedrag dat </w:t>
            </w:r>
            <w:r w:rsidRPr="00CA2FA5">
              <w:t>toereikend is om verl</w:t>
            </w:r>
            <w:r w:rsidRPr="00CA2FA5">
              <w:t>iezen te absorberen overeenkomstig lid 2, punt a), van dit artikel</w:t>
            </w:r>
            <w:r w:rsidRPr="00CA2FA5">
              <w:rPr>
                <w:b/>
                <w:i/>
              </w:rPr>
              <w:t>. Bij de beoordeling door de afwikkelingsautoriteit wordt gekeken naar de mogelijke gevolgen van</w:t>
            </w:r>
            <w:r w:rsidRPr="00CA2FA5">
              <w:t xml:space="preserve"> het </w:t>
            </w:r>
            <w:r w:rsidRPr="00CA2FA5">
              <w:rPr>
                <w:b/>
                <w:i/>
              </w:rPr>
              <w:t>faillissement van de betrokken afwikkelingsentiteit en wordt met name rekening gehouden m</w:t>
            </w:r>
            <w:r w:rsidRPr="00CA2FA5">
              <w:rPr>
                <w:b/>
                <w:i/>
              </w:rPr>
              <w:t>et eventuele gevolgen voor de financiële stabiliteit en voor het risico op besmetting van het financiële stelsel</w:t>
            </w:r>
            <w:r w:rsidRPr="00CA2FA5">
              <w:t>. In die gevallen voldoen liquidatie-entiteiten aan het in artikel 45, lid 1, bedoelde vereiste met een of meer van de volgende elementen:</w:t>
            </w:r>
          </w:p>
        </w:tc>
      </w:tr>
    </w:tbl>
    <w:p w:rsidR="00932D06" w:rsidRPr="00CA2FA5" w:rsidRDefault="00980439" w:rsidP="00932D06">
      <w:pPr>
        <w:pStyle w:val="Olang"/>
        <w:rPr>
          <w:sz w:val="24"/>
          <w:szCs w:val="24"/>
        </w:rPr>
      </w:pPr>
      <w:r w:rsidRPr="00CA2FA5">
        <w:rPr>
          <w:sz w:val="24"/>
          <w:szCs w:val="24"/>
        </w:rPr>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12</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Artikel 1 – alinea 1 – punt 2 – b</w:t>
      </w:r>
      <w:r w:rsidRPr="00CA2FA5">
        <w:rPr>
          <w:rStyle w:val="HideTWBExt"/>
          <w:b w:val="0"/>
        </w:rPr>
        <w:t>&lt;/Article&gt;</w:t>
      </w:r>
    </w:p>
    <w:p w:rsidR="00932D06" w:rsidRPr="00CA2FA5" w:rsidRDefault="00980439" w:rsidP="00932D06">
      <w:pPr>
        <w:keepNext/>
      </w:pPr>
      <w:r w:rsidRPr="00CA2FA5">
        <w:rPr>
          <w:rStyle w:val="HideTWBExt"/>
        </w:rPr>
        <w:t>&lt;DocAmend2&gt;</w:t>
      </w:r>
      <w:r w:rsidRPr="00CA2FA5">
        <w:t>Richtlijn 2014/59/EU</w:t>
      </w:r>
      <w:r w:rsidRPr="00CA2FA5">
        <w:rPr>
          <w:rStyle w:val="HideTWBExt"/>
        </w:rPr>
        <w:t>&lt;/DocAmend2&gt;</w:t>
      </w:r>
    </w:p>
    <w:p w:rsidR="00932D06" w:rsidRPr="00CA2FA5" w:rsidRDefault="00980439" w:rsidP="00932D06">
      <w:r w:rsidRPr="00CA2FA5">
        <w:rPr>
          <w:rStyle w:val="HideTWBExt"/>
        </w:rPr>
        <w:t>&lt;Article2&gt;</w:t>
      </w:r>
      <w:r w:rsidRPr="00CA2FA5">
        <w:t xml:space="preserve">Artikel 45 quater – lid 2 </w:t>
      </w:r>
      <w:r w:rsidRPr="00CA2FA5">
        <w:t>bis – alinea 4</w:t>
      </w:r>
      <w:r w:rsidRPr="00CA2F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 xml:space="preserve">Bezit van eigenvermogensinstrumenten </w:t>
            </w:r>
            <w:r w:rsidRPr="00CA2FA5">
              <w:rPr>
                <w:b/>
                <w:i/>
              </w:rPr>
              <w:t>of passiva</w:t>
            </w:r>
            <w:r w:rsidRPr="00CA2FA5">
              <w:t xml:space="preserve"> uitgegeven door dochterondernemingen die liquidatie-entiteiten zijn waarvoor de afwikkelingsautoriteit het in artikel 45, lid 1, be</w:t>
            </w:r>
            <w:r w:rsidRPr="00CA2FA5">
              <w:t>doelde vereiste niet heeft bepaald, wordt niet afgetrokken overeenkomstig artikel 72 sexies, lid 5, van Verordening (EU) nr. 575/2013.;</w:t>
            </w:r>
          </w:p>
        </w:tc>
        <w:tc>
          <w:tcPr>
            <w:tcW w:w="4876" w:type="dxa"/>
            <w:hideMark/>
          </w:tcPr>
          <w:p w:rsidR="00932D06" w:rsidRPr="00CA2FA5" w:rsidRDefault="00980439">
            <w:pPr>
              <w:pStyle w:val="Normal6"/>
              <w:rPr>
                <w:szCs w:val="24"/>
              </w:rPr>
            </w:pPr>
            <w:r w:rsidRPr="00CA2FA5">
              <w:t xml:space="preserve">Bezit van </w:t>
            </w:r>
            <w:r w:rsidRPr="00CA2FA5">
              <w:rPr>
                <w:b/>
                <w:i/>
              </w:rPr>
              <w:t xml:space="preserve">passiva die niet in aanmerking komen als </w:t>
            </w:r>
            <w:r w:rsidRPr="00CA2FA5">
              <w:t>eigenvermogensinstrumenten uitgegeven door dochterondernemingen die l</w:t>
            </w:r>
            <w:r w:rsidRPr="00CA2FA5">
              <w:t>iquidatie-entiteiten zijn waarvoor de afwikkelingsautoriteit het in artikel 45, lid 1, bedoelde vereiste niet heeft bepaald, wordt niet afgetrokken overeenkomstig artikel 72 sexies, lid 5, van Verordening (EU) nr. 575/2013.;</w:t>
            </w:r>
          </w:p>
        </w:tc>
      </w:tr>
    </w:tbl>
    <w:p w:rsidR="00932D06" w:rsidRPr="00CA2FA5" w:rsidRDefault="00980439" w:rsidP="00932D06">
      <w:pPr>
        <w:pStyle w:val="Olang"/>
        <w:rPr>
          <w:sz w:val="24"/>
          <w:szCs w:val="24"/>
        </w:rPr>
      </w:pPr>
      <w:r w:rsidRPr="00CA2FA5">
        <w:rPr>
          <w:sz w:val="24"/>
          <w:szCs w:val="24"/>
        </w:rPr>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lastRenderedPageBreak/>
        <w:t>&lt;Amend&gt;</w:t>
      </w:r>
      <w:r w:rsidRPr="00CA2FA5">
        <w:t>Amendement</w:t>
      </w:r>
      <w:r w:rsidRPr="00CA2FA5">
        <w:tab/>
      </w:r>
      <w:r w:rsidRPr="00CA2FA5">
        <w:tab/>
      </w:r>
      <w:r w:rsidRPr="00CA2FA5">
        <w:rPr>
          <w:rStyle w:val="HideTWBExt"/>
          <w:b w:val="0"/>
        </w:rPr>
        <w:t>&lt;NumAm&gt;</w:t>
      </w:r>
      <w:r w:rsidRPr="00CA2FA5">
        <w:t>13</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Artikel 1 – alinea 1 – punt 3 – a</w:t>
      </w:r>
      <w:r w:rsidRPr="00CA2FA5">
        <w:rPr>
          <w:rStyle w:val="HideTWBExt"/>
          <w:b w:val="0"/>
        </w:rPr>
        <w:t>&lt;/Article&gt;</w:t>
      </w:r>
    </w:p>
    <w:p w:rsidR="00932D06" w:rsidRPr="00CA2FA5" w:rsidRDefault="00980439" w:rsidP="00932D06">
      <w:pPr>
        <w:keepNext/>
      </w:pPr>
      <w:r w:rsidRPr="00CA2FA5">
        <w:rPr>
          <w:rStyle w:val="HideTWBExt"/>
        </w:rPr>
        <w:t>&lt;DocAmend2&gt;</w:t>
      </w:r>
      <w:r w:rsidRPr="00CA2FA5">
        <w:t>Richtlijn 2014/59/EU</w:t>
      </w:r>
      <w:r w:rsidRPr="00CA2FA5">
        <w:rPr>
          <w:rStyle w:val="HideTWBExt"/>
        </w:rPr>
        <w:t>&lt;/DocAmend2&gt;</w:t>
      </w:r>
    </w:p>
    <w:p w:rsidR="00932D06" w:rsidRPr="00CA2FA5" w:rsidRDefault="00980439" w:rsidP="00932D06">
      <w:r w:rsidRPr="00CA2FA5">
        <w:rPr>
          <w:rStyle w:val="HideTWBExt"/>
        </w:rPr>
        <w:t>&lt;Article2&gt;</w:t>
      </w:r>
      <w:r w:rsidRPr="00CA2FA5">
        <w:t xml:space="preserve">Artikel 45 septies – lid 1 – alinea 3 bis </w:t>
      </w:r>
      <w:r w:rsidRPr="00CA2FA5">
        <w:t>– punt a – ii</w:t>
      </w:r>
      <w:r w:rsidRPr="00CA2F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ii)</w:t>
            </w:r>
            <w:r w:rsidRPr="00CA2FA5">
              <w:tab/>
              <w:t>de dochteronderneming is onderworpen aan het in artikel 104 bis van Richtlijn 2013/36/EU bedoelde vereiste</w:t>
            </w:r>
            <w:r w:rsidRPr="00CA2FA5">
              <w:rPr>
                <w:b/>
                <w:i/>
              </w:rPr>
              <w:t xml:space="preserve"> of aan het gecombineerde buffervereiste op geconsolideerde basis</w:t>
            </w:r>
            <w:r w:rsidRPr="00CA2FA5">
              <w:t>;</w:t>
            </w:r>
          </w:p>
        </w:tc>
        <w:tc>
          <w:tcPr>
            <w:tcW w:w="4876" w:type="dxa"/>
            <w:hideMark/>
          </w:tcPr>
          <w:p w:rsidR="00932D06" w:rsidRPr="00CA2FA5" w:rsidRDefault="00980439">
            <w:pPr>
              <w:pStyle w:val="Normal6"/>
              <w:rPr>
                <w:szCs w:val="24"/>
              </w:rPr>
            </w:pPr>
            <w:r w:rsidRPr="00CA2FA5">
              <w:t>ii)</w:t>
            </w:r>
            <w:r w:rsidRPr="00CA2FA5">
              <w:tab/>
              <w:t xml:space="preserve">de dochteronderneming is </w:t>
            </w:r>
            <w:r w:rsidRPr="00CA2FA5">
              <w:rPr>
                <w:b/>
                <w:i/>
              </w:rPr>
              <w:t xml:space="preserve">alleen op geconsolideerde basis </w:t>
            </w:r>
            <w:r w:rsidRPr="00CA2FA5">
              <w:t>onderworpen aan het in artikel 104 bis van Richtlijn 2013/36/EU bedoelde vereiste;</w:t>
            </w:r>
          </w:p>
        </w:tc>
      </w:tr>
    </w:tbl>
    <w:p w:rsidR="00932D06" w:rsidRPr="00CA2FA5" w:rsidRDefault="00980439" w:rsidP="00932D06">
      <w:pPr>
        <w:pStyle w:val="Olang"/>
        <w:rPr>
          <w:sz w:val="24"/>
          <w:szCs w:val="24"/>
        </w:rPr>
      </w:pPr>
      <w:r w:rsidRPr="00CA2FA5">
        <w:rPr>
          <w:sz w:val="24"/>
          <w:szCs w:val="24"/>
        </w:rPr>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14</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w:t>
      </w:r>
      <w:r w:rsidRPr="00CA2FA5">
        <w:t>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Artikel 1 – alinea 1 – punt 3 – a</w:t>
      </w:r>
      <w:r w:rsidRPr="00CA2FA5">
        <w:rPr>
          <w:rStyle w:val="HideTWBExt"/>
          <w:b w:val="0"/>
        </w:rPr>
        <w:t>&lt;/Article&gt;</w:t>
      </w:r>
    </w:p>
    <w:p w:rsidR="00932D06" w:rsidRPr="00CA2FA5" w:rsidRDefault="00980439" w:rsidP="00932D06">
      <w:pPr>
        <w:keepNext/>
      </w:pPr>
      <w:r w:rsidRPr="00CA2FA5">
        <w:rPr>
          <w:rStyle w:val="HideTWBExt"/>
        </w:rPr>
        <w:t>&lt;DocAmend2&gt;</w:t>
      </w:r>
      <w:r w:rsidRPr="00CA2FA5">
        <w:t>Richtlijn 2014/59/EU</w:t>
      </w:r>
      <w:r w:rsidRPr="00CA2FA5">
        <w:rPr>
          <w:rStyle w:val="HideTWBExt"/>
        </w:rPr>
        <w:t>&lt;/DocAmend2&gt;</w:t>
      </w:r>
    </w:p>
    <w:p w:rsidR="00932D06" w:rsidRPr="00CA2FA5" w:rsidRDefault="00980439" w:rsidP="00932D06">
      <w:r w:rsidRPr="00CA2FA5">
        <w:rPr>
          <w:rStyle w:val="HideTWBExt"/>
        </w:rPr>
        <w:t>&lt;Article2&gt;</w:t>
      </w:r>
      <w:r w:rsidRPr="00CA2FA5">
        <w:t>Artikel 45 septies – lid 1 – alinea 3 bis – punt b</w:t>
      </w:r>
      <w:r w:rsidRPr="00CA2F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b)</w:t>
            </w:r>
            <w:r w:rsidRPr="00CA2FA5">
              <w:tab/>
            </w:r>
            <w:r w:rsidRPr="00CA2FA5">
              <w:t xml:space="preserve">naleving van het in artikel 45 quater neergelegde vereiste op geconsolideerde basis heeft geen </w:t>
            </w:r>
            <w:r w:rsidRPr="00CA2FA5">
              <w:rPr>
                <w:b/>
                <w:i/>
              </w:rPr>
              <w:t xml:space="preserve">significante </w:t>
            </w:r>
            <w:r w:rsidRPr="00CA2FA5">
              <w:t>negatieve invloed op de afwikkelbaarheid van de afwikkelingsgroep, of op de afschrijving of omzetting, overeenkomstig artikel 59, van relevante kapi</w:t>
            </w:r>
            <w:r w:rsidRPr="00CA2FA5">
              <w:t>taalinstrumenten en in aanmerking komende passiva van de betrokken dochteronderneming of van andere entiteiten in de afwikkelingsgroep.;</w:t>
            </w:r>
          </w:p>
        </w:tc>
        <w:tc>
          <w:tcPr>
            <w:tcW w:w="4876" w:type="dxa"/>
            <w:hideMark/>
          </w:tcPr>
          <w:p w:rsidR="00932D06" w:rsidRPr="00CA2FA5" w:rsidRDefault="00980439">
            <w:pPr>
              <w:pStyle w:val="Normal6"/>
              <w:rPr>
                <w:szCs w:val="24"/>
              </w:rPr>
            </w:pPr>
            <w:r w:rsidRPr="00CA2FA5">
              <w:t>b)</w:t>
            </w:r>
            <w:r w:rsidRPr="00CA2FA5">
              <w:tab/>
              <w:t xml:space="preserve">naleving van het in artikel 45 quater neergelegde vereiste op geconsolideerde basis heeft geen negatieve invloed op </w:t>
            </w:r>
            <w:r w:rsidRPr="00CA2FA5">
              <w:t>de afwikkelbaarheid van de afwikkelingsgroep, of op de afschrijving of omzetting, overeenkomstig artikel 59, van relevante kapitaalinstrumenten en in aanmerking komende passiva van de betrokken dochteronderneming of van andere entiteiten in de afwikkelings</w:t>
            </w:r>
            <w:r w:rsidRPr="00CA2FA5">
              <w:t>groep.;</w:t>
            </w:r>
          </w:p>
        </w:tc>
      </w:tr>
    </w:tbl>
    <w:p w:rsidR="00932D06" w:rsidRPr="00CA2FA5" w:rsidRDefault="00980439" w:rsidP="00932D06">
      <w:pPr>
        <w:pStyle w:val="Olang"/>
        <w:rPr>
          <w:sz w:val="24"/>
          <w:szCs w:val="24"/>
        </w:rPr>
      </w:pPr>
      <w:r w:rsidRPr="00CA2FA5">
        <w:rPr>
          <w:sz w:val="24"/>
          <w:szCs w:val="24"/>
        </w:rPr>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15</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Artikel 2 – alinea 1 – punt 2 – b</w:t>
      </w:r>
      <w:r w:rsidRPr="00CA2FA5">
        <w:rPr>
          <w:rStyle w:val="HideTWBExt"/>
          <w:b w:val="0"/>
        </w:rPr>
        <w:t>&lt;/Article&gt;</w:t>
      </w:r>
    </w:p>
    <w:p w:rsidR="00932D06" w:rsidRPr="00CA2FA5" w:rsidRDefault="00980439" w:rsidP="00932D06">
      <w:pPr>
        <w:keepNext/>
      </w:pPr>
      <w:r w:rsidRPr="00CA2FA5">
        <w:rPr>
          <w:rStyle w:val="HideTWBExt"/>
        </w:rPr>
        <w:t>&lt;DocAmend2&gt;</w:t>
      </w:r>
      <w:r w:rsidRPr="00CA2FA5">
        <w:t>Verordening (EU) nr. 806/2014</w:t>
      </w:r>
      <w:r w:rsidRPr="00CA2FA5">
        <w:rPr>
          <w:rStyle w:val="HideTWBExt"/>
        </w:rPr>
        <w:t>&lt;/DocAmend2&gt;</w:t>
      </w:r>
    </w:p>
    <w:p w:rsidR="00932D06" w:rsidRPr="00CA2FA5" w:rsidRDefault="00980439" w:rsidP="00932D06">
      <w:r w:rsidRPr="00CA2FA5">
        <w:rPr>
          <w:rStyle w:val="HideTWBExt"/>
        </w:rPr>
        <w:t>&lt;Article2&gt;</w:t>
      </w:r>
      <w:r w:rsidRPr="00CA2FA5">
        <w:t>Artikel 12 quinquies – lid 2 bis – alinea 2 – inleidende formule</w:t>
      </w:r>
      <w:r w:rsidRPr="00CA2F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In afwijking van de eerste alinea</w:t>
            </w:r>
            <w:r w:rsidRPr="00CA2FA5">
              <w:rPr>
                <w:b/>
                <w:i/>
              </w:rPr>
              <w:t xml:space="preserve">, en indien </w:t>
            </w:r>
            <w:r w:rsidRPr="00CA2FA5">
              <w:rPr>
                <w:b/>
                <w:i/>
              </w:rPr>
              <w:lastRenderedPageBreak/>
              <w:t>dit noodzakelijk is voor de doelstellingen van bescherming van</w:t>
            </w:r>
            <w:r w:rsidRPr="00CA2FA5">
              <w:t xml:space="preserve"> de </w:t>
            </w:r>
            <w:r w:rsidRPr="00CA2FA5">
              <w:rPr>
                <w:b/>
                <w:i/>
              </w:rPr>
              <w:t xml:space="preserve">financiële </w:t>
            </w:r>
            <w:r w:rsidRPr="00CA2FA5">
              <w:rPr>
                <w:b/>
                <w:i/>
              </w:rPr>
              <w:t>stabiliteit</w:t>
            </w:r>
            <w:r w:rsidRPr="00CA2FA5">
              <w:t xml:space="preserve"> of </w:t>
            </w:r>
            <w:r w:rsidRPr="00CA2FA5">
              <w:rPr>
                <w:b/>
                <w:i/>
              </w:rPr>
              <w:t xml:space="preserve">beperking van mogelijke besmetting van </w:t>
            </w:r>
            <w:r w:rsidRPr="00CA2FA5">
              <w:t xml:space="preserve">het </w:t>
            </w:r>
            <w:r w:rsidRPr="00CA2FA5">
              <w:rPr>
                <w:b/>
                <w:i/>
              </w:rPr>
              <w:t>financiële stelsel, kan de afwikkelingsraad bij wijze van uitzondering</w:t>
            </w:r>
            <w:r w:rsidRPr="00CA2FA5">
              <w:t xml:space="preserve"> het in artikel 12 bis, lid 1, bedoelde vereiste voor liquidatie-entiteiten op individuele basis </w:t>
            </w:r>
            <w:r w:rsidRPr="00CA2FA5">
              <w:rPr>
                <w:b/>
                <w:i/>
              </w:rPr>
              <w:t>vaststellen voor</w:t>
            </w:r>
            <w:r w:rsidRPr="00CA2FA5">
              <w:t xml:space="preserve"> een bedrag dat</w:t>
            </w:r>
            <w:r w:rsidRPr="00CA2FA5">
              <w:t xml:space="preserve"> toereikend is om verliezen te absorberen overeenkomstig lid 2, punt a), van dit artikel</w:t>
            </w:r>
            <w:r w:rsidRPr="00CA2FA5">
              <w:rPr>
                <w:b/>
                <w:i/>
              </w:rPr>
              <w:t>, verhoogd tot</w:t>
            </w:r>
            <w:r w:rsidRPr="00CA2FA5">
              <w:t xml:space="preserve"> het </w:t>
            </w:r>
            <w:r w:rsidRPr="00CA2FA5">
              <w:rPr>
                <w:b/>
                <w:i/>
              </w:rPr>
              <w:t>bedrag dat nodig is om die doelstellingen te verwezenlijken</w:t>
            </w:r>
            <w:r w:rsidRPr="00CA2FA5">
              <w:t>. In die gevallen voldoen liquidatie-entiteiten aan het in artikel 12 bis, lid 1, bedoelde</w:t>
            </w:r>
            <w:r w:rsidRPr="00CA2FA5">
              <w:t xml:space="preserve"> vereiste door gebruik te maken van een of meer van de volgende elementen:</w:t>
            </w:r>
          </w:p>
        </w:tc>
        <w:tc>
          <w:tcPr>
            <w:tcW w:w="4876" w:type="dxa"/>
            <w:hideMark/>
          </w:tcPr>
          <w:p w:rsidR="00932D06" w:rsidRPr="00CA2FA5" w:rsidRDefault="00980439">
            <w:pPr>
              <w:pStyle w:val="Normal6"/>
              <w:rPr>
                <w:szCs w:val="24"/>
              </w:rPr>
            </w:pPr>
            <w:r w:rsidRPr="00CA2FA5">
              <w:lastRenderedPageBreak/>
              <w:t>In afwijking van de eerste alinea</w:t>
            </w:r>
            <w:r w:rsidRPr="00CA2FA5">
              <w:rPr>
                <w:b/>
                <w:i/>
              </w:rPr>
              <w:t xml:space="preserve"> </w:t>
            </w:r>
            <w:r w:rsidRPr="00CA2FA5">
              <w:rPr>
                <w:b/>
                <w:i/>
              </w:rPr>
              <w:lastRenderedPageBreak/>
              <w:t>beoordeelt</w:t>
            </w:r>
            <w:r w:rsidRPr="00CA2FA5">
              <w:t xml:space="preserve"> de </w:t>
            </w:r>
            <w:r w:rsidRPr="00CA2FA5">
              <w:rPr>
                <w:b/>
                <w:i/>
              </w:rPr>
              <w:t>afwikkelingsraad</w:t>
            </w:r>
            <w:r w:rsidRPr="00CA2FA5">
              <w:t xml:space="preserve"> of het </w:t>
            </w:r>
            <w:r w:rsidRPr="00CA2FA5">
              <w:rPr>
                <w:b/>
                <w:i/>
              </w:rPr>
              <w:t>gerechtvaardigd is</w:t>
            </w:r>
            <w:r w:rsidRPr="00CA2FA5">
              <w:t xml:space="preserve"> het in artikel 12 bis, lid 1, bedoelde vereiste voor liquidatie-entiteiten op individuele </w:t>
            </w:r>
            <w:r w:rsidRPr="00CA2FA5">
              <w:t xml:space="preserve">basis </w:t>
            </w:r>
            <w:r w:rsidRPr="00CA2FA5">
              <w:rPr>
                <w:b/>
                <w:i/>
              </w:rPr>
              <w:t>te bepalen op</w:t>
            </w:r>
            <w:r w:rsidRPr="00CA2FA5">
              <w:t xml:space="preserve"> een</w:t>
            </w:r>
            <w:r w:rsidRPr="00CA2FA5">
              <w:rPr>
                <w:b/>
                <w:i/>
              </w:rPr>
              <w:t xml:space="preserve"> bedrag dat hoger is dan het</w:t>
            </w:r>
            <w:r w:rsidRPr="00CA2FA5">
              <w:t xml:space="preserve"> bedrag dat toereikend is om verliezen te absorberen overeenkomstig lid 2, punt a), van dit artikel</w:t>
            </w:r>
            <w:r w:rsidRPr="00CA2FA5">
              <w:rPr>
                <w:b/>
                <w:i/>
              </w:rPr>
              <w:t>. Bij de beoordeling door de afwikkelingsraad wordt gekeken naar de mogelijke gevolgen van</w:t>
            </w:r>
            <w:r w:rsidRPr="00CA2FA5">
              <w:t xml:space="preserve"> het </w:t>
            </w:r>
            <w:r w:rsidRPr="00CA2FA5">
              <w:rPr>
                <w:b/>
                <w:i/>
              </w:rPr>
              <w:t>faillissement van de betrokken afwikkelingsentiteit en wordt met name rekening gehouden met eventuele gevolgen voor de financiële stabiliteit en voor het risico op besmetting van het financiële stelsel</w:t>
            </w:r>
            <w:r w:rsidRPr="00CA2FA5">
              <w:t>. In die gevallen voldoen liquidatie-entiteiten aan het</w:t>
            </w:r>
            <w:r w:rsidRPr="00CA2FA5">
              <w:t xml:space="preserve"> in artikel 12 bis, lid 1, bedoelde vereiste door gebruik te maken van een of meer van de volgende elementen:</w:t>
            </w:r>
          </w:p>
        </w:tc>
      </w:tr>
    </w:tbl>
    <w:p w:rsidR="00932D06" w:rsidRPr="00CA2FA5" w:rsidRDefault="00980439" w:rsidP="00932D06">
      <w:pPr>
        <w:pStyle w:val="Olang"/>
        <w:rPr>
          <w:sz w:val="24"/>
          <w:szCs w:val="24"/>
        </w:rPr>
      </w:pPr>
      <w:r w:rsidRPr="00CA2FA5">
        <w:rPr>
          <w:sz w:val="24"/>
          <w:szCs w:val="24"/>
        </w:rPr>
        <w:lastRenderedPageBreak/>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16</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Artikel 2</w:t>
      </w:r>
      <w:r w:rsidRPr="00CA2FA5">
        <w:t xml:space="preserve"> – alinea 1 – punt 2 – b</w:t>
      </w:r>
      <w:r w:rsidRPr="00CA2FA5">
        <w:rPr>
          <w:rStyle w:val="HideTWBExt"/>
          <w:b w:val="0"/>
        </w:rPr>
        <w:t>&lt;/Article&gt;</w:t>
      </w:r>
    </w:p>
    <w:p w:rsidR="00932D06" w:rsidRPr="00CA2FA5" w:rsidRDefault="00980439" w:rsidP="00932D06">
      <w:pPr>
        <w:keepNext/>
      </w:pPr>
      <w:r w:rsidRPr="00CA2FA5">
        <w:rPr>
          <w:rStyle w:val="HideTWBExt"/>
        </w:rPr>
        <w:t>&lt;DocAmend2&gt;</w:t>
      </w:r>
      <w:r w:rsidRPr="00CA2FA5">
        <w:t>Verordening (EU) nr. 806/2014</w:t>
      </w:r>
      <w:r w:rsidRPr="00CA2FA5">
        <w:rPr>
          <w:rStyle w:val="HideTWBExt"/>
        </w:rPr>
        <w:t>&lt;/DocAmend2&gt;</w:t>
      </w:r>
    </w:p>
    <w:p w:rsidR="00932D06" w:rsidRPr="00CA2FA5" w:rsidRDefault="00980439" w:rsidP="00932D06">
      <w:r w:rsidRPr="00CA2FA5">
        <w:rPr>
          <w:rStyle w:val="HideTWBExt"/>
        </w:rPr>
        <w:t>&lt;Article2&gt;</w:t>
      </w:r>
      <w:r w:rsidRPr="00CA2FA5">
        <w:t>Artikel 12 quinquies – lid 2 bis – alinea 4</w:t>
      </w:r>
      <w:r w:rsidRPr="00CA2F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 xml:space="preserve">Bezit van </w:t>
            </w:r>
            <w:r w:rsidRPr="00CA2FA5">
              <w:rPr>
                <w:b/>
                <w:i/>
              </w:rPr>
              <w:t>eigenvermogensinstrumenten of passiva</w:t>
            </w:r>
            <w:r w:rsidRPr="00CA2FA5">
              <w:t xml:space="preserve"> uitgegeven door dochterondernemingen die liquidatie-entiteiten zijn waarvoor de afwikkelingsautoriteit het in artikel 12 bis, lid 1, bedoelde vereiste niet heeft bepaald, wordt niet afgetrokken overeenkomstig artikel 72 sexies, lid 5, van Verordening (EU)</w:t>
            </w:r>
            <w:r w:rsidRPr="00CA2FA5">
              <w:t> nr. 575/2013.;</w:t>
            </w:r>
          </w:p>
        </w:tc>
        <w:tc>
          <w:tcPr>
            <w:tcW w:w="4876" w:type="dxa"/>
            <w:hideMark/>
          </w:tcPr>
          <w:p w:rsidR="00932D06" w:rsidRPr="00CA2FA5" w:rsidRDefault="00980439">
            <w:pPr>
              <w:pStyle w:val="Normal6"/>
              <w:rPr>
                <w:szCs w:val="24"/>
              </w:rPr>
            </w:pPr>
            <w:r w:rsidRPr="00CA2FA5">
              <w:t xml:space="preserve">Bezit van </w:t>
            </w:r>
            <w:r w:rsidRPr="00CA2FA5">
              <w:rPr>
                <w:b/>
                <w:i/>
              </w:rPr>
              <w:t>passiva die niet in aanmerking komen als eigenvermogensinstrumenten</w:t>
            </w:r>
            <w:r w:rsidRPr="00CA2FA5">
              <w:t xml:space="preserve"> uitgegeven door dochterondernemingen die liquidatie-entiteiten zijn waarvoor de afwikkelingsautoriteit het in artikel 12 bis, lid 1, bedoelde vereiste niet heeft </w:t>
            </w:r>
            <w:r w:rsidRPr="00CA2FA5">
              <w:t>bepaald, wordt niet afgetrokken overeenkomstig artikel 72 sexies, lid 5, van Verordening (EU) nr. 575/2013.;</w:t>
            </w:r>
          </w:p>
        </w:tc>
      </w:tr>
    </w:tbl>
    <w:p w:rsidR="00932D06" w:rsidRPr="00CA2FA5" w:rsidRDefault="00980439" w:rsidP="00932D06">
      <w:pPr>
        <w:pStyle w:val="Olang"/>
        <w:rPr>
          <w:sz w:val="24"/>
          <w:szCs w:val="24"/>
        </w:rPr>
      </w:pPr>
      <w:r w:rsidRPr="00CA2FA5">
        <w:rPr>
          <w:sz w:val="24"/>
          <w:szCs w:val="24"/>
        </w:rPr>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17</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 xml:space="preserve">Artikel 2 </w:t>
      </w:r>
      <w:r w:rsidRPr="00CA2FA5">
        <w:t>– alinea 1 – punt 3 – a</w:t>
      </w:r>
      <w:r w:rsidRPr="00CA2FA5">
        <w:rPr>
          <w:rStyle w:val="HideTWBExt"/>
          <w:b w:val="0"/>
        </w:rPr>
        <w:t>&lt;/Article&gt;</w:t>
      </w:r>
    </w:p>
    <w:p w:rsidR="00932D06" w:rsidRPr="00CA2FA5" w:rsidRDefault="00980439" w:rsidP="00932D06">
      <w:pPr>
        <w:keepNext/>
      </w:pPr>
      <w:r w:rsidRPr="00CA2FA5">
        <w:rPr>
          <w:rStyle w:val="HideTWBExt"/>
        </w:rPr>
        <w:lastRenderedPageBreak/>
        <w:t>&lt;DocAmend2&gt;</w:t>
      </w:r>
      <w:r w:rsidRPr="00CA2FA5">
        <w:t>Verordening (EU) nr. 806/2014</w:t>
      </w:r>
      <w:r w:rsidRPr="00CA2FA5">
        <w:rPr>
          <w:rStyle w:val="HideTWBExt"/>
        </w:rPr>
        <w:t>&lt;/DocAmend2&gt;</w:t>
      </w:r>
    </w:p>
    <w:p w:rsidR="00932D06" w:rsidRPr="00CA2FA5" w:rsidRDefault="00980439" w:rsidP="00932D06">
      <w:r w:rsidRPr="00CA2FA5">
        <w:rPr>
          <w:rStyle w:val="HideTWBExt"/>
        </w:rPr>
        <w:t>&lt;Article2&gt;</w:t>
      </w:r>
      <w:r w:rsidRPr="00CA2FA5">
        <w:t>Artikel 12 octies – lid 1 – alinea 3 bis – punt a – ii</w:t>
      </w:r>
      <w:r w:rsidRPr="00CA2F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ii)</w:t>
            </w:r>
            <w:r w:rsidRPr="00CA2FA5">
              <w:tab/>
              <w:t>de dochteronderneming is onderworpen a</w:t>
            </w:r>
            <w:r w:rsidRPr="00CA2FA5">
              <w:t>an het in artikel 104 bis van Richtlijn 2013/36/EU bedoelde vereiste of aan het gecombineerde buffervereiste op geconsolideerde basis;</w:t>
            </w:r>
          </w:p>
        </w:tc>
        <w:tc>
          <w:tcPr>
            <w:tcW w:w="4876" w:type="dxa"/>
            <w:hideMark/>
          </w:tcPr>
          <w:p w:rsidR="00932D06" w:rsidRPr="00CA2FA5" w:rsidRDefault="00980439">
            <w:pPr>
              <w:pStyle w:val="Normal6"/>
              <w:rPr>
                <w:szCs w:val="24"/>
              </w:rPr>
            </w:pPr>
            <w:r w:rsidRPr="00CA2FA5">
              <w:t>ii)</w:t>
            </w:r>
            <w:r w:rsidRPr="00CA2FA5">
              <w:tab/>
              <w:t>de dochteronderneming is alleen op geconsolideerde basis onderworpen aan het in artikel 104 bis van Richtlijn 2013/36</w:t>
            </w:r>
            <w:r w:rsidRPr="00CA2FA5">
              <w:t>/EU bedoelde vereiste;</w:t>
            </w:r>
          </w:p>
        </w:tc>
      </w:tr>
    </w:tbl>
    <w:p w:rsidR="00932D06" w:rsidRPr="00CA2FA5" w:rsidRDefault="00980439" w:rsidP="00932D06">
      <w:pPr>
        <w:pStyle w:val="Olang"/>
        <w:rPr>
          <w:sz w:val="24"/>
          <w:szCs w:val="24"/>
        </w:rPr>
      </w:pPr>
      <w:r w:rsidRPr="00CA2FA5">
        <w:rPr>
          <w:sz w:val="24"/>
          <w:szCs w:val="24"/>
        </w:rPr>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18</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Artikel 2 – alinea 1 – punt 3 – a</w:t>
      </w:r>
      <w:r w:rsidRPr="00CA2FA5">
        <w:rPr>
          <w:rStyle w:val="HideTWBExt"/>
          <w:b w:val="0"/>
        </w:rPr>
        <w:t>&lt;/Article&gt;</w:t>
      </w:r>
    </w:p>
    <w:p w:rsidR="00932D06" w:rsidRPr="00CA2FA5" w:rsidRDefault="00980439" w:rsidP="00932D06">
      <w:pPr>
        <w:keepNext/>
      </w:pPr>
      <w:r w:rsidRPr="00CA2FA5">
        <w:rPr>
          <w:rStyle w:val="HideTWBExt"/>
        </w:rPr>
        <w:t>&lt;DocAmend2&gt;</w:t>
      </w:r>
      <w:r w:rsidRPr="00CA2FA5">
        <w:t>Verordening (EU) nr. 806/2014</w:t>
      </w:r>
      <w:r w:rsidRPr="00CA2FA5">
        <w:rPr>
          <w:rStyle w:val="HideTWBExt"/>
        </w:rPr>
        <w:t>&lt;/DocAmend2&gt;</w:t>
      </w:r>
    </w:p>
    <w:p w:rsidR="00932D06" w:rsidRPr="00CA2FA5" w:rsidRDefault="00980439" w:rsidP="00932D06">
      <w:r w:rsidRPr="00CA2FA5">
        <w:rPr>
          <w:rStyle w:val="HideTWBExt"/>
        </w:rPr>
        <w:t>&lt;Article2&gt;</w:t>
      </w:r>
      <w:r w:rsidRPr="00CA2FA5">
        <w:t>Artikel 12 octies – lid 1 – alinea 3 bis – punt b</w:t>
      </w:r>
      <w:r w:rsidRPr="00CA2F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Door de 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b)</w:t>
            </w:r>
            <w:r w:rsidRPr="00CA2FA5">
              <w:tab/>
              <w:t xml:space="preserve">naleving van het in artikel 12 quinquies neergelegde vereiste op geconsolideerde basis heeft geen </w:t>
            </w:r>
            <w:r w:rsidRPr="00CA2FA5">
              <w:rPr>
                <w:b/>
                <w:i/>
              </w:rPr>
              <w:t xml:space="preserve">significante </w:t>
            </w:r>
            <w:r w:rsidRPr="00CA2FA5">
              <w:t>negatieve invloed o</w:t>
            </w:r>
            <w:r w:rsidRPr="00CA2FA5">
              <w:t>p de afwikkelbaarheid van de afwikkelingsgroep, of op de afschrijving of omzetting, overeenkomstig artikel 21, van relevante kapitaalinstrumenten en in aanmerking komende passiva van de betrokken instelling of dochteronderneming of van andere entiteiten in</w:t>
            </w:r>
            <w:r w:rsidRPr="00CA2FA5">
              <w:t xml:space="preserve"> de afwikkelingsgroep.;</w:t>
            </w:r>
          </w:p>
        </w:tc>
        <w:tc>
          <w:tcPr>
            <w:tcW w:w="4876" w:type="dxa"/>
            <w:hideMark/>
          </w:tcPr>
          <w:p w:rsidR="00932D06" w:rsidRPr="00CA2FA5" w:rsidRDefault="00980439">
            <w:pPr>
              <w:pStyle w:val="Normal6"/>
              <w:rPr>
                <w:szCs w:val="24"/>
              </w:rPr>
            </w:pPr>
            <w:r w:rsidRPr="00CA2FA5">
              <w:t>b)</w:t>
            </w:r>
            <w:r w:rsidRPr="00CA2FA5">
              <w:tab/>
              <w:t>naleving van het in artikel 12 quinquies neergelegde vereiste op geconsolideerde basis heeft geen negatieve invloed op de afwikkelbaarheid van de afwikkelingsgroep, of op de afschrijving of omzetting, overeenkomstig artikel 21, v</w:t>
            </w:r>
            <w:r w:rsidRPr="00CA2FA5">
              <w:t>an relevante kapitaalinstrumenten en in aanmerking komende passiva van de betrokken instelling of dochteronderneming of van andere entiteiten in de afwikkelingsgroep.;</w:t>
            </w:r>
          </w:p>
        </w:tc>
      </w:tr>
    </w:tbl>
    <w:p w:rsidR="00932D06" w:rsidRPr="00CA2FA5" w:rsidRDefault="00980439" w:rsidP="00932D06">
      <w:pPr>
        <w:pStyle w:val="Olang"/>
        <w:rPr>
          <w:sz w:val="24"/>
          <w:szCs w:val="24"/>
        </w:rPr>
      </w:pPr>
      <w:r w:rsidRPr="00CA2FA5">
        <w:rPr>
          <w:sz w:val="24"/>
          <w:szCs w:val="24"/>
        </w:rPr>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932D06" w:rsidRPr="00CA2FA5" w:rsidRDefault="00980439" w:rsidP="00932D06">
      <w:pPr>
        <w:rPr>
          <w:szCs w:val="24"/>
        </w:rPr>
      </w:pPr>
      <w:r w:rsidRPr="00CA2FA5">
        <w:rPr>
          <w:rStyle w:val="HideTWBExt"/>
        </w:rPr>
        <w:t>&lt;/Amend&gt;</w:t>
      </w:r>
    </w:p>
    <w:p w:rsidR="00932D06" w:rsidRPr="00CA2FA5" w:rsidRDefault="00980439" w:rsidP="00932D06">
      <w:pPr>
        <w:pStyle w:val="AMNumberTabs0"/>
        <w:keepNext/>
      </w:pPr>
      <w:r w:rsidRPr="00CA2FA5">
        <w:rPr>
          <w:rStyle w:val="HideTWBExt"/>
          <w:b w:val="0"/>
        </w:rPr>
        <w:t>&lt;Amend&gt;</w:t>
      </w:r>
      <w:r w:rsidRPr="00CA2FA5">
        <w:t>Amendement</w:t>
      </w:r>
      <w:r w:rsidRPr="00CA2FA5">
        <w:tab/>
      </w:r>
      <w:r w:rsidRPr="00CA2FA5">
        <w:tab/>
      </w:r>
      <w:r w:rsidRPr="00CA2FA5">
        <w:rPr>
          <w:rStyle w:val="HideTWBExt"/>
          <w:b w:val="0"/>
        </w:rPr>
        <w:t>&lt;NumAm&gt;</w:t>
      </w:r>
      <w:r w:rsidRPr="00CA2FA5">
        <w:t>19</w:t>
      </w:r>
      <w:r w:rsidRPr="00CA2FA5">
        <w:rPr>
          <w:rStyle w:val="HideTWBExt"/>
          <w:b w:val="0"/>
        </w:rPr>
        <w:t>&lt;/NumAm&gt;</w:t>
      </w:r>
    </w:p>
    <w:p w:rsidR="00932D06" w:rsidRPr="00CA2FA5" w:rsidRDefault="00980439" w:rsidP="00932D06">
      <w:pPr>
        <w:pStyle w:val="NormalBold12b"/>
        <w:keepNext/>
      </w:pPr>
      <w:r w:rsidRPr="00CA2FA5">
        <w:rPr>
          <w:rStyle w:val="HideTWBExt"/>
          <w:b w:val="0"/>
        </w:rPr>
        <w:t>&lt;DocAmend&gt;</w:t>
      </w:r>
      <w:r w:rsidRPr="00CA2FA5">
        <w:t>Voorstel voor een richtlijn</w:t>
      </w:r>
      <w:r w:rsidRPr="00CA2FA5">
        <w:rPr>
          <w:rStyle w:val="HideTWBExt"/>
          <w:b w:val="0"/>
        </w:rPr>
        <w:t>&lt;/DocAmend&gt;</w:t>
      </w:r>
    </w:p>
    <w:p w:rsidR="00932D06" w:rsidRPr="00CA2FA5" w:rsidRDefault="00980439" w:rsidP="00932D06">
      <w:pPr>
        <w:pStyle w:val="NormalBold"/>
      </w:pPr>
      <w:r w:rsidRPr="00CA2FA5">
        <w:rPr>
          <w:rStyle w:val="HideTWBExt"/>
          <w:b w:val="0"/>
        </w:rPr>
        <w:t>&lt;Article&gt;</w:t>
      </w:r>
      <w:r w:rsidRPr="00CA2FA5">
        <w:t>Artikel 2 – alinea 1 – punt 3 – b</w:t>
      </w:r>
      <w:r w:rsidRPr="00CA2FA5">
        <w:rPr>
          <w:rStyle w:val="HideTWBExt"/>
          <w:b w:val="0"/>
        </w:rPr>
        <w:t>&lt;/Article&gt;</w:t>
      </w:r>
    </w:p>
    <w:p w:rsidR="00932D06" w:rsidRPr="00CA2FA5" w:rsidRDefault="00980439" w:rsidP="00932D06">
      <w:pPr>
        <w:keepNext/>
      </w:pPr>
      <w:r w:rsidRPr="00CA2FA5">
        <w:rPr>
          <w:rStyle w:val="HideTWBExt"/>
        </w:rPr>
        <w:t>&lt;DocAmend2&gt;</w:t>
      </w:r>
      <w:r w:rsidRPr="00CA2FA5">
        <w:t>Verordening (EU) nr. 806/2014</w:t>
      </w:r>
      <w:r w:rsidRPr="00CA2FA5">
        <w:rPr>
          <w:rStyle w:val="HideTWBExt"/>
        </w:rPr>
        <w:t>&lt;/DocAmend2&gt;</w:t>
      </w:r>
    </w:p>
    <w:p w:rsidR="00932D06" w:rsidRPr="00CA2FA5" w:rsidRDefault="00980439" w:rsidP="00932D06">
      <w:r w:rsidRPr="00CA2FA5">
        <w:rPr>
          <w:rStyle w:val="HideTWBExt"/>
        </w:rPr>
        <w:t>&lt;Article2&gt;</w:t>
      </w:r>
      <w:r w:rsidRPr="00CA2FA5">
        <w:t>Artikel 12 octies – lid 2 bis – alinea 2 – inleidende formule</w:t>
      </w:r>
      <w:r w:rsidRPr="00CA2F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05A" w:rsidRPr="00CA2FA5" w:rsidTr="00932D06">
        <w:trPr>
          <w:jc w:val="center"/>
        </w:trPr>
        <w:tc>
          <w:tcPr>
            <w:tcW w:w="9752" w:type="dxa"/>
            <w:gridSpan w:val="2"/>
          </w:tcPr>
          <w:p w:rsidR="00932D06" w:rsidRPr="00CA2FA5" w:rsidRDefault="00932D06">
            <w:pPr>
              <w:keepNext/>
            </w:pPr>
          </w:p>
        </w:tc>
      </w:tr>
      <w:tr w:rsidR="0044405A" w:rsidRPr="00CA2FA5" w:rsidTr="00932D06">
        <w:trPr>
          <w:jc w:val="center"/>
        </w:trPr>
        <w:tc>
          <w:tcPr>
            <w:tcW w:w="4876" w:type="dxa"/>
            <w:hideMark/>
          </w:tcPr>
          <w:p w:rsidR="00932D06" w:rsidRPr="00CA2FA5" w:rsidRDefault="00980439">
            <w:pPr>
              <w:pStyle w:val="ColumnHeading"/>
              <w:keepNext/>
            </w:pPr>
            <w:r w:rsidRPr="00CA2FA5">
              <w:t xml:space="preserve">Door de </w:t>
            </w:r>
            <w:r w:rsidRPr="00CA2FA5">
              <w:t>Commissie voorgestelde tekst</w:t>
            </w:r>
          </w:p>
        </w:tc>
        <w:tc>
          <w:tcPr>
            <w:tcW w:w="4876" w:type="dxa"/>
            <w:hideMark/>
          </w:tcPr>
          <w:p w:rsidR="00932D06" w:rsidRPr="00CA2FA5" w:rsidRDefault="00980439">
            <w:pPr>
              <w:pStyle w:val="ColumnHeading"/>
              <w:keepNext/>
            </w:pPr>
            <w:r w:rsidRPr="00CA2FA5">
              <w:t>Amendement</w:t>
            </w:r>
          </w:p>
        </w:tc>
      </w:tr>
      <w:tr w:rsidR="0044405A" w:rsidRPr="00CA2FA5" w:rsidTr="00932D06">
        <w:trPr>
          <w:jc w:val="center"/>
        </w:trPr>
        <w:tc>
          <w:tcPr>
            <w:tcW w:w="4876" w:type="dxa"/>
            <w:hideMark/>
          </w:tcPr>
          <w:p w:rsidR="00932D06" w:rsidRPr="00CA2FA5" w:rsidRDefault="00980439">
            <w:pPr>
              <w:pStyle w:val="Normal6"/>
            </w:pPr>
            <w:r w:rsidRPr="00CA2FA5">
              <w:t xml:space="preserve">De in de eerste alinea, punten a) en b), bedoelde passiva bedragen niet meer dan het bedrag dat wordt bepaald door het </w:t>
            </w:r>
            <w:r w:rsidRPr="00CA2FA5">
              <w:lastRenderedPageBreak/>
              <w:t>bedrag van het in artikel </w:t>
            </w:r>
            <w:r w:rsidRPr="00CA2FA5">
              <w:rPr>
                <w:b/>
                <w:i/>
              </w:rPr>
              <w:t>45</w:t>
            </w:r>
            <w:r w:rsidRPr="00CA2FA5">
              <w:t xml:space="preserve">, lid 1, bedoelde vereiste dat van toepassing is op de in de </w:t>
            </w:r>
            <w:r w:rsidRPr="00CA2FA5">
              <w:t>consolidatie opgenomen dochteronderneming, te verminderen met het totaal van alle volgende elementen:</w:t>
            </w:r>
          </w:p>
        </w:tc>
        <w:tc>
          <w:tcPr>
            <w:tcW w:w="4876" w:type="dxa"/>
            <w:hideMark/>
          </w:tcPr>
          <w:p w:rsidR="00932D06" w:rsidRPr="00CA2FA5" w:rsidRDefault="00980439">
            <w:pPr>
              <w:pStyle w:val="Normal6"/>
              <w:rPr>
                <w:szCs w:val="24"/>
              </w:rPr>
            </w:pPr>
            <w:r w:rsidRPr="00CA2FA5">
              <w:lastRenderedPageBreak/>
              <w:t xml:space="preserve">De in de eerste alinea, punten a) en b), bedoelde passiva bedragen niet meer dan het bedrag dat wordt bepaald door het </w:t>
            </w:r>
            <w:r w:rsidRPr="00CA2FA5">
              <w:lastRenderedPageBreak/>
              <w:t>bedrag van het in artikel </w:t>
            </w:r>
            <w:r w:rsidRPr="00CA2FA5">
              <w:rPr>
                <w:b/>
                <w:i/>
              </w:rPr>
              <w:t>12</w:t>
            </w:r>
            <w:r w:rsidRPr="00CA2FA5">
              <w:t>, lid 1</w:t>
            </w:r>
            <w:r w:rsidRPr="00CA2FA5">
              <w:t>, bedoelde vereiste dat van toepassing is op de in de consolidatie opgenomen dochteronderneming, te verminderen met het totaal van alle volgende elementen:</w:t>
            </w:r>
          </w:p>
        </w:tc>
      </w:tr>
    </w:tbl>
    <w:p w:rsidR="00932D06" w:rsidRPr="00CA2FA5" w:rsidRDefault="00980439" w:rsidP="00932D06">
      <w:pPr>
        <w:pStyle w:val="Olang"/>
        <w:rPr>
          <w:sz w:val="24"/>
          <w:szCs w:val="24"/>
        </w:rPr>
      </w:pPr>
      <w:r w:rsidRPr="00CA2FA5">
        <w:rPr>
          <w:sz w:val="24"/>
          <w:szCs w:val="24"/>
        </w:rPr>
        <w:lastRenderedPageBreak/>
        <w:t xml:space="preserve">Or. </w:t>
      </w:r>
      <w:r w:rsidRPr="00CA2FA5">
        <w:rPr>
          <w:rStyle w:val="HideTWBExt"/>
        </w:rPr>
        <w:t>&lt;Original&gt;</w:t>
      </w:r>
      <w:r w:rsidRPr="00CA2FA5">
        <w:rPr>
          <w:rStyle w:val="HideTWBInt"/>
          <w:sz w:val="24"/>
          <w:szCs w:val="24"/>
        </w:rPr>
        <w:t>{EN}</w:t>
      </w:r>
      <w:r w:rsidRPr="00CA2FA5">
        <w:rPr>
          <w:sz w:val="24"/>
          <w:szCs w:val="24"/>
        </w:rPr>
        <w:t>en</w:t>
      </w:r>
      <w:r w:rsidRPr="00CA2FA5">
        <w:rPr>
          <w:rStyle w:val="HideTWBExt"/>
        </w:rPr>
        <w:t>&lt;/Original&gt;</w:t>
      </w:r>
    </w:p>
    <w:p w:rsidR="00467F7B" w:rsidRPr="00CA2FA5" w:rsidRDefault="00980439" w:rsidP="00467F7B">
      <w:r w:rsidRPr="00CA2FA5">
        <w:rPr>
          <w:rStyle w:val="HideTWBExt"/>
        </w:rPr>
        <w:t>&lt;/Amend&gt;</w:t>
      </w:r>
    </w:p>
    <w:p w:rsidR="002669B6" w:rsidRPr="00CA2FA5" w:rsidRDefault="00980439" w:rsidP="002669B6">
      <w:r w:rsidRPr="00CA2FA5">
        <w:rPr>
          <w:rStyle w:val="HideTWBExt"/>
        </w:rPr>
        <w:t>&lt;/RepeatBlock-Amend&gt;</w:t>
      </w:r>
    </w:p>
    <w:p w:rsidR="002669B6" w:rsidRPr="00CA2FA5" w:rsidRDefault="002669B6" w:rsidP="002669B6"/>
    <w:sectPr w:rsidR="002669B6" w:rsidRPr="00CA2FA5" w:rsidSect="00CA2F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A2FA5" w:rsidRDefault="00980439">
      <w:r w:rsidRPr="00CA2FA5">
        <w:separator/>
      </w:r>
    </w:p>
  </w:endnote>
  <w:endnote w:type="continuationSeparator" w:id="0">
    <w:p w:rsidR="00000000" w:rsidRPr="00CA2FA5" w:rsidRDefault="00980439">
      <w:r w:rsidRPr="00CA2F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FA5" w:rsidRPr="00CA2FA5" w:rsidRDefault="00CA2FA5" w:rsidP="00CA2FA5">
    <w:pPr>
      <w:pStyle w:val="EPFooter"/>
    </w:pPr>
    <w:r w:rsidRPr="00CA2FA5">
      <w:t>PE</w:t>
    </w:r>
    <w:r w:rsidRPr="00CA2FA5">
      <w:rPr>
        <w:rStyle w:val="HideTWBExt"/>
      </w:rPr>
      <w:t>&lt;NoPE&gt;</w:t>
    </w:r>
    <w:r w:rsidRPr="00CA2FA5">
      <w:t>752.913</w:t>
    </w:r>
    <w:r w:rsidRPr="00CA2FA5">
      <w:rPr>
        <w:rStyle w:val="HideTWBExt"/>
      </w:rPr>
      <w:t>&lt;/NoPE&gt;&lt;Version&gt;</w:t>
    </w:r>
    <w:r w:rsidRPr="00CA2FA5">
      <w:t>v01-00</w:t>
    </w:r>
    <w:r w:rsidRPr="00CA2FA5">
      <w:rPr>
        <w:rStyle w:val="HideTWBExt"/>
      </w:rPr>
      <w:t>&lt;/Version&gt;</w:t>
    </w:r>
    <w:r w:rsidRPr="00CA2FA5">
      <w:tab/>
    </w:r>
    <w:r w:rsidRPr="00CA2FA5">
      <w:fldChar w:fldCharType="begin"/>
    </w:r>
    <w:r w:rsidRPr="00CA2FA5">
      <w:instrText xml:space="preserve"> PAGE  \* MERGEFORMAT </w:instrText>
    </w:r>
    <w:r w:rsidRPr="00CA2FA5">
      <w:fldChar w:fldCharType="separate"/>
    </w:r>
    <w:r w:rsidR="00980439">
      <w:rPr>
        <w:noProof/>
      </w:rPr>
      <w:t>16</w:t>
    </w:r>
    <w:r w:rsidRPr="00CA2FA5">
      <w:fldChar w:fldCharType="end"/>
    </w:r>
    <w:r w:rsidRPr="00CA2FA5">
      <w:t>/</w:t>
    </w:r>
    <w:fldSimple w:instr=" NUMPAGES  \* MERGEFORMAT ">
      <w:r w:rsidR="00980439">
        <w:rPr>
          <w:noProof/>
        </w:rPr>
        <w:t>21</w:t>
      </w:r>
    </w:fldSimple>
    <w:r w:rsidRPr="00CA2FA5">
      <w:tab/>
    </w:r>
    <w:r w:rsidRPr="00CA2FA5">
      <w:rPr>
        <w:rStyle w:val="HideTWBExt"/>
      </w:rPr>
      <w:t>&lt;PathFdR&gt;</w:t>
    </w:r>
    <w:r w:rsidRPr="00CA2FA5">
      <w:t>PR\1285454NL.docx</w:t>
    </w:r>
    <w:r w:rsidRPr="00CA2FA5">
      <w:rPr>
        <w:rStyle w:val="HideTWBExt"/>
      </w:rPr>
      <w:t>&lt;/PathFdR&gt;</w:t>
    </w:r>
  </w:p>
  <w:p w:rsidR="0048211B" w:rsidRPr="00CA2FA5" w:rsidRDefault="00CA2FA5" w:rsidP="00CA2FA5">
    <w:pPr>
      <w:pStyle w:val="EPFooter2"/>
    </w:pPr>
    <w:r w:rsidRPr="00CA2FA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FA5" w:rsidRPr="00CA2FA5" w:rsidRDefault="00CA2FA5" w:rsidP="00CA2FA5">
    <w:pPr>
      <w:pStyle w:val="EPFooter"/>
    </w:pPr>
    <w:r w:rsidRPr="00CA2FA5">
      <w:rPr>
        <w:rStyle w:val="HideTWBExt"/>
      </w:rPr>
      <w:t>&lt;PathFdR&gt;</w:t>
    </w:r>
    <w:r w:rsidRPr="00CA2FA5">
      <w:t>PR\1285454NL.docx</w:t>
    </w:r>
    <w:r w:rsidRPr="00CA2FA5">
      <w:rPr>
        <w:rStyle w:val="HideTWBExt"/>
      </w:rPr>
      <w:t>&lt;/PathFdR&gt;</w:t>
    </w:r>
    <w:r w:rsidRPr="00CA2FA5">
      <w:tab/>
    </w:r>
    <w:r w:rsidRPr="00CA2FA5">
      <w:fldChar w:fldCharType="begin"/>
    </w:r>
    <w:r w:rsidRPr="00CA2FA5">
      <w:instrText xml:space="preserve"> PAGE  \* MERGEFORMAT </w:instrText>
    </w:r>
    <w:r w:rsidRPr="00CA2FA5">
      <w:fldChar w:fldCharType="separate"/>
    </w:r>
    <w:r w:rsidR="00980439">
      <w:rPr>
        <w:noProof/>
      </w:rPr>
      <w:t>15</w:t>
    </w:r>
    <w:r w:rsidRPr="00CA2FA5">
      <w:fldChar w:fldCharType="end"/>
    </w:r>
    <w:r w:rsidRPr="00CA2FA5">
      <w:t>/</w:t>
    </w:r>
    <w:fldSimple w:instr=" NUMPAGES  \* MERGEFORMAT ">
      <w:r w:rsidR="00980439">
        <w:rPr>
          <w:noProof/>
        </w:rPr>
        <w:t>21</w:t>
      </w:r>
    </w:fldSimple>
    <w:r w:rsidRPr="00CA2FA5">
      <w:tab/>
      <w:t>PE</w:t>
    </w:r>
    <w:r w:rsidRPr="00CA2FA5">
      <w:rPr>
        <w:rStyle w:val="HideTWBExt"/>
      </w:rPr>
      <w:t>&lt;NoPE&gt;</w:t>
    </w:r>
    <w:r w:rsidRPr="00CA2FA5">
      <w:t>752.913</w:t>
    </w:r>
    <w:r w:rsidRPr="00CA2FA5">
      <w:rPr>
        <w:rStyle w:val="HideTWBExt"/>
      </w:rPr>
      <w:t>&lt;/NoPE&gt;&lt;Version&gt;</w:t>
    </w:r>
    <w:r w:rsidRPr="00CA2FA5">
      <w:t>v01-00</w:t>
    </w:r>
    <w:r w:rsidRPr="00CA2FA5">
      <w:rPr>
        <w:rStyle w:val="HideTWBExt"/>
      </w:rPr>
      <w:t>&lt;/Version&gt;</w:t>
    </w:r>
  </w:p>
  <w:p w:rsidR="0048211B" w:rsidRPr="00CA2FA5" w:rsidRDefault="00CA2FA5" w:rsidP="00CA2FA5">
    <w:pPr>
      <w:pStyle w:val="EPFooter2"/>
    </w:pPr>
    <w:r w:rsidRPr="00CA2FA5">
      <w:tab/>
    </w:r>
    <w:r w:rsidRPr="00CA2FA5">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FA5" w:rsidRPr="00CA2FA5" w:rsidRDefault="00CA2FA5" w:rsidP="00CA2FA5">
    <w:pPr>
      <w:pStyle w:val="EPFooter"/>
    </w:pPr>
    <w:r w:rsidRPr="00CA2FA5">
      <w:rPr>
        <w:rStyle w:val="HideTWBExt"/>
      </w:rPr>
      <w:t>&lt;PathFdR&gt;</w:t>
    </w:r>
    <w:r w:rsidRPr="00CA2FA5">
      <w:t>PR\1285454NL.docx</w:t>
    </w:r>
    <w:r w:rsidRPr="00CA2FA5">
      <w:rPr>
        <w:rStyle w:val="HideTWBExt"/>
      </w:rPr>
      <w:t>&lt;/PathFdR&gt;</w:t>
    </w:r>
    <w:r w:rsidRPr="00CA2FA5">
      <w:tab/>
    </w:r>
    <w:r w:rsidRPr="00CA2FA5">
      <w:tab/>
      <w:t>PE</w:t>
    </w:r>
    <w:r w:rsidRPr="00CA2FA5">
      <w:rPr>
        <w:rStyle w:val="HideTWBExt"/>
      </w:rPr>
      <w:t>&lt;NoPE&gt;</w:t>
    </w:r>
    <w:r w:rsidRPr="00CA2FA5">
      <w:t>752.913</w:t>
    </w:r>
    <w:r w:rsidRPr="00CA2FA5">
      <w:rPr>
        <w:rStyle w:val="HideTWBExt"/>
      </w:rPr>
      <w:t>&lt;/NoPE&gt;&lt;Version&gt;</w:t>
    </w:r>
    <w:r w:rsidRPr="00CA2FA5">
      <w:t>v01-00</w:t>
    </w:r>
    <w:r w:rsidRPr="00CA2FA5">
      <w:rPr>
        <w:rStyle w:val="HideTWBExt"/>
      </w:rPr>
      <w:t>&lt;/Version&gt;</w:t>
    </w:r>
  </w:p>
  <w:p w:rsidR="0048211B" w:rsidRPr="00CA2FA5" w:rsidRDefault="00CA2FA5" w:rsidP="00CA2FA5">
    <w:pPr>
      <w:pStyle w:val="EPFooter2"/>
    </w:pPr>
    <w:r w:rsidRPr="00CA2FA5">
      <w:t>NL</w:t>
    </w:r>
    <w:r w:rsidRPr="00CA2FA5">
      <w:tab/>
    </w:r>
    <w:r w:rsidRPr="00CA2FA5">
      <w:rPr>
        <w:b w:val="0"/>
        <w:i/>
        <w:color w:val="C0C0C0"/>
        <w:sz w:val="22"/>
      </w:rPr>
      <w:t>In verscheidenheid verenigd</w:t>
    </w:r>
    <w:r w:rsidRPr="00CA2FA5">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11B" w:rsidRPr="00CA2FA5" w:rsidRDefault="00980439">
      <w:r w:rsidRPr="00CA2FA5">
        <w:separator/>
      </w:r>
    </w:p>
  </w:footnote>
  <w:footnote w:type="continuationSeparator" w:id="0">
    <w:p w:rsidR="0048211B" w:rsidRPr="00CA2FA5" w:rsidRDefault="00980439">
      <w:r w:rsidRPr="00CA2FA5">
        <w:continuationSeparator/>
      </w:r>
    </w:p>
  </w:footnote>
  <w:footnote w:id="1">
    <w:p w:rsidR="0048211B" w:rsidRPr="00CA2FA5" w:rsidRDefault="00980439">
      <w:pPr>
        <w:pStyle w:val="FootnoteText"/>
        <w:rPr>
          <w:sz w:val="24"/>
          <w:szCs w:val="24"/>
        </w:rPr>
      </w:pPr>
      <w:r w:rsidRPr="00CA2FA5">
        <w:rPr>
          <w:rStyle w:val="FootnoteReference"/>
          <w:sz w:val="24"/>
          <w:szCs w:val="24"/>
        </w:rPr>
        <w:footnoteRef/>
      </w:r>
      <w:r w:rsidRPr="00CA2FA5">
        <w:t xml:space="preserve"> PB C 307 van 31.8.2023, blz. 19.</w:t>
      </w:r>
    </w:p>
  </w:footnote>
  <w:footnote w:id="2">
    <w:p w:rsidR="0048211B" w:rsidRPr="00CA2FA5" w:rsidRDefault="00980439">
      <w:pPr>
        <w:pStyle w:val="FootnoteText"/>
      </w:pPr>
      <w:r w:rsidRPr="00CA2FA5">
        <w:rPr>
          <w:rStyle w:val="FootnoteReference"/>
          <w:sz w:val="24"/>
          <w:szCs w:val="24"/>
        </w:rPr>
        <w:footnoteRef/>
      </w:r>
      <w:r w:rsidRPr="00CA2FA5">
        <w:t xml:space="preserve"> Nog niet</w:t>
      </w:r>
      <w:r w:rsidR="00D766E0">
        <w:t xml:space="preserve"> bekendgemaakt</w:t>
      </w:r>
      <w:r w:rsidRPr="00CA2FA5">
        <w:t xml:space="preserve"> in het Publicatieblad</w:t>
      </w:r>
      <w:r w:rsidRPr="00CA2FA5">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439" w:rsidRDefault="009804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439" w:rsidRDefault="009804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439" w:rsidRDefault="00980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CON"/>
    <w:docVar w:name="CopyToNetwork" w:val="-1"/>
    <w:docVar w:name="CVar" w:val="2"/>
    <w:docVar w:name="DOCMNU" w:val=" 2"/>
    <w:docVar w:name="EPOJMNU" w:val=" 3"/>
    <w:docVar w:name="EPSTATMNU" w:val=" 1"/>
    <w:docVar w:name="EPSTATPLURMNU" w:val=" 1"/>
    <w:docVar w:name="iNoAmend" w:val="2"/>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8872 HideTWBExt;}{\*\cs18 \additive \v\f1\fs20\cf15 _x000d__x000a_\spriority0 \styrsid16658872 HideTWBInt;}{\s19\ql \li0\ri0\sa120\nowidctlpar\wrapdefault\aspalpha\aspnum\faauto\adjustright\rin0\lin0\itap0 \rtlch\fcs1 \af0\afs20\alang1025 \ltrch\fcs0 \fs24\lang2057\langfe2057\cgrid\langnp2057\langfenp2057 _x000d__x000a_\sbasedon0 \snext19 \spriority0 \styrsid16658872 Normal6a;}{\s20\ql \li0\ri0\nowidctlpar\wrapdefault\aspalpha\aspnum\faauto\adjustright\rin0\lin0\itap0 \rtlch\fcs1 \af0\afs20\alang1025 \ltrch\fcs0 \b\fs24\lang2057\langfe2057\cgrid\langnp2057\langfenp2057 _x000d__x000a_\sbasedon0 \snext20 \spriority0 \styrsid16658872 NormalBold;}{\s21\ql \li0\ri0\sa240\nowidctlpar\wrapdefault\aspalpha\aspnum\faauto\adjustright\rin0\lin0\itap0 \rtlch\fcs1 \af0\afs20\alang1025 \ltrch\fcs0 _x000d__x000a_\i\fs24\lang2057\langfe2057\cgrid\langnp2057\langfenp2057 \sbasedon0 \snext21 \spriority0 \styrsid16658872 AmJustText;}{\s22\qc \li0\ri0\sb240\sa240\nowidctlpar\wrapdefault\aspalpha\aspnum\faauto\adjustright\rin0\lin0\itap0 \rtlch\fcs1 _x000d__x000a_\af0\afs20\alang1025 \ltrch\fcs0 \i\fs24\lang2057\langfe2057\cgrid\langnp2057\langfenp2057 \sbasedon0 \snext22 \spriority0 \styrsid16658872 AmCrossRef;}{_x000d__x000a_\s23\qc \li0\ri0\sb240\sa240\keepn\nowidctlpar\wrapdefault\aspalpha\aspnum\faauto\adjustright\rin0\lin0\itap0 \rtlch\fcs1 \af0\afs20\alang1025 \ltrch\fcs0 \i\fs24\lang2057\langfe2057\cgrid\langnp2057\langfenp2057 _x000d__x000a_\sbasedon0 \snext21 \spriority0 \styrsid16658872 AmJustTitle;}{\s24\qr \li0\ri0\sb240\sa240\nowidctlpar\wrapdefault\aspalpha\aspnum\faauto\adjustright\rin0\lin0\itap0 \rtlch\fcs1 \af0\afs20\alang1025 \ltrch\fcs0 _x000d__x000a_\fs24\lang2057\langfe2057\cgrid\langnp2057\langfenp2057 \sbasedon0 \snext24 \spriority0 \styrsid16658872 AmOrLang;}{\s25\qc \li0\ri0\sa240\nowidctlpar\wrapdefault\aspalpha\aspnum\faauto\adjustright\rin0\lin0\itap0 \rtlch\fcs1 \af0\afs20\alang1025 _x000d__x000a_\ltrch\fcs0 \i\fs24\lang2057\langfe2057\cgrid\langnp2057\langfenp2057 \sbasedon0 \snext25 \spriority0 \styrsid166588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658872 AmNumberTabs;}{\s27\ql \li0\ri0\sb240\nowidctlpar\wrapdefault\aspalpha\aspnum\faauto\adjustright\rin0\lin0\itap0 \rtlch\fcs1 _x000d__x000a_\af0\afs20\alang1025 \ltrch\fcs0 \b\fs24\lang2057\langfe2057\cgrid\langnp2057\langfenp2057 \sbasedon0 \snext27 \spriority0 \styrsid16658872 NormalBold12b;}}{\*\rsidtbl \rsid24658\rsid223860\rsid735077\rsid1718133\rsid2892074\rsid3565327\rsid4666813_x000d__x000a_\rsid6641733\rsid7602181\rsid7823322\rsid9636012\rsid10377208\rsid11215221\rsid11549030\rsid12154954\rsid14382809\rsid14424199\rsid15204470\rsid15285974\rsid15950462\rsid16324206\rsid16658872\rsid16662270}{\mmathPr\mmathFont34\mbrkBin0\mbrkBinSub0_x000d__x000a_\msmallFrac0\mdispDef1\mlMargin0\mrMargin0\mdefJc1\mwrapIndent1440\mintLim0\mnaryLim1}{\info{\author TURLUI Emil-Gabriel}{\operator TURLUI Emil-Gabriel}{\creatim\yr2023\mo9\dy8\hr15\min57}{\revtim\yr2023\mo9\dy8\hr15\min57}{\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8872\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7602181 \chftnsep _x000d__x000a_\par }}{\*\ftnsepc \ltrpar \pard\plain \ltrpar\ql \li0\ri0\widctlpar\wrapdefault\aspalpha\aspnum\faauto\adjustright\rin0\lin0\itap0 \rtlch\fcs1 \af0\afs20\alang1025 \ltrch\fcs0 \fs24\lang2057\langfe2057\cgrid\langnp2057\langfenp2057 {\rtlch\fcs1 \af0 _x000d__x000a_\ltrch\fcs0 \insrsid7602181 \chftnsepc _x000d__x000a_\par }}{\*\aftnsep \ltrpar \pard\plain \ltrpar\ql \li0\ri0\widctlpar\wrapdefault\aspalpha\aspnum\faauto\adjustright\rin0\lin0\itap0 \rtlch\fcs1 \af0\afs20\alang1025 \ltrch\fcs0 \fs24\lang2057\langfe2057\cgrid\langnp2057\langfenp2057 {\rtlch\fcs1 \af0 _x000d__x000a_\ltrch\fcs0 \insrsid7602181 \chftnsep _x000d__x000a_\par }}{\*\aftnsepc \ltrpar \pard\plain \ltrpar\ql \li0\ri0\widctlpar\wrapdefault\aspalpha\aspnum\faauto\adjustright\rin0\lin0\itap0 \rtlch\fcs1 \af0\afs20\alang1025 \ltrch\fcs0 \fs24\lang2057\langfe2057\cgrid\langnp2057\langfenp2057 {\rtlch\fcs1 \af0 _x000d__x000a_\ltrch\fcs0 \insrsid76021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658872 \rtlch\fcs1 _x000d__x000a_\af0\afs20\alang1025 \ltrch\fcs0 \b\fs24\lang2057\langfe2057\cgrid\langnp2057\langfenp2057 {\rtlch\fcs1 \af0 \ltrch\fcs0 \cs17\b0\v\fs20\cf9\lang1024\langfe1024\loch\af1\hich\af1\dbch\af31501\noproof\insrsid16658872\charrsid6768093 {\*\bkmkstart restart}_x000d__x000a_\hich\af1\dbch\af31501\loch\f1 &lt;Amend&gt;}{\rtlch\fcs1 \af0 \ltrch\fcs0 \insrsid16658872\charrsid6768093 Amendment\tab \tab }{\rtlch\fcs1 \af0 \ltrch\fcs0 _x000d__x000a_\cs17\b0\v\fs20\cf9\lang1024\langfe1024\loch\af1\hich\af1\dbch\af31501\noproof\insrsid16658872\charrsid6768093 \hich\af1\dbch\af31501\loch\f1 &lt;NumAm&gt;}{\rtlch\fcs1 \af0 \ltrch\fcs0 \insrsid16658872\charrsid6768093 #}{\rtlch\fcs1 \af1 \ltrch\fcs0 _x000d__x000a_\cs18\v\f1\fs20\cf15\insrsid16658872\charrsid6768093 ENMIENDA@NRAM@}{\rtlch\fcs1 \af0 \ltrch\fcs0 \insrsid16658872\charrsid6768093 #}{\rtlch\fcs1 \af0 \ltrch\fcs0 _x000d__x000a_\cs17\b0\v\fs20\cf9\lang1024\langfe1024\loch\af1\hich\af1\dbch\af31501\noproof\insrsid16658872\charrsid6768093 \hich\af1\dbch\af31501\loch\f1 &lt;/NumAm&gt;}{\rtlch\fcs1 \af0 \ltrch\fcs0 \insrsid16658872\charrsid6768093 _x000d__x000a_\par }\pard\plain \ltrpar\s27\ql \li0\ri0\sb240\keepn\nowidctlpar\wrapdefault\aspalpha\aspnum\faauto\adjustright\rin0\lin0\itap0\pararsid16658872 \rtlch\fcs1 \af0\afs20\alang1025 \ltrch\fcs0 \b\fs24\lang2057\langfe2057\cgrid\langnp2057\langfenp2057 {_x000d__x000a_\rtlch\fcs1 \af0 \ltrch\fcs0 \cs17\b0\v\fs20\cf9\lang1024\langfe1024\loch\af1\hich\af1\dbch\af31501\noproof\insrsid16658872\charrsid6768093 \hich\af1\dbch\af31501\loch\f1 &lt;DocAmend&gt;}{\rtlch\fcs1 \af0 \ltrch\fcs0 \insrsid16658872\charrsid6768093 _x000d__x000a_Proposal for a #}{\rtlch\fcs1 \af1 \ltrch\fcs0 \cs18\v\f1\fs20\cf15\insrsid16658872\charrsid6768093 MNU[DOC1][DOC2][DOC3]@DOCMSG@DOCMNU}{\rtlch\fcs1 \af0 \ltrch\fcs0 \insrsid16658872\charrsid6768093 ##}{\rtlch\fcs1 \af1 \ltrch\fcs0 _x000d__x000a_\cs18\v\f1\fs20\cf15\insrsid16658872\charrsid6768093 MNU[AMACTYES][NOTAPP]@CHOICE@AMACTMNU}{\rtlch\fcs1 \af0 \ltrch\fcs0 \insrsid16658872\charrsid6768093 #}{\rtlch\fcs1 \af0 \ltrch\fcs0 _x000d__x000a_\cs17\b0\v\fs20\cf9\lang1024\langfe1024\loch\af1\hich\af1\dbch\af31501\noproof\insrsid16658872\charrsid6768093 \hich\af1\dbch\af31501\loch\f1 &lt;/DocAmend&gt;}{\rtlch\fcs1 \af0 \ltrch\fcs0 \insrsid16658872\charrsid6768093 _x000d__x000a_\par }\pard\plain \ltrpar\s20\ql \li0\ri0\keepn\nowidctlpar\wrapdefault\aspalpha\aspnum\faauto\adjustright\rin0\lin0\itap0\pararsid16658872 \rtlch\fcs1 \af0\afs20\alang1025 \ltrch\fcs0 \b\fs24\lang2057\langfe2057\cgrid\langnp2057\langfenp2057 {\rtlch\fcs1 _x000d__x000a_\af0 \ltrch\fcs0 \cs17\b0\v\fs20\cf9\lang1024\langfe1024\loch\af1\hich\af1\dbch\af31501\noproof\insrsid16658872\charrsid6768093 \hich\af1\dbch\af31501\loch\f1 &lt;Article&gt;}{\rtlch\fcs1 \af0 \ltrch\fcs0 \insrsid16658872\charrsid6768093 #}{\rtlch\fcs1 \af1 _x000d__x000a_\ltrch\fcs0 \cs18\v\f1\fs20\cf15\insrsid16658872\charrsid6768093 MNU[AMACTPARTYES][AMACTPARTNO]@CHOICE@AMACTMNU}{\rtlch\fcs1 \af0 \ltrch\fcs0 \insrsid16658872\charrsid6768093 #}{\rtlch\fcs1 \af0 \ltrch\fcs0 _x000d__x000a_\cs17\b0\v\fs20\cf9\lang1024\langfe1024\loch\af1\hich\af1\dbch\af31501\noproof\insrsid16658872\charrsid6768093 \hich\af1\dbch\af31501\loch\f1 &lt;/Article&gt;}{\rtlch\fcs1 \af0 \ltrch\fcs0 \insrsid16658872\charrsid6768093 _x000d__x000a_\par }\pard\plain \ltrpar\ql \li0\ri0\keepn\widctlpar\wrapdefault\aspalpha\aspnum\faauto\adjustright\rin0\lin0\itap0\pararsid16658872 \rtlch\fcs1 \af0\afs20\alang1025 \ltrch\fcs0 \fs24\lang2057\langfe2057\cgrid\langnp2057\langfenp2057 {\rtlch\fcs1 \af0 _x000d__x000a_\ltrch\fcs0 \cs17\v\fs20\cf9\lang1024\langfe1024\loch\af1\hich\af1\dbch\af31501\noproof\insrsid16658872\charrsid6768093 \hich\af1\dbch\af31501\loch\f1 &lt;DocAmend2&gt;&lt;OptDel&gt;}{\rtlch\fcs1 \af0 \ltrch\fcs0 \insrsid16658872\charrsid6768093 #}{\rtlch\fcs1 \af1 _x000d__x000a_\ltrch\fcs0 \cs18\v\f1\fs20\cf15\insrsid16658872\charrsid6768093 MNU[OPTNRACTYES][NOTAPP]@CHOICE@AMACTMNU}{\rtlch\fcs1 \af0 \ltrch\fcs0 \insrsid16658872\charrsid6768093 #}{\rtlch\fcs1 \af0 \ltrch\fcs0 _x000d__x000a_\cs17\v\fs20\cf9\lang1024\langfe1024\loch\af1\hich\af1\dbch\af31501\noproof\insrsid16658872\charrsid6768093 \hich\af1\dbch\af31501\loch\f1 &lt;/OptDel&gt;&lt;/DocAmend2&gt;}{\rtlch\fcs1 \af0 \ltrch\fcs0 \insrsid16658872\charrsid6768093 _x000d__x000a_\par }\pard \ltrpar\ql \li0\ri0\widctlpar\wrapdefault\aspalpha\aspnum\faauto\adjustright\rin0\lin0\itap0\pararsid16658872 {\rtlch\fcs1 \af0 \ltrch\fcs0 \cs17\v\fs20\cf9\lang1024\langfe1024\loch\af1\hich\af1\dbch\af31501\noproof\insrsid16658872\charrsid6768093 _x000d__x000a_\hich\af1\dbch\af31501\loch\f1 &lt;Article2&gt;&lt;OptDel&gt;}{\rtlch\fcs1 \af0 \ltrch\fcs0 \insrsid16658872\charrsid6768093 #}{\rtlch\fcs1 \af1 \ltrch\fcs0 \cs18\v\f1\fs20\cf15\insrsid16658872\charrsid6768093 MNU[OPTACTPARTYES][NOTAPP]@CHOICE@AMACTMNU}{\rtlch\fcs1 _x000d__x000a_\af0 \ltrch\fcs0 \insrsid16658872\charrsid6768093 #}{\rtlch\fcs1 \af0 \ltrch\fcs0 \cs17\v\fs20\cf9\lang1024\langfe1024\loch\af1\hich\af1\dbch\af31501\noproof\insrsid16658872\charrsid6768093 \hich\af1\dbch\af31501\loch\f1 &lt;/OptDel&gt;&lt;/Article2&gt;}{\rtlch\fcs1 _x000d__x000a_\af0 \ltrch\fcs0 \insrsid16658872\charrsid676809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6658872\charrsid6768093 #}{\rtlch\fcs1 \af1 \ltrch\fcs0 \cs18\v\f1\fs20\cf15\insrsid16658872\charrsid6768093 MNU[OPTLEFTAMACT][LEFTPROP]@CHOICE@AMACTMNU}{\rtlch\fcs1 \af0 \ltrch\fcs0 \insrsid16658872\charrsid6768093 #\cell Amendment\cell _x000d__x000a_}\pard\plain \ltrpar\ql \li0\ri0\widctlpar\intbl\wrapdefault\aspalpha\aspnum\faauto\adjustright\rin0\lin0 \rtlch\fcs1 \af0\afs20\alang1025 \ltrch\fcs0 \fs24\lang2057\langfe2057\cgrid\langnp2057\langfenp2057 {\rtlch\fcs1 \af0 \ltrch\fcs0 _x000d__x000a_\insrsid16658872\charrsid676809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6658872\charrsid6768093 ##\cell ##}{\rtlch\fcs1 \af0\afs24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658872 \rtlch\fcs1 \af0\afs20\alang1025 \ltrch\fcs0 \fs24\lang2057\langfe2057\cgrid\langnp2057\langfenp2057 {\rtlch\fcs1 \af0 \ltrch\fcs0 _x000d__x000a_\insrsid16658872\charrsid6768093 Or. }{\rtlch\fcs1 \af0 \ltrch\fcs0 \cs17\v\fs20\cf9\lang1024\langfe1024\loch\af1\hich\af1\dbch\af31501\noproof\insrsid16658872\charrsid6768093 \hich\af1\dbch\af31501\loch\f1 &lt;Original&gt;}{\rtlch\fcs1 \af0 \ltrch\fcs0 _x000d__x000a_\insrsid16658872\charrsid6768093 #}{\rtlch\fcs1 \af1 \ltrch\fcs0 \cs18\v\f1\fs20\cf15\insrsid16658872\charrsid6768093 MNU[ORLANGONE][ORLANGMORE]@CHOICE@ORLANGMNU}{\rtlch\fcs1 \af0 \ltrch\fcs0 \insrsid16658872\charrsid6768093 #}{\rtlch\fcs1 \af0 _x000d__x000a_\ltrch\fcs0 \cs17\v\fs20\cf9\lang1024\langfe1024\loch\af1\hich\af1\dbch\af31501\noproof\insrsid16658872\charrsid6768093 \hich\af1\dbch\af31501\loch\f1 &lt;/Original&gt;}{\rtlch\fcs1 \af0 \ltrch\fcs0 \insrsid16658872\charrsid6768093 _x000d__x000a_\par }\pard\plain \ltrpar\s22\qc \li0\ri0\sb240\sa240\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OptDel&gt;}{\rtlch\fcs1 \af0 \ltrch\fcs0 \insrsid16658872\charrsid6768093 #}{_x000d__x000a_\rtlch\fcs1 \af1 \ltrch\fcs0 \cs18\v\f1\fs20\cf15\insrsid16658872\charrsid6768093 MNU[CROSSREFNO][CROSSREFYES]@CHOICE@}{\rtlch\fcs1 \af0 \ltrch\fcs0 \insrsid16658872\charrsid6768093 #}{\rtlch\fcs1 \af0 \ltrch\fcs0 _x000d__x000a_\cs17\i0\v\fs20\cf9\lang1024\langfe1024\loch\af1\hich\af1\dbch\af31501\noproof\insrsid16658872\charrsid6768093 \hich\af1\dbch\af31501\loch\f1 &lt;/OptDel&gt;}{\rtlch\fcs1 \af0 \ltrch\fcs0 \insrsid16658872\charrsid6768093 _x000d__x000a_\par }\pard\plain \ltrpar\s23\qc \li0\ri0\sb240\sa240\keepn\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TitreJust&gt;}{\rtlch\fcs1 \af0 \ltrch\fcs0 \insrsid16658872\charrsid6768093 _x000d__x000a_Justification}{\rtlch\fcs1 \af0 \ltrch\fcs0 \cs17\i0\v\fs20\cf9\lang1024\langfe1024\loch\af1\hich\af1\dbch\af31501\noproof\insrsid16658872\charrsid6768093 \hich\af1\dbch\af31501\loch\f1 &lt;/TitreJust&gt;}{\rtlch\fcs1 \af0 \ltrch\fcs0 _x000d__x000a_\insrsid16658872\charrsid6768093 _x000d__x000a_\par }\pard\plain \ltrpar\s21\ql \li0\ri0\sa240\nowidctlpar\wrapdefault\aspalpha\aspnum\faauto\adjustright\rin0\lin0\itap0\pararsid16658872 \rtlch\fcs1 \af0\afs20\alang1025 \ltrch\fcs0 \i\fs24\lang2057\langfe2057\cgrid\langnp2057\langfenp2057 {\rtlch\fcs1 _x000d__x000a_\af0 \ltrch\fcs0 \cs17\i0\v\fs20\cf9\lang1024\langfe1024\loch\af1\hich\af1\dbch\af31501\noproof\insrsid16658872\charrsid6768093 \hich\af1\dbch\af31501\loch\f1 &lt;OptDelPrev&gt;}{\rtlch\fcs1 \af0 \ltrch\fcs0 \insrsid16658872\charrsid6768093 #}{\rtlch\fcs1 \af1 _x000d__x000a_\ltrch\fcs0 \cs18\v\f1\fs20\cf15\insrsid16658872\charrsid6768093 MNU[TEXTJUSTYES][TEXTJUSTNO]@CHOICE@}{\rtlch\fcs1 \af0 \ltrch\fcs0 \insrsid16658872\charrsid6768093 #}{\rtlch\fcs1 \af0 \ltrch\fcs0 _x000d__x000a_\cs17\i0\v\fs20\cf9\lang1024\langfe1024\loch\af1\hich\af1\dbch\af31501\noproof\insrsid16658872\charrsid6768093 \hich\af1\dbch\af31501\loch\f1 &lt;/OptDelPrev&gt;}{\rtlch\fcs1 \af0 \ltrch\fcs0 \insrsid16658872\charrsid6768093 _x000d__x000a_\par }\pard\plain \ltrpar\ql \li0\ri0\widctlpar\wrapdefault\aspalpha\aspnum\faauto\adjustright\rin0\lin0\itap0\pararsid16658872 \rtlch\fcs1 \af0\afs20\alang1025 \ltrch\fcs0 \fs24\lang2057\langfe2057\cgrid\langnp2057\langfenp2057 {\rtlch\fcs1 \af0 \ltrch\fcs0 _x000d__x000a_\cs17\v\fs20\cf9\lang1024\langfe1024\loch\af1\hich\af1\dbch\af31501\noproof\insrsid16658872\charrsid676809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2_x000d__x000a_bc655c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VTAMPART" w:val="Recital 1"/>
    <w:docVar w:name="TXTAUTHOR" w:val="Jonás Fernández"/>
    <w:docVar w:name="TXTLANGUE" w:val="EN"/>
    <w:docVar w:name="TXTLANGUEMIN" w:val="en"/>
    <w:docVar w:name="TXTNRC" w:val="0134/2023"/>
    <w:docVar w:name="TXTNRCOD" w:val="2023/0113"/>
    <w:docVar w:name="TXTNRCOM" w:val="(2023)0229"/>
    <w:docVar w:name="TXTNRFIRSTAM" w:val="1"/>
    <w:docVar w:name="TXTNRLASTAM" w:val="2"/>
    <w:docVar w:name="TXTNRPE" w:val="752.913"/>
    <w:docVar w:name="TXTPEorAP" w:val="PE"/>
    <w:docVar w:name="TXTROUTE" w:val="PR\1285454EN.docx"/>
    <w:docVar w:name="TXTTITLE" w:val="amending Directive 2014/59/EU and Regulation (EU) No 806/2014 as regards certain aspects of the minimum requirement for own funds and eligible liabilities"/>
    <w:docVar w:name="TXTVERSION" w:val="01-00"/>
  </w:docVars>
  <w:rsids>
    <w:rsidRoot w:val="006745DD"/>
    <w:rsid w:val="00011AAB"/>
    <w:rsid w:val="00012351"/>
    <w:rsid w:val="000139E5"/>
    <w:rsid w:val="00084DD2"/>
    <w:rsid w:val="00084E89"/>
    <w:rsid w:val="000A7B09"/>
    <w:rsid w:val="000B7489"/>
    <w:rsid w:val="000F1096"/>
    <w:rsid w:val="00120948"/>
    <w:rsid w:val="00123DD5"/>
    <w:rsid w:val="001277AE"/>
    <w:rsid w:val="00142215"/>
    <w:rsid w:val="001767E2"/>
    <w:rsid w:val="00187008"/>
    <w:rsid w:val="001B3829"/>
    <w:rsid w:val="001C01EE"/>
    <w:rsid w:val="001C5592"/>
    <w:rsid w:val="001C5B44"/>
    <w:rsid w:val="001C63AC"/>
    <w:rsid w:val="001C6FFC"/>
    <w:rsid w:val="001F7C7C"/>
    <w:rsid w:val="00212B84"/>
    <w:rsid w:val="002346B0"/>
    <w:rsid w:val="002667C3"/>
    <w:rsid w:val="002669B6"/>
    <w:rsid w:val="00290BED"/>
    <w:rsid w:val="002D13EE"/>
    <w:rsid w:val="002E33EE"/>
    <w:rsid w:val="002F40BB"/>
    <w:rsid w:val="002F4B02"/>
    <w:rsid w:val="00323EF8"/>
    <w:rsid w:val="00325A50"/>
    <w:rsid w:val="003316DD"/>
    <w:rsid w:val="00366A46"/>
    <w:rsid w:val="00370AC3"/>
    <w:rsid w:val="003824EE"/>
    <w:rsid w:val="003B4689"/>
    <w:rsid w:val="003C2068"/>
    <w:rsid w:val="003C37CF"/>
    <w:rsid w:val="004100B1"/>
    <w:rsid w:val="00426E47"/>
    <w:rsid w:val="0044405A"/>
    <w:rsid w:val="00455743"/>
    <w:rsid w:val="00461601"/>
    <w:rsid w:val="0046639E"/>
    <w:rsid w:val="00467F7B"/>
    <w:rsid w:val="0048211B"/>
    <w:rsid w:val="004C0915"/>
    <w:rsid w:val="004D424E"/>
    <w:rsid w:val="004E42C8"/>
    <w:rsid w:val="004E733D"/>
    <w:rsid w:val="004F3FA5"/>
    <w:rsid w:val="0051271F"/>
    <w:rsid w:val="00521F46"/>
    <w:rsid w:val="00551111"/>
    <w:rsid w:val="00551123"/>
    <w:rsid w:val="00557C21"/>
    <w:rsid w:val="00570A6A"/>
    <w:rsid w:val="00586E50"/>
    <w:rsid w:val="0059583D"/>
    <w:rsid w:val="005A42D9"/>
    <w:rsid w:val="005C2BEF"/>
    <w:rsid w:val="005D1A99"/>
    <w:rsid w:val="005D7609"/>
    <w:rsid w:val="005D7EE8"/>
    <w:rsid w:val="00620AA8"/>
    <w:rsid w:val="00642325"/>
    <w:rsid w:val="006606A1"/>
    <w:rsid w:val="006745DD"/>
    <w:rsid w:val="00682F54"/>
    <w:rsid w:val="006A17A3"/>
    <w:rsid w:val="006A1920"/>
    <w:rsid w:val="006A2F5D"/>
    <w:rsid w:val="006F1136"/>
    <w:rsid w:val="006F7907"/>
    <w:rsid w:val="00743189"/>
    <w:rsid w:val="00743D33"/>
    <w:rsid w:val="007932B3"/>
    <w:rsid w:val="00793EA9"/>
    <w:rsid w:val="007D6F68"/>
    <w:rsid w:val="00823E6B"/>
    <w:rsid w:val="00826780"/>
    <w:rsid w:val="00837CCD"/>
    <w:rsid w:val="00862812"/>
    <w:rsid w:val="008633CC"/>
    <w:rsid w:val="00865190"/>
    <w:rsid w:val="008719B9"/>
    <w:rsid w:val="00894ECE"/>
    <w:rsid w:val="00896BB4"/>
    <w:rsid w:val="008A7FB8"/>
    <w:rsid w:val="008C37B3"/>
    <w:rsid w:val="008F652F"/>
    <w:rsid w:val="009022B8"/>
    <w:rsid w:val="00914537"/>
    <w:rsid w:val="00917CC4"/>
    <w:rsid w:val="00932D06"/>
    <w:rsid w:val="009763DA"/>
    <w:rsid w:val="00980439"/>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59CE"/>
    <w:rsid w:val="00AD18C8"/>
    <w:rsid w:val="00AD7FA6"/>
    <w:rsid w:val="00AE4643"/>
    <w:rsid w:val="00AF0416"/>
    <w:rsid w:val="00B10CB4"/>
    <w:rsid w:val="00B13D6F"/>
    <w:rsid w:val="00B17848"/>
    <w:rsid w:val="00B23B72"/>
    <w:rsid w:val="00B42702"/>
    <w:rsid w:val="00B57B8B"/>
    <w:rsid w:val="00B85407"/>
    <w:rsid w:val="00B95702"/>
    <w:rsid w:val="00BC6489"/>
    <w:rsid w:val="00BD480C"/>
    <w:rsid w:val="00BE22DA"/>
    <w:rsid w:val="00C10E7F"/>
    <w:rsid w:val="00C20954"/>
    <w:rsid w:val="00C23324"/>
    <w:rsid w:val="00C42A41"/>
    <w:rsid w:val="00C47E74"/>
    <w:rsid w:val="00C57A72"/>
    <w:rsid w:val="00C73602"/>
    <w:rsid w:val="00CA2FA5"/>
    <w:rsid w:val="00CF60C8"/>
    <w:rsid w:val="00D30DE2"/>
    <w:rsid w:val="00D32924"/>
    <w:rsid w:val="00D503A3"/>
    <w:rsid w:val="00D73518"/>
    <w:rsid w:val="00D766E0"/>
    <w:rsid w:val="00DA0796"/>
    <w:rsid w:val="00DA6ED0"/>
    <w:rsid w:val="00DC5011"/>
    <w:rsid w:val="00E171B6"/>
    <w:rsid w:val="00E70D3B"/>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165F6"/>
  <w15:chartTrackingRefBased/>
  <w15:docId w15:val="{4DFF2750-D27A-4F52-B6FB-B2D7BB6C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F1136"/>
    <w:pPr>
      <w:tabs>
        <w:tab w:val="right" w:pos="454"/>
        <w:tab w:val="left" w:pos="737"/>
      </w:tabs>
      <w:ind w:left="737" w:hanging="737"/>
    </w:pPr>
    <w:rPr>
      <w:snapToGrid w:val="0"/>
      <w:sz w:val="18"/>
      <w:lang w:eastAsia="en-US"/>
    </w:rPr>
  </w:style>
  <w:style w:type="paragraph" w:customStyle="1" w:styleId="Lgendetitre">
    <w:name w:val="Légende titre"/>
    <w:basedOn w:val="Normal"/>
    <w:rsid w:val="006F1136"/>
    <w:pPr>
      <w:spacing w:before="240" w:after="240"/>
    </w:pPr>
    <w:rPr>
      <w:b/>
      <w:i/>
      <w:snapToGrid w:val="0"/>
      <w:lang w:eastAsia="en-US"/>
    </w:rPr>
  </w:style>
  <w:style w:type="paragraph" w:customStyle="1" w:styleId="Lgendestandard">
    <w:name w:val="Légende standard"/>
    <w:basedOn w:val="Normal"/>
    <w:rsid w:val="006F1136"/>
    <w:rPr>
      <w:sz w:val="18"/>
    </w:rPr>
  </w:style>
  <w:style w:type="paragraph" w:styleId="FootnoteText">
    <w:name w:val="footnote text"/>
    <w:basedOn w:val="Normal"/>
    <w:link w:val="FootnoteTextChar"/>
    <w:rsid w:val="006F1136"/>
    <w:rPr>
      <w:sz w:val="20"/>
    </w:rPr>
  </w:style>
  <w:style w:type="character" w:customStyle="1" w:styleId="FootnoteTextChar">
    <w:name w:val="Footnote Text Char"/>
    <w:basedOn w:val="DefaultParagraphFont"/>
    <w:link w:val="FootnoteText"/>
    <w:rsid w:val="006F1136"/>
  </w:style>
  <w:style w:type="character" w:styleId="FootnoteReference">
    <w:name w:val="footnote reference"/>
    <w:basedOn w:val="DefaultParagraphFont"/>
    <w:rsid w:val="006F1136"/>
    <w:rPr>
      <w:vertAlign w:val="superscript"/>
    </w:rPr>
  </w:style>
  <w:style w:type="character" w:customStyle="1" w:styleId="Normal6Char">
    <w:name w:val="Normal6 Char"/>
    <w:basedOn w:val="DefaultParagraphFont"/>
    <w:link w:val="Normal6"/>
    <w:locked/>
    <w:rsid w:val="00932D06"/>
    <w:rPr>
      <w:sz w:val="24"/>
      <w:lang w:val="nl-NL"/>
    </w:rPr>
  </w:style>
  <w:style w:type="paragraph" w:customStyle="1" w:styleId="Normal6">
    <w:name w:val="Normal6"/>
    <w:basedOn w:val="Normal"/>
    <w:link w:val="Normal6Char"/>
    <w:rsid w:val="00932D06"/>
    <w:pPr>
      <w:spacing w:after="120"/>
    </w:pPr>
  </w:style>
  <w:style w:type="character" w:customStyle="1" w:styleId="NormalBoldChar">
    <w:name w:val="NormalBold Char"/>
    <w:basedOn w:val="DefaultParagraphFont"/>
    <w:link w:val="NormalBold"/>
    <w:locked/>
    <w:rsid w:val="00932D06"/>
    <w:rPr>
      <w:b/>
      <w:sz w:val="24"/>
    </w:rPr>
  </w:style>
  <w:style w:type="paragraph" w:customStyle="1" w:styleId="ColumnHeading">
    <w:name w:val="ColumnHeading"/>
    <w:basedOn w:val="Normal"/>
    <w:rsid w:val="00932D06"/>
    <w:pPr>
      <w:spacing w:after="240"/>
      <w:jc w:val="center"/>
    </w:pPr>
    <w:rPr>
      <w:i/>
    </w:rPr>
  </w:style>
  <w:style w:type="paragraph" w:customStyle="1" w:styleId="AMNumberTabs0">
    <w:name w:val="AMNumberTabs"/>
    <w:basedOn w:val="Normal"/>
    <w:rsid w:val="00932D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32D06"/>
    <w:pPr>
      <w:jc w:val="right"/>
    </w:pPr>
  </w:style>
  <w:style w:type="paragraph" w:styleId="Footer">
    <w:name w:val="footer"/>
    <w:basedOn w:val="Normal"/>
    <w:link w:val="FooterChar"/>
    <w:semiHidden/>
    <w:rsid w:val="00932D06"/>
    <w:pPr>
      <w:tabs>
        <w:tab w:val="center" w:pos="4513"/>
        <w:tab w:val="right" w:pos="9026"/>
      </w:tabs>
    </w:pPr>
  </w:style>
  <w:style w:type="character" w:customStyle="1" w:styleId="FooterChar">
    <w:name w:val="Footer Char"/>
    <w:basedOn w:val="DefaultParagraphFont"/>
    <w:link w:val="Footer"/>
    <w:semiHidden/>
    <w:rsid w:val="00932D06"/>
    <w:rPr>
      <w:sz w:val="24"/>
    </w:rPr>
  </w:style>
  <w:style w:type="paragraph" w:styleId="BalloonText">
    <w:name w:val="Balloon Text"/>
    <w:basedOn w:val="Normal"/>
    <w:link w:val="BalloonTextChar"/>
    <w:semiHidden/>
    <w:unhideWhenUsed/>
    <w:rsid w:val="00557C21"/>
    <w:rPr>
      <w:rFonts w:ascii="Segoe UI" w:hAnsi="Segoe UI" w:cs="Segoe UI"/>
      <w:sz w:val="18"/>
      <w:szCs w:val="18"/>
    </w:rPr>
  </w:style>
  <w:style w:type="character" w:customStyle="1" w:styleId="BalloonTextChar">
    <w:name w:val="Balloon Text Char"/>
    <w:basedOn w:val="DefaultParagraphFont"/>
    <w:link w:val="BalloonText"/>
    <w:semiHidden/>
    <w:rsid w:val="00557C21"/>
    <w:rPr>
      <w:rFonts w:ascii="Segoe UI" w:hAnsi="Segoe UI" w:cs="Segoe UI"/>
      <w:sz w:val="18"/>
      <w:szCs w:val="18"/>
    </w:rPr>
  </w:style>
  <w:style w:type="character" w:styleId="CommentReference">
    <w:name w:val="annotation reference"/>
    <w:basedOn w:val="DefaultParagraphFont"/>
    <w:rsid w:val="001C63AC"/>
    <w:rPr>
      <w:sz w:val="16"/>
      <w:szCs w:val="16"/>
    </w:rPr>
  </w:style>
  <w:style w:type="paragraph" w:styleId="CommentText">
    <w:name w:val="annotation text"/>
    <w:basedOn w:val="Normal"/>
    <w:link w:val="CommentTextChar"/>
    <w:rsid w:val="001C63AC"/>
    <w:rPr>
      <w:sz w:val="20"/>
    </w:rPr>
  </w:style>
  <w:style w:type="character" w:customStyle="1" w:styleId="CommentTextChar">
    <w:name w:val="Comment Text Char"/>
    <w:basedOn w:val="DefaultParagraphFont"/>
    <w:link w:val="CommentText"/>
    <w:rsid w:val="001C63AC"/>
  </w:style>
  <w:style w:type="paragraph" w:styleId="CommentSubject">
    <w:name w:val="annotation subject"/>
    <w:basedOn w:val="CommentText"/>
    <w:next w:val="CommentText"/>
    <w:link w:val="CommentSubjectChar"/>
    <w:semiHidden/>
    <w:unhideWhenUsed/>
    <w:rsid w:val="001C63AC"/>
    <w:rPr>
      <w:b/>
      <w:bCs/>
    </w:rPr>
  </w:style>
  <w:style w:type="character" w:customStyle="1" w:styleId="CommentSubjectChar">
    <w:name w:val="Comment Subject Char"/>
    <w:basedOn w:val="CommentTextChar"/>
    <w:link w:val="CommentSubject"/>
    <w:semiHidden/>
    <w:rsid w:val="001C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CF705-FD4E-4369-9412-E3C7260FC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6624</Words>
  <Characters>40343</Characters>
  <Application>Microsoft Office Word</Application>
  <DocSecurity>0</DocSecurity>
  <Lines>1391</Lines>
  <Paragraphs>279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TURLUI Emil-Gabriel</dc:creator>
  <cp:lastModifiedBy>THYS Christel</cp:lastModifiedBy>
  <cp:revision>2</cp:revision>
  <cp:lastPrinted>2004-11-04T09:41:00Z</cp:lastPrinted>
  <dcterms:created xsi:type="dcterms:W3CDTF">2023-09-26T09:31:00Z</dcterms:created>
  <dcterms:modified xsi:type="dcterms:W3CDTF">2023-09-26T09:31:00Z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1285454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PR\1285454NL.docx</vt:lpwstr>
  </property>
  <property fmtid="{D5CDD505-2E9C-101B-9397-08002B2CF9AE}" pid="10" name="LastEdited with">
    <vt:lpwstr>9.14.1 Build [20230315]</vt:lpwstr>
  </property>
  <property fmtid="{D5CDD505-2E9C-101B-9397-08002B2CF9AE}" pid="11" name="PE number">
    <vt:lpwstr>752.913</vt:lpwstr>
  </property>
  <property fmtid="{D5CDD505-2E9C-101B-9397-08002B2CF9AE}" pid="12" name="SDLStudio">
    <vt:lpwstr/>
  </property>
  <property fmtid="{D5CDD505-2E9C-101B-9397-08002B2CF9AE}" pid="13" name="SendToEpades">
    <vt:lpwstr>OK - 2023/09/11 11:42</vt:lpwstr>
  </property>
  <property fmtid="{D5CDD505-2E9C-101B-9397-08002B2CF9AE}" pid="14" name="Bookout">
    <vt:lpwstr>OK - 2023/09/26 11:31</vt:lpwstr>
  </property>
</Properties>
</file>