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216F9D" w:rsidRPr="00BC7082" w:rsidTr="00DA0796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BC7082" w:rsidRDefault="00956D07" w:rsidP="00DA0796">
            <w:pPr>
              <w:pStyle w:val="EPName"/>
            </w:pPr>
            <w:bookmarkStart w:id="0" w:name="_GoBack"/>
            <w:bookmarkEnd w:id="0"/>
            <w:r w:rsidRPr="00BC7082">
              <w:t>Parlament Europejski</w:t>
            </w:r>
          </w:p>
          <w:p w:rsidR="00B13D6F" w:rsidRPr="00BC7082" w:rsidRDefault="00956D07" w:rsidP="006F1136">
            <w:pPr>
              <w:pStyle w:val="EPTerm"/>
            </w:pPr>
            <w:r w:rsidRPr="00BC7082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BC7082" w:rsidRDefault="00956D07" w:rsidP="00DA0796">
            <w:pPr>
              <w:pStyle w:val="EPLogo"/>
            </w:pPr>
            <w:r w:rsidRPr="00BC7082">
              <w:rPr>
                <w:noProof/>
                <w:lang w:eastAsia="pl-PL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BC7082" w:rsidRDefault="00461601" w:rsidP="00461601">
      <w:pPr>
        <w:pStyle w:val="LineTop"/>
      </w:pPr>
    </w:p>
    <w:p w:rsidR="00461601" w:rsidRPr="00956D07" w:rsidRDefault="00956D07" w:rsidP="00461601">
      <w:pPr>
        <w:pStyle w:val="EPBody"/>
        <w:rPr>
          <w:lang w:val="it-IT"/>
        </w:rPr>
      </w:pPr>
      <w:r w:rsidRPr="00956D07">
        <w:rPr>
          <w:rStyle w:val="HideTWBExt"/>
          <w:lang w:val="it-IT"/>
        </w:rPr>
        <w:t>&lt;</w:t>
      </w:r>
      <w:r w:rsidRPr="00956D07">
        <w:rPr>
          <w:rStyle w:val="HideTWBExt"/>
          <w:i w:val="0"/>
          <w:lang w:val="it-IT"/>
        </w:rPr>
        <w:t>Commission</w:t>
      </w:r>
      <w:r w:rsidRPr="00956D07">
        <w:rPr>
          <w:rStyle w:val="HideTWBExt"/>
          <w:lang w:val="it-IT"/>
        </w:rPr>
        <w:t>&gt;</w:t>
      </w:r>
      <w:r w:rsidRPr="00956D07">
        <w:rPr>
          <w:rStyle w:val="HideTWBInt"/>
          <w:color w:val="auto"/>
          <w:lang w:val="it-IT"/>
        </w:rPr>
        <w:t>{ECON}</w:t>
      </w:r>
      <w:r w:rsidRPr="00956D07">
        <w:rPr>
          <w:lang w:val="it-IT"/>
        </w:rPr>
        <w:t>Komisja Gospodarcza i Monetarna</w:t>
      </w:r>
      <w:r w:rsidRPr="00956D07">
        <w:rPr>
          <w:rStyle w:val="HideTWBExt"/>
          <w:lang w:val="it-IT"/>
        </w:rPr>
        <w:t>&lt;/</w:t>
      </w:r>
      <w:r w:rsidRPr="00956D07">
        <w:rPr>
          <w:rStyle w:val="HideTWBExt"/>
          <w:i w:val="0"/>
          <w:lang w:val="it-IT"/>
        </w:rPr>
        <w:t>Commission</w:t>
      </w:r>
      <w:r w:rsidRPr="00956D07">
        <w:rPr>
          <w:rStyle w:val="HideTWBExt"/>
          <w:lang w:val="it-IT"/>
        </w:rPr>
        <w:t>&gt;</w:t>
      </w:r>
    </w:p>
    <w:p w:rsidR="00461601" w:rsidRPr="00956D07" w:rsidRDefault="00461601" w:rsidP="00461601">
      <w:pPr>
        <w:pStyle w:val="LineBottom"/>
        <w:rPr>
          <w:lang w:val="it-IT"/>
        </w:rPr>
      </w:pPr>
    </w:p>
    <w:p w:rsidR="00793EA9" w:rsidRPr="00956D07" w:rsidRDefault="00956D07">
      <w:pPr>
        <w:pStyle w:val="CoverReference"/>
        <w:rPr>
          <w:lang w:val="it-IT"/>
        </w:rPr>
      </w:pPr>
      <w:r w:rsidRPr="00956D07">
        <w:rPr>
          <w:rStyle w:val="HideTWBExt"/>
          <w:b w:val="0"/>
          <w:lang w:val="it-IT"/>
        </w:rPr>
        <w:t>&lt;RefProc&gt;</w:t>
      </w:r>
      <w:r w:rsidRPr="00956D07">
        <w:rPr>
          <w:lang w:val="it-IT"/>
        </w:rPr>
        <w:t>2023/0113</w:t>
      </w:r>
      <w:r w:rsidRPr="00956D07">
        <w:rPr>
          <w:rStyle w:val="HideTWBExt"/>
          <w:b w:val="0"/>
          <w:lang w:val="it-IT"/>
        </w:rPr>
        <w:t>&lt;/RefProc&gt;&lt;RefTypeProc&gt;</w:t>
      </w:r>
      <w:r w:rsidRPr="00956D07">
        <w:rPr>
          <w:lang w:val="it-IT"/>
        </w:rPr>
        <w:t>(COD)</w:t>
      </w:r>
      <w:r w:rsidRPr="00956D07">
        <w:rPr>
          <w:rStyle w:val="HideTWBExt"/>
          <w:b w:val="0"/>
          <w:lang w:val="it-IT"/>
        </w:rPr>
        <w:t>&lt;/RefTypeProc&gt;</w:t>
      </w:r>
    </w:p>
    <w:p w:rsidR="00793EA9" w:rsidRPr="00956D07" w:rsidRDefault="00956D07">
      <w:pPr>
        <w:pStyle w:val="CoverDate"/>
        <w:rPr>
          <w:lang w:val="it-IT"/>
        </w:rPr>
      </w:pPr>
      <w:r w:rsidRPr="00956D07">
        <w:rPr>
          <w:rStyle w:val="HideTWBExt"/>
          <w:lang w:val="it-IT"/>
        </w:rPr>
        <w:t>&lt;Date&gt;</w:t>
      </w:r>
      <w:r w:rsidRPr="00956D07">
        <w:rPr>
          <w:rStyle w:val="HideTWBInt"/>
          <w:color w:val="auto"/>
          <w:lang w:val="it-IT"/>
        </w:rPr>
        <w:t>{11/09/2023}</w:t>
      </w:r>
      <w:r w:rsidRPr="00956D07">
        <w:rPr>
          <w:lang w:val="it-IT"/>
        </w:rPr>
        <w:t>11.9.2023</w:t>
      </w:r>
      <w:r w:rsidRPr="00956D07">
        <w:rPr>
          <w:rStyle w:val="HideTWBExt"/>
          <w:lang w:val="it-IT"/>
        </w:rPr>
        <w:t>&lt;/Date&gt;</w:t>
      </w:r>
    </w:p>
    <w:p w:rsidR="00793EA9" w:rsidRPr="00956D07" w:rsidRDefault="00956D07">
      <w:pPr>
        <w:pStyle w:val="CoverDocType"/>
        <w:rPr>
          <w:lang w:val="it-IT"/>
        </w:rPr>
      </w:pPr>
      <w:r w:rsidRPr="00956D07">
        <w:rPr>
          <w:rStyle w:val="HideTWBExt"/>
          <w:b w:val="0"/>
          <w:lang w:val="it-IT"/>
        </w:rPr>
        <w:t>&lt;RefProcLect&gt;</w:t>
      </w:r>
      <w:r w:rsidRPr="00956D07">
        <w:rPr>
          <w:lang w:val="it-IT"/>
        </w:rPr>
        <w:t>***I</w:t>
      </w:r>
      <w:r w:rsidRPr="00956D07">
        <w:rPr>
          <w:rStyle w:val="HideTWBExt"/>
          <w:b w:val="0"/>
          <w:lang w:val="it-IT"/>
        </w:rPr>
        <w:t>&lt;/RefProcLect&gt;</w:t>
      </w:r>
    </w:p>
    <w:p w:rsidR="00793EA9" w:rsidRPr="00956D07" w:rsidRDefault="00956D07">
      <w:pPr>
        <w:pStyle w:val="CoverDocType24a"/>
        <w:rPr>
          <w:lang w:val="it-IT"/>
        </w:rPr>
      </w:pPr>
      <w:r w:rsidRPr="00956D07">
        <w:rPr>
          <w:rStyle w:val="HideTWBExt"/>
          <w:b w:val="0"/>
          <w:lang w:val="it-IT"/>
        </w:rPr>
        <w:t>&lt;TitreType&gt;</w:t>
      </w:r>
      <w:r w:rsidRPr="00956D07">
        <w:rPr>
          <w:lang w:val="it-IT"/>
        </w:rPr>
        <w:t xml:space="preserve">PROJEKT </w:t>
      </w:r>
      <w:r w:rsidRPr="00956D07">
        <w:rPr>
          <w:lang w:val="it-IT"/>
        </w:rPr>
        <w:t>SPRAWOZDANIA</w:t>
      </w:r>
      <w:r w:rsidRPr="00956D07">
        <w:rPr>
          <w:rStyle w:val="HideTWBExt"/>
          <w:b w:val="0"/>
          <w:lang w:val="it-IT"/>
        </w:rPr>
        <w:t>&lt;/TitreType&gt;</w:t>
      </w:r>
    </w:p>
    <w:p w:rsidR="00793EA9" w:rsidRPr="00BC7082" w:rsidRDefault="00956D07">
      <w:pPr>
        <w:pStyle w:val="CoverNormal"/>
      </w:pPr>
      <w:r w:rsidRPr="00BC7082">
        <w:rPr>
          <w:rStyle w:val="HideTWBExt"/>
        </w:rPr>
        <w:t>&lt;Titre&gt;</w:t>
      </w:r>
      <w:r w:rsidRPr="00BC7082">
        <w:t>w sprawie wniosku dotyczącego dyrektywy Parlamentu Europejskiego i Rady zmieniającej dyrektywę 2014/59/UE i rozporządzenie (UE) nr 806/2014 w odniesieniu do niektórych aspektów minimalnego wymogu w zakresie funduszy własnych</w:t>
      </w:r>
      <w:r w:rsidRPr="00BC7082">
        <w:t xml:space="preserve"> i zobowiązań kwalifikowalnych</w:t>
      </w:r>
      <w:r w:rsidRPr="00BC7082">
        <w:rPr>
          <w:rStyle w:val="HideTWBExt"/>
        </w:rPr>
        <w:t>&lt;/Titre&gt;</w:t>
      </w:r>
    </w:p>
    <w:p w:rsidR="00793EA9" w:rsidRPr="00956D07" w:rsidRDefault="00956D07">
      <w:pPr>
        <w:pStyle w:val="CoverNormal24a"/>
        <w:rPr>
          <w:lang w:val="pt-PT"/>
        </w:rPr>
      </w:pPr>
      <w:r w:rsidRPr="00956D07">
        <w:rPr>
          <w:rStyle w:val="HideTWBExt"/>
          <w:lang w:val="pt-PT"/>
        </w:rPr>
        <w:t>&lt;DocRef&gt;</w:t>
      </w:r>
      <w:r w:rsidRPr="00956D07">
        <w:rPr>
          <w:lang w:val="pt-PT"/>
        </w:rPr>
        <w:t>(COM(2023)0229 – C9</w:t>
      </w:r>
      <w:r w:rsidRPr="00956D07">
        <w:rPr>
          <w:lang w:val="pt-PT"/>
        </w:rPr>
        <w:noBreakHyphen/>
        <w:t>0134/2023 – 2023/0113(COD))</w:t>
      </w:r>
      <w:r w:rsidRPr="00956D07">
        <w:rPr>
          <w:rStyle w:val="HideTWBExt"/>
          <w:lang w:val="pt-PT"/>
        </w:rPr>
        <w:t>&lt;/DocRef&gt;</w:t>
      </w:r>
    </w:p>
    <w:p w:rsidR="00793EA9" w:rsidRPr="00956D07" w:rsidRDefault="00956D07">
      <w:pPr>
        <w:pStyle w:val="CoverNormal24a"/>
        <w:rPr>
          <w:lang w:val="it-IT"/>
        </w:rPr>
      </w:pPr>
      <w:r w:rsidRPr="00956D07">
        <w:rPr>
          <w:rStyle w:val="HideTWBExt"/>
          <w:lang w:val="it-IT"/>
        </w:rPr>
        <w:t>&lt;Commission&gt;</w:t>
      </w:r>
      <w:r w:rsidRPr="00956D07">
        <w:rPr>
          <w:rStyle w:val="HideTWBInt"/>
          <w:color w:val="auto"/>
          <w:lang w:val="it-IT"/>
        </w:rPr>
        <w:t>{ECON}</w:t>
      </w:r>
      <w:r w:rsidRPr="00956D07">
        <w:rPr>
          <w:lang w:val="it-IT"/>
        </w:rPr>
        <w:t>Komisja Gospodarcza i Monetarna</w:t>
      </w:r>
      <w:r w:rsidRPr="00956D07">
        <w:rPr>
          <w:rStyle w:val="HideTWBExt"/>
          <w:lang w:val="it-IT"/>
        </w:rPr>
        <w:t>&lt;/Commission&gt;</w:t>
      </w:r>
    </w:p>
    <w:p w:rsidR="00793EA9" w:rsidRPr="00956D07" w:rsidRDefault="00956D07">
      <w:pPr>
        <w:pStyle w:val="CoverNormal24a"/>
        <w:rPr>
          <w:lang w:val="it-IT"/>
        </w:rPr>
      </w:pPr>
      <w:r w:rsidRPr="00956D07">
        <w:rPr>
          <w:lang w:val="it-IT"/>
        </w:rPr>
        <w:t xml:space="preserve">Sprawozdawca: </w:t>
      </w:r>
      <w:r w:rsidRPr="00956D07">
        <w:rPr>
          <w:rStyle w:val="HideTWBExt"/>
          <w:lang w:val="it-IT"/>
        </w:rPr>
        <w:t>&lt;Depute&gt;</w:t>
      </w:r>
      <w:r w:rsidRPr="00956D07">
        <w:rPr>
          <w:lang w:val="it-IT"/>
        </w:rPr>
        <w:t>Jonás Fernández</w:t>
      </w:r>
      <w:r w:rsidRPr="00956D07">
        <w:rPr>
          <w:rStyle w:val="HideTWBExt"/>
          <w:lang w:val="it-IT"/>
        </w:rPr>
        <w:t>&lt;/Depute&gt;</w:t>
      </w:r>
    </w:p>
    <w:p w:rsidR="001C5B44" w:rsidRPr="00956D07" w:rsidRDefault="001C5B44" w:rsidP="001C5B44">
      <w:pPr>
        <w:pStyle w:val="CoverNormal"/>
        <w:rPr>
          <w:lang w:val="it-IT"/>
        </w:rPr>
      </w:pPr>
    </w:p>
    <w:p w:rsidR="006F1136" w:rsidRPr="00BC7082" w:rsidRDefault="00956D07" w:rsidP="00DA0796">
      <w:r w:rsidRPr="00956D07">
        <w:rPr>
          <w:lang w:val="it-IT"/>
        </w:rPr>
        <w:br w:type="page"/>
      </w:r>
      <w:fldSimple w:instr=" TITLE  \* MERGEFORMAT ">
        <w:r>
          <w:t>PR_COD_1amCom</w:t>
        </w:r>
      </w:fldSimple>
    </w:p>
    <w:p w:rsidR="006F1136" w:rsidRPr="00BC7082" w:rsidRDefault="006F1136" w:rsidP="00DA0796"/>
    <w:p w:rsidR="006F1136" w:rsidRPr="00BC7082" w:rsidRDefault="006F1136" w:rsidP="00DA0796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216F9D" w:rsidRPr="00BC7082">
        <w:tc>
          <w:tcPr>
            <w:tcW w:w="5811" w:type="dxa"/>
          </w:tcPr>
          <w:p w:rsidR="006F1136" w:rsidRPr="00BC7082" w:rsidRDefault="00956D07" w:rsidP="00DA0796">
            <w:pPr>
              <w:pStyle w:val="Lgendetitre"/>
            </w:pPr>
            <w:r w:rsidRPr="00BC7082">
              <w:t>Objaśnienie używanych znaków</w:t>
            </w:r>
          </w:p>
        </w:tc>
      </w:tr>
      <w:tr w:rsidR="00216F9D" w:rsidRPr="00BC7082" w:rsidTr="00DA0796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6F1136" w:rsidRPr="00BC7082" w:rsidRDefault="00956D07" w:rsidP="00DA0796">
            <w:pPr>
              <w:pStyle w:val="Lgendesigne"/>
            </w:pPr>
            <w:r w:rsidRPr="00BC7082">
              <w:tab/>
              <w:t>*</w:t>
            </w:r>
            <w:r w:rsidRPr="00BC7082">
              <w:tab/>
              <w:t>Procedura konsultacji</w:t>
            </w:r>
          </w:p>
          <w:p w:rsidR="006F1136" w:rsidRPr="00BC7082" w:rsidRDefault="00956D07" w:rsidP="00DA0796">
            <w:pPr>
              <w:pStyle w:val="Lgendesigne"/>
            </w:pPr>
            <w:r w:rsidRPr="00BC7082">
              <w:tab/>
              <w:t>***</w:t>
            </w:r>
            <w:r w:rsidRPr="00BC7082">
              <w:tab/>
              <w:t>Procedura zgody</w:t>
            </w:r>
          </w:p>
          <w:p w:rsidR="006F1136" w:rsidRPr="00BC7082" w:rsidRDefault="00956D07" w:rsidP="00DA0796">
            <w:pPr>
              <w:pStyle w:val="Lgendesigne"/>
            </w:pPr>
            <w:r w:rsidRPr="00BC7082">
              <w:tab/>
              <w:t>***I</w:t>
            </w:r>
            <w:r w:rsidRPr="00BC7082">
              <w:tab/>
              <w:t>Zwykła procedura ustawodawcza (pierwsze czytanie)</w:t>
            </w:r>
          </w:p>
          <w:p w:rsidR="006F1136" w:rsidRPr="00BC7082" w:rsidRDefault="00956D07" w:rsidP="00DA0796">
            <w:pPr>
              <w:pStyle w:val="Lgendesigne"/>
            </w:pPr>
            <w:r w:rsidRPr="00BC7082">
              <w:tab/>
              <w:t>***II</w:t>
            </w:r>
            <w:r w:rsidRPr="00BC7082">
              <w:tab/>
              <w:t>Zwykła procedura ustawodawcza (drugie czytanie)</w:t>
            </w:r>
          </w:p>
          <w:p w:rsidR="006F1136" w:rsidRPr="00BC7082" w:rsidRDefault="00956D07" w:rsidP="00DA0796">
            <w:pPr>
              <w:pStyle w:val="Lgendesigne"/>
            </w:pPr>
            <w:r w:rsidRPr="00BC7082">
              <w:tab/>
              <w:t>***III</w:t>
            </w:r>
            <w:r w:rsidRPr="00BC7082">
              <w:tab/>
              <w:t>Zwykła procedura ustawodawcza (trzecie czytanie)</w:t>
            </w:r>
          </w:p>
          <w:p w:rsidR="006F1136" w:rsidRPr="00BC7082" w:rsidRDefault="006F1136" w:rsidP="00DA0796">
            <w:pPr>
              <w:pStyle w:val="Lgendestandard"/>
            </w:pPr>
          </w:p>
          <w:p w:rsidR="006F1136" w:rsidRPr="00BC7082" w:rsidRDefault="00956D07" w:rsidP="00DA0796">
            <w:pPr>
              <w:pStyle w:val="Lgendestandard"/>
            </w:pPr>
            <w:r w:rsidRPr="00BC7082">
              <w:t>(Wskazana</w:t>
            </w:r>
            <w:r w:rsidRPr="00BC7082">
              <w:t xml:space="preserve"> procedura opiera się na podstawie prawnej zaproponowanej w projekcie aktu.)</w:t>
            </w:r>
          </w:p>
          <w:p w:rsidR="006F1136" w:rsidRPr="00BC7082" w:rsidRDefault="006F1136" w:rsidP="00DA0796">
            <w:pPr>
              <w:pStyle w:val="Lgendestandard"/>
            </w:pPr>
          </w:p>
        </w:tc>
      </w:tr>
    </w:tbl>
    <w:p w:rsidR="006F1136" w:rsidRPr="00BC7082" w:rsidRDefault="006F1136" w:rsidP="00DA0796"/>
    <w:p w:rsidR="006F1136" w:rsidRPr="00BC7082" w:rsidRDefault="006F1136" w:rsidP="00DA0796"/>
    <w:p w:rsidR="006F1136" w:rsidRPr="00BC7082" w:rsidRDefault="006F1136" w:rsidP="00DA0796"/>
    <w:p w:rsidR="006F1136" w:rsidRPr="00BC7082" w:rsidRDefault="006F1136" w:rsidP="00DA0796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216F9D" w:rsidRPr="00BC7082">
        <w:tc>
          <w:tcPr>
            <w:tcW w:w="5811" w:type="dxa"/>
          </w:tcPr>
          <w:p w:rsidR="006F1136" w:rsidRPr="00BC7082" w:rsidRDefault="00956D07" w:rsidP="00DA0796">
            <w:pPr>
              <w:pStyle w:val="Lgendetitre"/>
            </w:pPr>
            <w:r w:rsidRPr="00BC7082">
              <w:t>Poprawki do projektu aktu</w:t>
            </w:r>
          </w:p>
        </w:tc>
      </w:tr>
      <w:tr w:rsidR="00216F9D" w:rsidRPr="00BC7082" w:rsidTr="00DA0796">
        <w:trPr>
          <w:trHeight w:val="4496"/>
        </w:trPr>
        <w:tc>
          <w:tcPr>
            <w:tcW w:w="5811" w:type="dxa"/>
          </w:tcPr>
          <w:p w:rsidR="006F1136" w:rsidRPr="00BC7082" w:rsidRDefault="00956D07" w:rsidP="00DA0796">
            <w:pPr>
              <w:pStyle w:val="Lgendestandard"/>
              <w:rPr>
                <w:szCs w:val="24"/>
              </w:rPr>
            </w:pPr>
            <w:r w:rsidRPr="00BC7082">
              <w:rPr>
                <w:b/>
              </w:rPr>
              <w:t>Poprawki Parlamentu w postaci dwóch kolumn</w:t>
            </w:r>
          </w:p>
          <w:p w:rsidR="006F1136" w:rsidRPr="00BC7082" w:rsidRDefault="006F1136" w:rsidP="00DA0796">
            <w:pPr>
              <w:pStyle w:val="Lgendestandard"/>
              <w:rPr>
                <w:szCs w:val="24"/>
              </w:rPr>
            </w:pPr>
          </w:p>
          <w:p w:rsidR="006F1136" w:rsidRPr="00BC7082" w:rsidRDefault="00956D07" w:rsidP="00DA0796">
            <w:pPr>
              <w:pStyle w:val="Lgendestandard"/>
              <w:rPr>
                <w:szCs w:val="24"/>
              </w:rPr>
            </w:pPr>
            <w:r w:rsidRPr="00BC7082">
              <w:t xml:space="preserve">Skreślenia zaznacza się </w:t>
            </w:r>
            <w:r w:rsidRPr="00BC7082">
              <w:rPr>
                <w:b/>
                <w:bCs/>
                <w:i/>
                <w:iCs/>
              </w:rPr>
              <w:t>wytłuszczonym drukiem i kursywą</w:t>
            </w:r>
            <w:r w:rsidRPr="00BC7082">
              <w:t xml:space="preserve"> w lewej kolumnie. </w:t>
            </w:r>
            <w:r w:rsidRPr="00BC7082">
              <w:t xml:space="preserve">Zmianę brzmienia zaznacza się </w:t>
            </w:r>
            <w:r w:rsidRPr="00BC7082">
              <w:rPr>
                <w:b/>
                <w:i/>
              </w:rPr>
              <w:t>wytłuszczonym drukiem i kursywą</w:t>
            </w:r>
            <w:r w:rsidRPr="00BC7082">
              <w:t xml:space="preserve"> w obu kolumnach. Nowy tekst zaznacza się </w:t>
            </w:r>
            <w:r w:rsidRPr="00BC7082">
              <w:rPr>
                <w:b/>
                <w:i/>
              </w:rPr>
              <w:t>wytłuszczonym drukiem i kursywą</w:t>
            </w:r>
            <w:r w:rsidRPr="00BC7082">
              <w:t xml:space="preserve"> w prawej kolumnie.</w:t>
            </w:r>
          </w:p>
          <w:p w:rsidR="006F1136" w:rsidRPr="00BC7082" w:rsidRDefault="006F1136" w:rsidP="00DA0796">
            <w:pPr>
              <w:pStyle w:val="Lgendestandard"/>
              <w:rPr>
                <w:szCs w:val="24"/>
              </w:rPr>
            </w:pPr>
          </w:p>
          <w:p w:rsidR="006F1136" w:rsidRPr="00BC7082" w:rsidRDefault="00956D07" w:rsidP="00DA0796">
            <w:pPr>
              <w:pStyle w:val="Lgendestandard"/>
              <w:rPr>
                <w:szCs w:val="24"/>
              </w:rPr>
            </w:pPr>
            <w:r w:rsidRPr="00BC7082">
              <w:t xml:space="preserve">Pierwszy i drugi wiersz nagłówka każdej poprawki wskazuje element rozpatrywanego projektu aktu, </w:t>
            </w:r>
            <w:r w:rsidRPr="00BC7082">
              <w:t>którego dotyczy poprawka. Jeżeli poprawka odnosi się do obowiązującego aktu, do którego zmiany zmierza projekt aktu, nagłówek zawiera dodatkowo trzeci wiersz, w którym wskazuje się odpowiednio obowiązujący akt i przepis, którego dotyczy poprawka.</w:t>
            </w:r>
          </w:p>
          <w:p w:rsidR="006F1136" w:rsidRPr="00BC7082" w:rsidRDefault="006F1136" w:rsidP="00DA0796">
            <w:pPr>
              <w:pStyle w:val="Lgendestandard"/>
              <w:rPr>
                <w:szCs w:val="24"/>
              </w:rPr>
            </w:pPr>
          </w:p>
          <w:p w:rsidR="006F1136" w:rsidRPr="00BC7082" w:rsidRDefault="00956D07" w:rsidP="00DA0796">
            <w:pPr>
              <w:pStyle w:val="Lgendestandard"/>
              <w:rPr>
                <w:b/>
                <w:szCs w:val="24"/>
              </w:rPr>
            </w:pPr>
            <w:r w:rsidRPr="00BC7082">
              <w:rPr>
                <w:b/>
              </w:rPr>
              <w:t>Poprawki</w:t>
            </w:r>
            <w:r w:rsidRPr="00BC7082">
              <w:rPr>
                <w:b/>
              </w:rPr>
              <w:t xml:space="preserve"> Parlamentu w postaci tekstu skonsolidowanego</w:t>
            </w:r>
          </w:p>
          <w:p w:rsidR="006F1136" w:rsidRPr="00BC7082" w:rsidRDefault="006F1136" w:rsidP="00DA0796">
            <w:pPr>
              <w:pStyle w:val="Lgendestandard"/>
              <w:rPr>
                <w:szCs w:val="24"/>
              </w:rPr>
            </w:pPr>
          </w:p>
          <w:p w:rsidR="006F1136" w:rsidRPr="00BC7082" w:rsidRDefault="00956D07" w:rsidP="00DA0796">
            <w:pPr>
              <w:pStyle w:val="Lgendestandard"/>
              <w:rPr>
                <w:szCs w:val="24"/>
              </w:rPr>
            </w:pPr>
            <w:r w:rsidRPr="00BC7082">
              <w:t xml:space="preserve">Nowe fragmenty tekstu zaznacza się </w:t>
            </w:r>
            <w:r w:rsidRPr="00BC7082">
              <w:rPr>
                <w:b/>
                <w:bCs/>
                <w:i/>
                <w:iCs/>
              </w:rPr>
              <w:t>wytłuszczonym drukiem i kursywą</w:t>
            </w:r>
            <w:r w:rsidRPr="00BC7082">
              <w:t>. Fragmenty tekstu, które zostały skreślone, zaznacza się za pomocą symbolu ▌ lub przekreśla. Zmianę brzmienia zaznacza się przez wyróżnienie n</w:t>
            </w:r>
            <w:r w:rsidRPr="00BC7082">
              <w:t xml:space="preserve">owego tekstu </w:t>
            </w:r>
            <w:r w:rsidRPr="00BC7082">
              <w:rPr>
                <w:b/>
                <w:bCs/>
                <w:i/>
                <w:iCs/>
              </w:rPr>
              <w:t>wytłuszczonym drukiem i kursywą</w:t>
            </w:r>
            <w:r w:rsidRPr="00BC7082">
              <w:t xml:space="preserve"> i usunięcie lub przekreślenie zastąpionego tekstu. </w:t>
            </w:r>
          </w:p>
          <w:p w:rsidR="006F1136" w:rsidRPr="00BC7082" w:rsidRDefault="00956D07" w:rsidP="00DA0796">
            <w:pPr>
              <w:pStyle w:val="Lgendestandard"/>
            </w:pPr>
            <w:r w:rsidRPr="00BC7082">
              <w:t>Tytułem wyjątku nie zaznacza się zmian o charakterze ściśle technicznym wprowadzonych przez służby w celu opracowania końcowej wersji tekstu.</w:t>
            </w:r>
          </w:p>
          <w:p w:rsidR="006F1136" w:rsidRPr="00BC7082" w:rsidRDefault="006F1136" w:rsidP="00DA0796">
            <w:pPr>
              <w:pStyle w:val="Lgendestandard"/>
            </w:pPr>
          </w:p>
        </w:tc>
      </w:tr>
    </w:tbl>
    <w:p w:rsidR="006F1136" w:rsidRPr="00BC7082" w:rsidRDefault="006F1136" w:rsidP="00DA0796"/>
    <w:p w:rsidR="00793EA9" w:rsidRPr="00BC7082" w:rsidRDefault="00793EA9" w:rsidP="00012351">
      <w:pPr>
        <w:widowControl/>
        <w:tabs>
          <w:tab w:val="center" w:pos="4677"/>
        </w:tabs>
      </w:pPr>
    </w:p>
    <w:p w:rsidR="00793EA9" w:rsidRPr="00BC7082" w:rsidRDefault="00956D07">
      <w:pPr>
        <w:pStyle w:val="TOCHeading"/>
      </w:pPr>
      <w:r w:rsidRPr="00BC7082">
        <w:br w:type="page"/>
      </w:r>
      <w:r w:rsidRPr="00BC7082">
        <w:lastRenderedPageBreak/>
        <w:t>SPIS TREŚCI</w:t>
      </w:r>
    </w:p>
    <w:p w:rsidR="00793EA9" w:rsidRPr="00BC7082" w:rsidRDefault="00956D07">
      <w:pPr>
        <w:pStyle w:val="TOCPage"/>
      </w:pPr>
      <w:r w:rsidRPr="00BC7082">
        <w:t>Strona</w:t>
      </w:r>
    </w:p>
    <w:p w:rsidR="00956D07" w:rsidRDefault="00956D0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l-PL"/>
        </w:rPr>
      </w:pPr>
      <w:r w:rsidRPr="00BC7082">
        <w:rPr>
          <w:b/>
        </w:rPr>
        <w:fldChar w:fldCharType="begin"/>
      </w:r>
      <w:r w:rsidRPr="00BC7082">
        <w:rPr>
          <w:b/>
        </w:rPr>
        <w:instrText xml:space="preserve"> TOC \t "PageHeading</w:instrText>
      </w:r>
      <w:r w:rsidR="00E70D3B" w:rsidRPr="00BC7082">
        <w:rPr>
          <w:b/>
        </w:rPr>
        <w:instrText>;</w:instrText>
      </w:r>
      <w:r w:rsidRPr="00BC7082">
        <w:rPr>
          <w:b/>
        </w:rPr>
        <w:instrText xml:space="preserve">1" </w:instrText>
      </w:r>
      <w:r w:rsidRPr="00BC7082">
        <w:rPr>
          <w:b/>
        </w:rPr>
        <w:fldChar w:fldCharType="separate"/>
      </w:r>
      <w:r>
        <w:rPr>
          <w:noProof/>
        </w:rPr>
        <w:t>PROJEKT REZOLUCJI USTAWODAWCZEJ PARLAMENTU EUROPEJSKIEGO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_Toc146617691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BC7082" w:rsidRDefault="00956D07" w:rsidP="00C23324">
      <w:r w:rsidRPr="00BC7082">
        <w:rPr>
          <w:b/>
        </w:rPr>
        <w:fldChar w:fldCharType="end"/>
      </w:r>
    </w:p>
    <w:p w:rsidR="00793EA9" w:rsidRPr="00BC7082" w:rsidRDefault="00956D07">
      <w:pPr>
        <w:pStyle w:val="PageHeading"/>
      </w:pPr>
      <w:r w:rsidRPr="00BC7082">
        <w:br w:type="page"/>
      </w:r>
      <w:r w:rsidRPr="00BC7082">
        <w:lastRenderedPageBreak/>
        <w:br w:type="page"/>
      </w:r>
      <w:bookmarkStart w:id="1" w:name="_Toc146617691"/>
      <w:r w:rsidRPr="00BC7082">
        <w:lastRenderedPageBreak/>
        <w:t>PROJEKT REZOLUCJI USTAWODAWCZEJ PARLAMENTU EUROPEJSKIEGO</w:t>
      </w:r>
      <w:bookmarkEnd w:id="1"/>
    </w:p>
    <w:p w:rsidR="00793EA9" w:rsidRPr="00BC7082" w:rsidRDefault="00956D07">
      <w:pPr>
        <w:pStyle w:val="NormalBold"/>
      </w:pPr>
      <w:r w:rsidRPr="00BC7082">
        <w:t xml:space="preserve">w sprawie wniosku dotyczącego dyrektywy Parlamentu Europejskiego i Rady zmieniającej dyrektywę 2014/59/UE i rozporządzenie (UE) </w:t>
      </w:r>
      <w:r w:rsidRPr="00BC7082">
        <w:t>nr 806/2014 w odniesieniu do niektórych aspektów minimalnego wymogu w zakresie funduszy własnych i zobowiązań kwalifikowalnych</w:t>
      </w:r>
    </w:p>
    <w:p w:rsidR="00793EA9" w:rsidRPr="00BC7082" w:rsidRDefault="00956D07">
      <w:pPr>
        <w:pStyle w:val="NormalBold12a"/>
      </w:pPr>
      <w:r w:rsidRPr="00BC7082">
        <w:t>(COM(2023)0229 – C9</w:t>
      </w:r>
      <w:r w:rsidRPr="00BC7082">
        <w:noBreakHyphen/>
        <w:t>0134/2023 – 2023/0113(COD))</w:t>
      </w:r>
    </w:p>
    <w:p w:rsidR="00793EA9" w:rsidRPr="00BC7082" w:rsidRDefault="00956D07" w:rsidP="00A910C9">
      <w:pPr>
        <w:pStyle w:val="NormalBold"/>
      </w:pPr>
      <w:r w:rsidRPr="00BC7082">
        <w:t>(Zwykła procedura ustawodawcza: pierwsze czytanie)</w:t>
      </w:r>
    </w:p>
    <w:p w:rsidR="00793EA9" w:rsidRPr="00BC7082" w:rsidRDefault="00956D07" w:rsidP="00A910C9">
      <w:pPr>
        <w:pStyle w:val="EPComma"/>
      </w:pPr>
      <w:r w:rsidRPr="00BC7082">
        <w:rPr>
          <w:i/>
          <w:iCs/>
        </w:rPr>
        <w:t>Parlament Europejski</w:t>
      </w:r>
      <w:r w:rsidRPr="00BC7082">
        <w:t>,</w:t>
      </w:r>
    </w:p>
    <w:p w:rsidR="00793EA9" w:rsidRPr="00BC7082" w:rsidRDefault="00956D07">
      <w:pPr>
        <w:pStyle w:val="NormalHanging12a"/>
      </w:pPr>
      <w:r w:rsidRPr="00BC7082">
        <w:t>–</w:t>
      </w:r>
      <w:r w:rsidRPr="00BC7082">
        <w:tab/>
      </w:r>
      <w:r w:rsidRPr="00BC7082">
        <w:t>uwzględniając wniosek Komisji przedstawiony Parlamentowi Europejskiemu i Radzie (COM(2023)0229),</w:t>
      </w:r>
    </w:p>
    <w:p w:rsidR="00793EA9" w:rsidRPr="00BC7082" w:rsidRDefault="00956D07">
      <w:pPr>
        <w:pStyle w:val="NormalHanging12a"/>
      </w:pPr>
      <w:r w:rsidRPr="00BC7082">
        <w:t>–</w:t>
      </w:r>
      <w:r w:rsidRPr="00BC7082">
        <w:tab/>
        <w:t>uwzględniając art. 294 ust. 2 i art. 114 Traktatu o funkcjonowaniu Unii Europejskiej, zgodnie z którymi wniosek został przedstawiony Parlamentowi przez Komis</w:t>
      </w:r>
      <w:r w:rsidRPr="00BC7082">
        <w:t>ję (C9-0134/2023),</w:t>
      </w:r>
    </w:p>
    <w:p w:rsidR="00A26F46" w:rsidRPr="00BC7082" w:rsidRDefault="00956D07" w:rsidP="00A26F46">
      <w:pPr>
        <w:pStyle w:val="NormalHanging12a"/>
      </w:pPr>
      <w:r w:rsidRPr="00BC7082">
        <w:t>–</w:t>
      </w:r>
      <w:r w:rsidRPr="00BC7082">
        <w:tab/>
        <w:t>uwzględniając art. 294 ust. 3 Traktatu o funkcjonowaniu Unii Europejskiej,</w:t>
      </w:r>
    </w:p>
    <w:p w:rsidR="006F1136" w:rsidRPr="00BC7082" w:rsidRDefault="00956D07" w:rsidP="00AD7FA6">
      <w:pPr>
        <w:pStyle w:val="NormalHanging12a"/>
      </w:pPr>
      <w:r w:rsidRPr="00BC7082">
        <w:t>–</w:t>
      </w:r>
      <w:r w:rsidRPr="00BC7082">
        <w:tab/>
        <w:t>uwzględniając opinię Europejskiego Banku Centralnego z dnia 5 lipca 2023 r.</w:t>
      </w:r>
      <w:r w:rsidRPr="00BC7082">
        <w:rPr>
          <w:rStyle w:val="FootnoteReference"/>
        </w:rPr>
        <w:footnoteReference w:id="1"/>
      </w:r>
      <w:r w:rsidRPr="00BC7082">
        <w:t>,</w:t>
      </w:r>
    </w:p>
    <w:p w:rsidR="00D73518" w:rsidRPr="00BC7082" w:rsidRDefault="00956D07" w:rsidP="00AD7FA6">
      <w:pPr>
        <w:pStyle w:val="NormalHanging12a"/>
      </w:pPr>
      <w:r w:rsidRPr="00BC7082">
        <w:t>–</w:t>
      </w:r>
      <w:r w:rsidRPr="00BC7082">
        <w:tab/>
        <w:t>uwzględniając opinię Europejskiego Komitetu Ekonomiczno-Społecznego z 13 lipca</w:t>
      </w:r>
      <w:r w:rsidRPr="00BC7082">
        <w:t xml:space="preserve"> 2023 r.</w:t>
      </w:r>
      <w:r w:rsidRPr="00BC7082">
        <w:rPr>
          <w:rStyle w:val="FootnoteReference"/>
          <w:szCs w:val="24"/>
        </w:rPr>
        <w:footnoteReference w:id="2"/>
      </w:r>
      <w:r w:rsidRPr="00BC7082">
        <w:t>,</w:t>
      </w:r>
    </w:p>
    <w:p w:rsidR="00793EA9" w:rsidRPr="00BC7082" w:rsidRDefault="00956D07">
      <w:pPr>
        <w:pStyle w:val="NormalHanging12a"/>
      </w:pPr>
      <w:r w:rsidRPr="00BC7082">
        <w:t>–</w:t>
      </w:r>
      <w:r w:rsidRPr="00BC7082">
        <w:tab/>
        <w:t>uwzględniając art. 59 Regulaminu,</w:t>
      </w:r>
    </w:p>
    <w:p w:rsidR="006A2F5D" w:rsidRPr="00BC7082" w:rsidRDefault="00956D07" w:rsidP="006A2F5D">
      <w:pPr>
        <w:pStyle w:val="NormalHanging12a"/>
      </w:pPr>
      <w:r w:rsidRPr="00BC7082">
        <w:t>–</w:t>
      </w:r>
      <w:r w:rsidRPr="00BC7082">
        <w:tab/>
        <w:t>uwzględniając sprawozdanie Komisji Gospodarczej i Monetarnej (A9-0000/2023),</w:t>
      </w:r>
    </w:p>
    <w:p w:rsidR="009F6C2F" w:rsidRPr="00BC7082" w:rsidRDefault="00956D07" w:rsidP="00B17848">
      <w:pPr>
        <w:pStyle w:val="NormalHanging12a"/>
      </w:pPr>
      <w:r w:rsidRPr="00BC7082">
        <w:t>1.</w:t>
      </w:r>
      <w:r w:rsidRPr="00BC7082">
        <w:tab/>
        <w:t>przyjmuje poniższe stanowisko w pierwszym czytaniu;</w:t>
      </w:r>
    </w:p>
    <w:p w:rsidR="009F6C2F" w:rsidRPr="00BC7082" w:rsidRDefault="00956D07" w:rsidP="009F6C2F">
      <w:pPr>
        <w:pStyle w:val="NormalHanging12a"/>
      </w:pPr>
      <w:r w:rsidRPr="00BC7082">
        <w:t>2.</w:t>
      </w:r>
      <w:r w:rsidRPr="00BC7082">
        <w:tab/>
        <w:t>zwraca się do Komisji o ponowne przekazanie mu sprawy, jeśli zastąpi ona</w:t>
      </w:r>
      <w:r w:rsidRPr="00BC7082">
        <w:t xml:space="preserve"> pierwotny wniosek, wprowadzi w nim istotne zmiany lub planuje ich wprowadzenie;</w:t>
      </w:r>
    </w:p>
    <w:p w:rsidR="009F6C2F" w:rsidRPr="00BC7082" w:rsidRDefault="00956D07" w:rsidP="009F6C2F">
      <w:pPr>
        <w:pStyle w:val="NormalHanging12a"/>
      </w:pPr>
      <w:r w:rsidRPr="00BC7082">
        <w:t>3.</w:t>
      </w:r>
      <w:r w:rsidRPr="00BC7082">
        <w:tab/>
        <w:t>zobowiązuje swojego przewodniczącego do przekazania stanowiska Parlamentu Radzie i Komisji oraz parlamentom narodowym.</w:t>
      </w:r>
    </w:p>
    <w:p w:rsidR="00D30DE2" w:rsidRPr="00BC7082" w:rsidRDefault="00D30DE2" w:rsidP="00D30DE2"/>
    <w:p w:rsidR="008C37B3" w:rsidRPr="00BC7082" w:rsidRDefault="008C37B3" w:rsidP="00D30DE2"/>
    <w:p w:rsidR="008C37B3" w:rsidRPr="00BC7082" w:rsidRDefault="008C37B3" w:rsidP="00D30DE2"/>
    <w:p w:rsidR="008C37B3" w:rsidRPr="00BC7082" w:rsidRDefault="008C37B3" w:rsidP="00D30DE2"/>
    <w:p w:rsidR="008C37B3" w:rsidRPr="00BC7082" w:rsidRDefault="008C37B3" w:rsidP="00D30DE2"/>
    <w:p w:rsidR="002669B6" w:rsidRPr="00BC7082" w:rsidRDefault="00956D07" w:rsidP="00212B84">
      <w:pPr>
        <w:pStyle w:val="AmNumberTabs"/>
        <w:keepNext/>
      </w:pPr>
      <w:r w:rsidRPr="00BC7082">
        <w:rPr>
          <w:rStyle w:val="HideTWBExt"/>
          <w:b w:val="0"/>
        </w:rPr>
        <w:lastRenderedPageBreak/>
        <w:t>&lt;RepeatBlock-Amend&gt;</w:t>
      </w:r>
      <w:bookmarkStart w:id="2" w:name="restart"/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</w:t>
      </w:r>
      <w:r w:rsidRPr="00BC7082">
        <w:rPr>
          <w:rStyle w:val="HideTWBExt"/>
          <w:b w:val="0"/>
        </w:rPr>
        <w:t>&lt;/NumAm&gt;</w:t>
      </w:r>
    </w:p>
    <w:p w:rsidR="002669B6" w:rsidRPr="00BC7082" w:rsidRDefault="00956D07" w:rsidP="00212B84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1</w:t>
      </w:r>
      <w:r w:rsidRPr="00BC7082">
        <w:rPr>
          <w:rStyle w:val="HideTWBExt"/>
          <w:b w:val="0"/>
        </w:rPr>
        <w:t>&lt;/Article&gt;</w:t>
      </w:r>
      <w:bookmarkEnd w:id="2"/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(1)</w:t>
            </w:r>
            <w:r w:rsidRPr="00BC7082">
              <w:tab/>
              <w:t>Dyrektywą Parlamentu Europejskiego i Rady (UE) 2019/879</w:t>
            </w:r>
            <w:r w:rsidRPr="00BC7082">
              <w:rPr>
                <w:vertAlign w:val="superscript"/>
              </w:rPr>
              <w:t>16</w:t>
            </w:r>
            <w:r w:rsidRPr="00BC7082">
              <w:t xml:space="preserve"> oraz rozporządzeniem Parlamentu Europejskiego i Rady (UE) 2019/877</w:t>
            </w:r>
            <w:r w:rsidRPr="00BC7082">
              <w:rPr>
                <w:vertAlign w:val="superscript"/>
              </w:rPr>
              <w:t>17</w:t>
            </w:r>
            <w:r w:rsidRPr="00BC7082">
              <w:t xml:space="preserve"> zmieniono minimalny wymóg w zakresie funduszy własnych i zobowiązań kwalifikowalnych („MREL”) określony w dyrektywie Parlamentu Europejskiego i Rady 2014/59/UE</w:t>
            </w:r>
            <w:r w:rsidRPr="00BC7082">
              <w:rPr>
                <w:vertAlign w:val="superscript"/>
              </w:rPr>
              <w:t>18</w:t>
            </w:r>
            <w:r w:rsidRPr="00BC7082">
              <w:t xml:space="preserve"> oraz w rozporządzeniu Pa</w:t>
            </w:r>
            <w:r w:rsidRPr="00BC7082">
              <w:t>rlamentu Europejskiego i Rady (UE) nr 806/2014</w:t>
            </w:r>
            <w:r w:rsidRPr="00BC7082">
              <w:rPr>
                <w:vertAlign w:val="superscript"/>
              </w:rPr>
              <w:t>19</w:t>
            </w:r>
            <w:r w:rsidRPr="00BC7082">
              <w:t>, który ma zastosowanie do instytucji kredytowych i firm inwestycyjnych (instytucji) mających siedzibę w Unii, a także do wszelkich innych podmiotów objętych zakresem stosowania dyrektywy 2014/59/UE lub rozpo</w:t>
            </w:r>
            <w:r w:rsidRPr="00BC7082">
              <w:t>rządzenia (UE) nr 806/2014 (podmioty). Zgodnie z tymi zmianami wewnętrzny MREL, tj. MREL mający zastosowanie do instytucji i podmiotów, które są jednostkami zależnymi podmiotów restrukturyzacji i uporządkowanej likwidacji, ale same nie są podmiotami restru</w:t>
            </w:r>
            <w:r w:rsidRPr="00BC7082">
              <w:t>kturyzacji i uporządkowanej likwidacji, może być spełniony przez te podmioty za pomocą instrumentów wyemitowanych na rzecz podmiotu restrukturyzacji i uporządkowanej likwidacji i nabytych przez niego albo bezpośrednio, albo pośrednio za pośrednictwem innyc</w:t>
            </w:r>
            <w:r w:rsidRPr="00BC7082">
              <w:t>h podmiotów w tej samej grupie restrukturyzacji i uporządkowanej likwidacji.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>(1)</w:t>
            </w:r>
            <w:r w:rsidRPr="00BC7082">
              <w:tab/>
              <w:t>Dyrektywą Parlamentu Europejskiego i Rady (UE) 2019/879</w:t>
            </w:r>
            <w:r w:rsidRPr="00BC7082">
              <w:rPr>
                <w:vertAlign w:val="superscript"/>
              </w:rPr>
              <w:t>16</w:t>
            </w:r>
            <w:r w:rsidRPr="00BC7082">
              <w:t xml:space="preserve"> oraz rozporządzeniem Parlamentu Europejskiego i Rady (UE) 2019/877</w:t>
            </w:r>
            <w:r w:rsidRPr="00BC7082">
              <w:rPr>
                <w:vertAlign w:val="superscript"/>
              </w:rPr>
              <w:t>17</w:t>
            </w:r>
            <w:r w:rsidRPr="00BC7082">
              <w:t xml:space="preserve"> zmieniono minimalny wymóg w zakresie funduszy wł</w:t>
            </w:r>
            <w:r w:rsidRPr="00BC7082">
              <w:t>asnych i zobowiązań kwalifikowalnych („MREL”) określony w dyrektywie Parlamentu Europejskiego i Rady 2014/59/UE</w:t>
            </w:r>
            <w:r w:rsidRPr="00BC7082">
              <w:rPr>
                <w:vertAlign w:val="superscript"/>
              </w:rPr>
              <w:t>18</w:t>
            </w:r>
            <w:r w:rsidRPr="00BC7082">
              <w:t xml:space="preserve"> oraz w rozporządzeniu Parlamentu Europejskiego i Rady (UE) nr 806/2014</w:t>
            </w:r>
            <w:r w:rsidRPr="00BC7082">
              <w:rPr>
                <w:vertAlign w:val="superscript"/>
              </w:rPr>
              <w:t>19</w:t>
            </w:r>
            <w:r w:rsidRPr="00BC7082">
              <w:t>, który ma zastosowanie do instytucji kredytowych i firm inwestycyjnyc</w:t>
            </w:r>
            <w:r w:rsidRPr="00BC7082">
              <w:t>h (instytucji) mających siedzibę w Unii, a także do wszelkich innych podmiotów objętych zakresem stosowania dyrektywy 2014/59/UE lub rozporządzenia (UE) nr 806/2014 (podmioty). Zgodnie z tymi zmianami wewnętrzny MREL, tj. MREL mający zastosowanie do instyt</w:t>
            </w:r>
            <w:r w:rsidRPr="00BC7082">
              <w:t>ucji i podmiotów, które są jednostkami zależnymi podmiotów restrukturyzacji i uporządkowanej likwidacji, ale same nie są podmiotami restrukturyzacji i uporządkowanej likwidacji, może być spełniony przez te</w:t>
            </w:r>
            <w:r w:rsidRPr="00BC7082">
              <w:rPr>
                <w:b/>
                <w:i/>
              </w:rPr>
              <w:t xml:space="preserve"> instytucje i</w:t>
            </w:r>
            <w:r w:rsidRPr="00BC7082">
              <w:t xml:space="preserve"> podmioty za pomocą instrumentów wyemi</w:t>
            </w:r>
            <w:r w:rsidRPr="00BC7082">
              <w:t>towanych na rzecz podmiotu restrukturyzacji i uporządkowanej likwidacji i nabytych przez niego albo bezpośrednio, albo pośrednio za pośrednictwem innych podmiotów w tej samej grupie restrukturyzacji i uporządkowanej likwidacji.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__________________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>________</w:t>
            </w:r>
            <w:r w:rsidRPr="00BC7082">
              <w:t>__________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rPr>
                <w:vertAlign w:val="superscript"/>
              </w:rPr>
              <w:t>16</w:t>
            </w:r>
            <w:r w:rsidRPr="00BC7082">
              <w:t xml:space="preserve"> Dyrektywa Parlamentu Europejskiego i Rady (UE) 2019/879 z dnia 20 maja 2019 r. zmieniająca dyrektywę 2014/59/UE w odniesieniu do zdolności do pokrycia strat i dokapitalizowania instytucji kredytowych i firm inwestycyjnych oraz dyrektywę 98/2</w:t>
            </w:r>
            <w:r w:rsidRPr="00BC7082">
              <w:t xml:space="preserve">6/WE (Dz.U. L 150 </w:t>
            </w:r>
            <w:r w:rsidRPr="00BC7082">
              <w:lastRenderedPageBreak/>
              <w:t>z 7.6.2019, s. 296).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rPr>
                <w:vertAlign w:val="superscript"/>
              </w:rPr>
              <w:lastRenderedPageBreak/>
              <w:t>16</w:t>
            </w:r>
            <w:r w:rsidRPr="00BC7082">
              <w:t xml:space="preserve"> Dyrektywa Parlamentu Europejskiego i Rady (UE) 2019/879 z dnia 20 maja 2019 r. zmieniająca dyrektywę 2014/59/UE w odniesieniu do zdolności do pokrycia strat i dokapitalizowania instytucji kredytowych i firm inwesty</w:t>
            </w:r>
            <w:r w:rsidRPr="00BC7082">
              <w:t xml:space="preserve">cyjnych oraz dyrektywę 98/26/WE (Dz.U. L 150 </w:t>
            </w:r>
            <w:r w:rsidRPr="00BC7082">
              <w:lastRenderedPageBreak/>
              <w:t>z 7.6.2019, s. 296).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rPr>
                <w:vertAlign w:val="superscript"/>
              </w:rPr>
              <w:lastRenderedPageBreak/>
              <w:t>17</w:t>
            </w:r>
            <w:r w:rsidRPr="00BC7082">
              <w:t xml:space="preserve"> Rozporządzenie Parlamentu Europejskiego i Rady (UE) 2019/877 z dnia 20 maja 2019 r. zmieniające rozporządzenie (UE) nr 806/2014 w odniesieniu do zdolności do pokrycia strat i dokapitaliz</w:t>
            </w:r>
            <w:r w:rsidRPr="00BC7082">
              <w:t>owania instytucji kredytowych i firm inwestycyjnych (Dz.U. L 150 z 7.6.2019, s. 226).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rPr>
                <w:vertAlign w:val="superscript"/>
              </w:rPr>
              <w:t>17</w:t>
            </w:r>
            <w:r w:rsidRPr="00BC7082">
              <w:t xml:space="preserve"> Rozporządzenie Parlamentu Europejskiego i Rady (UE) 2019/877 z dnia 20 maja 2019 r. zmieniające rozporządzenie (UE) nr 806/2014 w odniesieniu do zdolności do pokrycia strat i dokapitalizowania instytucji kredytowych i firm inwestycyjnych (Dz.U. L 150 z 7.</w:t>
            </w:r>
            <w:r w:rsidRPr="00BC7082">
              <w:t>6.2019, s. 226).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rPr>
                <w:vertAlign w:val="superscript"/>
              </w:rPr>
              <w:t>18</w:t>
            </w:r>
            <w:r w:rsidRPr="00BC7082">
              <w:t xml:space="preserve"> Dyrektywa Parlamentu Europejskiego i Rady 2014/59/UE z dnia 15 maja 2014 r. ustanawiająca ramy na potrzeby prowadzenia działań naprawczych oraz restrukturyzacji i uporządkowanej likwidacji w odniesieniu do instytucji kredytowych i firm</w:t>
            </w:r>
            <w:r w:rsidRPr="00BC7082">
              <w:t xml:space="preserve"> inwestycyjnych oraz zmieniająca dyrektywę Rady 82/891/EWG i dyrektywy Parlamentu Europejskiego i Rady 2001/24/WE, 2002/47/WE, 2004/25/WE, 2005/56/WE, 2007/36/WE, 2011/35/UE, 2012/30/UE i 2013/36/EU oraz rozporządzenia Parlamentu Europejskiego i Rady (UE) </w:t>
            </w:r>
            <w:r w:rsidRPr="00BC7082">
              <w:t>nr 1093/2010 i (UE) nr 648/2012 (Dz.U. L 173 z 12.6.2014, s. 190).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rPr>
                <w:vertAlign w:val="superscript"/>
              </w:rPr>
              <w:t>18</w:t>
            </w:r>
            <w:r w:rsidRPr="00BC7082">
              <w:t xml:space="preserve"> Dyrektywa Parlamentu Europejskiego i Rady 2014/59/UE z dnia 15 maja 2014 r. ustanawiająca ramy na potrzeby prowadzenia działań naprawczych oraz restrukturyzacji i uporządkowanej likwidac</w:t>
            </w:r>
            <w:r w:rsidRPr="00BC7082">
              <w:t>ji w odniesieniu do instytucji kredytowych i firm inwestycyjnych oraz zmieniająca dyrektywę Rady 82/891/EWG i dyrektywy Parlamentu Europejskiego i Rady 2001/24/WE, 2002/47/WE, 2004/25/WE, 2005/56/WE, 2007/36/WE, 2011/35/UE, 2012/30/UE i 2013/36/EU oraz roz</w:t>
            </w:r>
            <w:r w:rsidRPr="00BC7082">
              <w:t>porządzenia Parlamentu Europejskiego i Rady (UE) nr 1093/2010 i (UE) nr 648/2012 (Dz.U. L 173 z 12.6.2014, s. 190).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rPr>
                <w:vertAlign w:val="superscript"/>
              </w:rPr>
              <w:t>19</w:t>
            </w:r>
            <w:r w:rsidRPr="00BC7082">
              <w:t xml:space="preserve"> Rozporządzenie Parlamentu Europejskiego i Rady (UE) nr 806/2014 z dnia 15 lipca 2014 r. ustanawiające jednolite zasady i jednolitą proce</w:t>
            </w:r>
            <w:r w:rsidRPr="00BC7082">
              <w:t>durę restrukturyzacji i uporządkowanej likwidacji instytucji kredytowych i niektórych firm inwestycyjnych w ramach jednolitego mechanizmu restrukturyzacji i uporządkowanej likwidacji oraz jednolitego funduszu restrukturyzacji i uporządkowanej likwidacji or</w:t>
            </w:r>
            <w:r w:rsidRPr="00BC7082">
              <w:t>az zmieniające rozporządzenie (UE) nr 1093/2010 (Dz.U. L 225 z 30.7.2014, s. 1).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rPr>
                <w:vertAlign w:val="superscript"/>
              </w:rPr>
              <w:t>19</w:t>
            </w:r>
            <w:r w:rsidRPr="00BC7082">
              <w:t xml:space="preserve"> Rozporządzenie Parlamentu Europejskiego i Rady (UE) nr 806/2014 z dnia 15 lipca 2014 r. ustanawiające jednolite zasady i jednolitą procedurę restrukturyzacji i uporządkowan</w:t>
            </w:r>
            <w:r w:rsidRPr="00BC7082">
              <w:t>ej likwidacji instytucji kredytowych i niektórych firm inwestycyjnych w ramach jednolitego mechanizmu restrukturyzacji i uporządkowanej likwidacji oraz jednolitego funduszu restrukturyzacji i uporządkowanej likwidacji oraz zmieniające rozporządzenie (UE) n</w:t>
            </w:r>
            <w:r w:rsidRPr="00BC7082">
              <w:t>r 1093/2010 (Dz.U. L 225 z 30.7.2014, s. 1).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2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3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(3)</w:t>
            </w:r>
            <w:r w:rsidRPr="00BC7082">
              <w:tab/>
              <w:t xml:space="preserve">W wyniku </w:t>
            </w:r>
            <w:r w:rsidRPr="00BC7082">
              <w:t>przeglądu, który przeprowadziła Komisja, stwierdzono, że do celów, którym służą przepisy dotyczące wewnętrznego MREL, właściwe i proporcjonalne byłoby umożliwienie organom ds. restrukturyzacji i uporządkowanej likwidacji ustalania wewnętrznego MREL na zasa</w:t>
            </w:r>
            <w:r w:rsidRPr="00BC7082">
              <w:t>dzie skonsolidowanej dla zakresu podmiotów, który jest szerszy niż zakres wynikający ze stosowania dyrektywy 2014/59/UE i rozporządzenia (UE) nr 806/2014, w przypadku gdy taki szerszy zakres obejmuje instytucje i podmioty, które same nie są podmiotami rest</w:t>
            </w:r>
            <w:r w:rsidRPr="00BC7082">
              <w:t>rukturyzacji i uporządkowanej likwidacji, ale są jednostkami zależnymi podmiotów restrukturyzacji i uporządkowanej likwidacji i same kontrolują jednostki zależne</w:t>
            </w:r>
            <w:r w:rsidRPr="00BC7082">
              <w:rPr>
                <w:b/>
                <w:i/>
              </w:rPr>
              <w:t xml:space="preserve"> podlegające MREL</w:t>
            </w:r>
            <w:r w:rsidRPr="00BC7082">
              <w:t xml:space="preserve"> („jednostki pośrednie”). Dotyczyłoby to w szczególności tych grup bankowych, </w:t>
            </w:r>
            <w:r w:rsidRPr="00BC7082">
              <w:t>na których czele stoi spółka holdingowa. W takich przypadkach jednostki pośrednie naturalnie centralizują ekspozycje wewnątrzgrupowe i kierują zasoby kwalifikowalne na potrzeby wewnętrznego MREL wcześniej ulokowane przez podmiot restrukturyzacji i uporządk</w:t>
            </w:r>
            <w:r w:rsidRPr="00BC7082">
              <w:t xml:space="preserve">owanej likwidacji. Ze względu na tę strukturę przepisy dotyczące odliczeń </w:t>
            </w:r>
            <w:r w:rsidRPr="00BC7082">
              <w:rPr>
                <w:b/>
                <w:i/>
              </w:rPr>
              <w:t>miałyby</w:t>
            </w:r>
            <w:r w:rsidRPr="00BC7082">
              <w:t xml:space="preserve"> nieproporcjonalny wpływ na takie jednostki pośrednie. Komisja stwierdziła również, że ramy MREL </w:t>
            </w:r>
            <w:r w:rsidRPr="00BC7082">
              <w:rPr>
                <w:b/>
                <w:i/>
              </w:rPr>
              <w:t>byłyby</w:t>
            </w:r>
            <w:r w:rsidRPr="00BC7082">
              <w:t xml:space="preserve"> bardziej proporcjonalne dzięki </w:t>
            </w:r>
            <w:r w:rsidRPr="00BC7082">
              <w:rPr>
                <w:b/>
                <w:i/>
              </w:rPr>
              <w:t>usunięciu emisji dokonywanych przez podm</w:t>
            </w:r>
            <w:r w:rsidRPr="00BC7082">
              <w:rPr>
                <w:b/>
                <w:i/>
              </w:rPr>
              <w:t>ioty poddawane likwidacji z </w:t>
            </w:r>
            <w:r w:rsidRPr="00BC7082">
              <w:t>zakresu ekspozycji, które jednostka pośrednia jest zobowiązana odliczyć</w:t>
            </w:r>
            <w:r w:rsidRPr="00BC7082">
              <w:rPr>
                <w:b/>
                <w:i/>
              </w:rPr>
              <w:t xml:space="preserve"> zgodnie z mechanizmem odliczeń z tytułu pośredniej subskrypcji zasobów kwalifikowalnych na potrzeby wewnętrznego</w:t>
            </w:r>
            <w:r w:rsidRPr="00BC7082">
              <w:t xml:space="preserve"> MREL. </w:t>
            </w:r>
            <w:r w:rsidRPr="00BC7082">
              <w:rPr>
                <w:b/>
                <w:i/>
              </w:rPr>
              <w:t>Podmiot restrukturyzacji i uporządkow</w:t>
            </w:r>
            <w:r w:rsidRPr="00BC7082">
              <w:rPr>
                <w:b/>
                <w:i/>
              </w:rPr>
              <w:t>anej likwidacji nie będzie musiał wspierać podmiotu poddawanego likwidacji</w:t>
            </w:r>
            <w:r w:rsidRPr="00BC7082">
              <w:t xml:space="preserve"> w</w:t>
            </w:r>
            <w:r w:rsidRPr="00BC7082">
              <w:rPr>
                <w:b/>
                <w:i/>
              </w:rPr>
              <w:t> przypadku upadłości</w:t>
            </w:r>
            <w:r w:rsidRPr="00BC7082">
              <w:t>, co eliminuje potrzebę zabezpieczenia</w:t>
            </w:r>
            <w:r w:rsidRPr="00BC7082">
              <w:rPr>
                <w:b/>
                <w:i/>
              </w:rPr>
              <w:t xml:space="preserve"> wszelkich</w:t>
            </w:r>
            <w:r w:rsidRPr="00BC7082">
              <w:t xml:space="preserve"> </w:t>
            </w:r>
            <w:r w:rsidRPr="00BC7082">
              <w:lastRenderedPageBreak/>
              <w:t>mechanizmów przenoszenia strat i kapitału w ramach grup restrukturyzacji i uporządkowanej likwidacji, co było c</w:t>
            </w:r>
            <w:r w:rsidRPr="00BC7082">
              <w:t>elem przepisów dotyczących odliczeń wprowadzonych rozporządzeniem (UE) 2022/2036. Podmiot restrukturyzacji i uporządkowanej likwidacji będzie musiał natomiast wspierać pozostałe podmioty należące do grupy restrukturyzacji i uporządkowanej likwidacji w przy</w:t>
            </w:r>
            <w:r w:rsidRPr="00BC7082">
              <w:t>padku trudnej sytuacji lub upadłości. Niezbędne zasoby na potrzeby MREL powinny zatem być obecne na wszystkich poziomach grupy restrukturyzacji i uporządkowanej likwidacji, a ich dostępność na pokrycie strat i dokapitalizowanie należy zapewnić za pomocą me</w:t>
            </w:r>
            <w:r w:rsidRPr="00BC7082">
              <w:t>chanizmu odliczeń. W wyniku przeglądu, który przeprowadziła Komisja, stwierdzono zatem, że jednostki pośrednie powinny nadal odliczać pełną kwotę posiadanych przez nie zasobów kwalifikowalnych na potrzeby wewnętrznego MREL wyemitowanych przez inne podmioty</w:t>
            </w:r>
            <w:r w:rsidRPr="00BC7082">
              <w:t xml:space="preserve"> niepoddawane likwidacji w tej samej grupie restrukturyzacji i uporządkowanej likwidacji.</w:t>
            </w:r>
          </w:p>
        </w:tc>
        <w:tc>
          <w:tcPr>
            <w:tcW w:w="4876" w:type="dxa"/>
            <w:hideMark/>
          </w:tcPr>
          <w:p w:rsidR="00932D06" w:rsidRPr="00BC7082" w:rsidRDefault="00956D07" w:rsidP="006A17A3">
            <w:pPr>
              <w:pStyle w:val="Normal6"/>
              <w:rPr>
                <w:szCs w:val="24"/>
              </w:rPr>
            </w:pPr>
            <w:r w:rsidRPr="00BC7082">
              <w:lastRenderedPageBreak/>
              <w:t>(3)</w:t>
            </w:r>
            <w:r w:rsidRPr="00BC7082">
              <w:tab/>
              <w:t>W wyniku przeglądu, który przeprowadziła Komisja, stwierdzono, że do celów, którym służą przepisy dotyczące wewnętrznego MREL, właściwe i proporcjonalne byłoby um</w:t>
            </w:r>
            <w:r w:rsidRPr="00BC7082">
              <w:t>ożliwienie organom ds. restrukturyzacji i uporządkowanej likwidacji ustalania wewnętrznego MREL na zasadzie skonsolidowanej dla zakresu podmiotów, który jest szerszy niż zakres wynikający ze stosowania dyrektywy 2014/59/UE i rozporządzenia (UE) nr 806/2014</w:t>
            </w:r>
            <w:r w:rsidRPr="00BC7082">
              <w:t xml:space="preserve">, w przypadku gdy taki szerszy zakres obejmuje instytucje i podmioty, które same nie są podmiotami restrukturyzacji i uporządkowanej likwidacji, ale są jednostkami zależnymi podmiotów restrukturyzacji i uporządkowanej likwidacji i same kontrolują </w:t>
            </w:r>
            <w:r w:rsidRPr="00BC7082">
              <w:rPr>
                <w:b/>
                <w:i/>
              </w:rPr>
              <w:t xml:space="preserve">inne </w:t>
            </w:r>
            <w:r w:rsidRPr="00BC7082">
              <w:t>jedn</w:t>
            </w:r>
            <w:r w:rsidRPr="00BC7082">
              <w:t>ostki zależne („jednostki pośrednie”)</w:t>
            </w:r>
            <w:r w:rsidRPr="00BC7082">
              <w:rPr>
                <w:b/>
                <w:i/>
              </w:rPr>
              <w:t xml:space="preserve"> w ramach tej samej grupy restrukturyzacji i uporządkowanej likwidacji</w:t>
            </w:r>
            <w:r w:rsidRPr="00BC7082">
              <w:t>. Dotyczyłoby to w szczególności tych grup bankowych, na których czele stoi spółka holdingowa. W takich przypadkach jednostki pośrednie naturalnie ce</w:t>
            </w:r>
            <w:r w:rsidRPr="00BC7082">
              <w:t xml:space="preserve">ntralizują ekspozycje wewnątrzgrupowe i kierują zasoby kwalifikowalne na potrzeby wewnętrznego MREL wcześniej ulokowane przez podmiot restrukturyzacji i uporządkowanej likwidacji. Ze względu na tę strukturę przepisy dotyczące odliczeń </w:t>
            </w:r>
            <w:r w:rsidRPr="00BC7082">
              <w:rPr>
                <w:b/>
                <w:i/>
              </w:rPr>
              <w:t>mogłyby mieć</w:t>
            </w:r>
            <w:r w:rsidRPr="00BC7082">
              <w:t xml:space="preserve"> niepropo</w:t>
            </w:r>
            <w:r w:rsidRPr="00BC7082">
              <w:t xml:space="preserve">rcjonalny wpływ na takie jednostki pośrednie. Komisja stwierdziła również, że ramy MREL </w:t>
            </w:r>
            <w:r w:rsidRPr="00BC7082">
              <w:rPr>
                <w:b/>
                <w:i/>
              </w:rPr>
              <w:t>stałyby się</w:t>
            </w:r>
            <w:r w:rsidRPr="00BC7082">
              <w:t xml:space="preserve"> bardziej proporcjonalne dzięki </w:t>
            </w:r>
            <w:r w:rsidRPr="00BC7082">
              <w:rPr>
                <w:b/>
                <w:i/>
              </w:rPr>
              <w:t xml:space="preserve">dostosowaniu przepisów dotyczących </w:t>
            </w:r>
            <w:r w:rsidRPr="00BC7082">
              <w:t>zakresu ekspozycji, które jednostka pośrednia jest zobowiązana odliczyć</w:t>
            </w:r>
            <w:r w:rsidRPr="00BC7082">
              <w:rPr>
                <w:b/>
                <w:i/>
              </w:rPr>
              <w:t xml:space="preserve">, jeżeli jednostka </w:t>
            </w:r>
            <w:r w:rsidRPr="00BC7082">
              <w:rPr>
                <w:b/>
                <w:i/>
              </w:rPr>
              <w:t>emitująca jest podmiotem poddawanym likwidacji, który nie podlega decyzji w sprawie</w:t>
            </w:r>
            <w:r w:rsidRPr="00BC7082">
              <w:t xml:space="preserve"> MREL.</w:t>
            </w:r>
            <w:r w:rsidRPr="00BC7082">
              <w:rPr>
                <w:b/>
                <w:i/>
              </w:rPr>
              <w:t xml:space="preserve"> W takich przypadkach nie oczekuje się wykonywania uprawnień do umorzenia i konwersji</w:t>
            </w:r>
            <w:r w:rsidRPr="00BC7082">
              <w:t xml:space="preserve"> w</w:t>
            </w:r>
            <w:r w:rsidRPr="00BC7082">
              <w:rPr>
                <w:b/>
                <w:i/>
              </w:rPr>
              <w:t xml:space="preserve"> odniesieniu do takich podmiotów poddawanych likwidacji</w:t>
            </w:r>
            <w:r w:rsidRPr="00BC7082">
              <w:t>, co eliminuje potrzebę z</w:t>
            </w:r>
            <w:r w:rsidRPr="00BC7082">
              <w:t xml:space="preserve">abezpieczenia </w:t>
            </w:r>
            <w:r w:rsidRPr="00BC7082">
              <w:lastRenderedPageBreak/>
              <w:t>mechanizmów przenoszenia strat i kapitału w ramach grup restrukturyzacji i uporządkowanej likwidacji, co było celem przepisów dotyczących odliczeń wprowadzonych rozporządzeniem (UE) 2022/2036. Podmiot restrukturyzacji i uporządkowanej likwida</w:t>
            </w:r>
            <w:r w:rsidRPr="00BC7082">
              <w:t>cji będzie musiał natomiast wspierać pozostałe podmioty należące do grupy restrukturyzacji i uporządkowanej likwidacji w przypadku trudnej sytuacji lub upadłości. Niezbędne zasoby na potrzeby MREL powinny zatem być obecne na wszystkich poziomach grupy rest</w:t>
            </w:r>
            <w:r w:rsidRPr="00BC7082">
              <w:t>rukturyzacji i uporządkowanej likwidacji, a ich dostępność na pokrycie strat i dokapitalizowanie należy zapewnić za pomocą mechanizmu odliczeń. W wyniku przeglądu, który przeprowadziła Komisja, stwierdzono zatem, że jednostki pośrednie powinny nadal odlicz</w:t>
            </w:r>
            <w:r w:rsidRPr="00BC7082">
              <w:t>ać pełną kwotę posiadanych przez nie zasobów kwalifikowalnych na potrzeby wewnętrznego MREL wyemitowanych przez inne podmioty niepoddawane likwidacji w tej samej grupie restrukturyzacji i uporządkowanej likwidacji.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3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5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(5)</w:t>
            </w:r>
            <w:r w:rsidRPr="00BC7082">
              <w:tab/>
              <w:t xml:space="preserve">W celu zapewnienia, aby możliwość spełniania MREL na zasadzie skonsolidowanej była dostępna </w:t>
            </w:r>
            <w:r w:rsidRPr="00BC7082">
              <w:t>wyłącznie w odpowiednich przypadkach wskazanych w przeglądzie Komisji i nie prowadziła do niedoboru zasobów kwalifikowalnych na potrzeby wewnętrznego MREL w całej grupie restrukturyzacji i uporządkowanej likwidacji, uprawnienie do ustalania wewnętrznego MR</w:t>
            </w:r>
            <w:r w:rsidRPr="00BC7082">
              <w:t xml:space="preserve">EL na zasadzie skonsolidowanej w odniesieniu do jednostek pośrednich powinno być uprawnieniem dyskrecjonalnym organu ds. </w:t>
            </w:r>
            <w:r w:rsidRPr="00BC7082">
              <w:lastRenderedPageBreak/>
              <w:t>restrukturyzacji i uporządkowanej likwidacji i powinno podlegać określonym warunkom. Jednostka pośrednia powinna być jedyną bezpośredni</w:t>
            </w:r>
            <w:r w:rsidRPr="00BC7082">
              <w:t xml:space="preserve">ą jednostką zależną – będącą instytucją lub podmiotem – podmiotu restrukturyzacji i uporządkowanej likwidacji, który jest unijną dominującą finansową spółką holdingową lub unijną dominującą finansową spółką holdingową o działalności mieszanej, ma siedzibę </w:t>
            </w:r>
            <w:r w:rsidRPr="00BC7082">
              <w:t>w tym samym państwie członkowskim i jest częścią tej samej grupy restrukturyzacji i uporządkowanej likwidacji. Ewentualnie dana jednostka pośrednia powinna spełniać dodatkowy wymóg w zakresie funduszy własnych lub wymóg połączonego bufora na podstawie swoj</w:t>
            </w:r>
            <w:r w:rsidRPr="00BC7082">
              <w:t>ej sytuacji skonsolidowanej. W obu przypadkach spełnianie wewnętrznego MREL na zasadzie skonsolidowanej nie powinno jednak negatywnie wpływać – w ocenie organu ds. restrukturyzacji i uporządkowanej likwidacji – na możliwość przeprowadzenia skutecznej restr</w:t>
            </w:r>
            <w:r w:rsidRPr="00BC7082">
              <w:t>ukturyzacji i uporządkowanej likwidacji danej grupy restrukturyzacji i uporządkowanej likwidacji ani na stosowanie przez organ ds. restrukturyzacji i uporządkowanej likwidacji uprawnienia do umorzenia lub konwersji odpowiednich instrumentów kapitałowych i </w:t>
            </w:r>
            <w:r w:rsidRPr="00BC7082">
              <w:t>zobowiązań kwalifikowalnych danej jednostki pośredniej lub innych podmiotów w jej grupie restrukturyzacji i uporządkowanej likwidacji.</w:t>
            </w:r>
          </w:p>
        </w:tc>
        <w:tc>
          <w:tcPr>
            <w:tcW w:w="4876" w:type="dxa"/>
            <w:hideMark/>
          </w:tcPr>
          <w:p w:rsidR="00932D06" w:rsidRPr="00BC7082" w:rsidRDefault="00956D07" w:rsidP="001C63AC">
            <w:pPr>
              <w:pStyle w:val="Normal6"/>
              <w:rPr>
                <w:szCs w:val="24"/>
              </w:rPr>
            </w:pPr>
            <w:r w:rsidRPr="00BC7082">
              <w:lastRenderedPageBreak/>
              <w:t>(5)</w:t>
            </w:r>
            <w:r w:rsidRPr="00BC7082">
              <w:tab/>
              <w:t xml:space="preserve">W celu zapewnienia, aby możliwość spełniania MREL na zasadzie skonsolidowanej była dostępna wyłącznie w odpowiednich </w:t>
            </w:r>
            <w:r w:rsidRPr="00BC7082">
              <w:t>przypadkach wskazanych w przeglądzie Komisji i nie prowadziła do niedoboru zasobów kwalifikowalnych na potrzeby wewnętrznego MREL w całej grupie restrukturyzacji i uporządkowanej likwidacji, uprawnienie do ustalania wewnętrznego MREL na zasadzie skonsolido</w:t>
            </w:r>
            <w:r w:rsidRPr="00BC7082">
              <w:t xml:space="preserve">wanej w odniesieniu do jednostek pośrednich powinno być uprawnieniem dyskrecjonalnym organu ds. </w:t>
            </w:r>
            <w:r w:rsidRPr="00BC7082">
              <w:lastRenderedPageBreak/>
              <w:t>restrukturyzacji i uporządkowanej likwidacji i powinno podlegać określonym warunkom. Jednostka pośrednia powinna być jedyną bezpośrednią jednostką zależną – będ</w:t>
            </w:r>
            <w:r w:rsidRPr="00BC7082">
              <w:t>ącą instytucją lub podmiotem – podmiotu restrukturyzacji i uporządkowanej likwidacji, który jest unijną dominującą finansową spółką holdingową lub unijną dominującą finansową spółką holdingową o działalności mieszanej, ma siedzibę w tym samym państwie czło</w:t>
            </w:r>
            <w:r w:rsidRPr="00BC7082">
              <w:t>nkowskim i jest częścią tej samej grupy restrukturyzacji i uporządkowanej likwidacji. Ewentualnie dana jednostka pośrednia powinna spełniać dodatkowy wymóg w zakresie funduszy własnych lub wymóg połączonego bufora na podstawie swojej sytuacji skonsolidowan</w:t>
            </w:r>
            <w:r w:rsidRPr="00BC7082">
              <w:t>ej. W obu przypadkach spełnianie wewnętrznego MREL na zasadzie skonsolidowanej nie powinno jednak negatywnie wpływać – w ocenie organu ds. restrukturyzacji i uporządkowanej likwidacji – na możliwość przeprowadzenia skutecznej restrukturyzacji i uporządkowa</w:t>
            </w:r>
            <w:r w:rsidRPr="00BC7082">
              <w:t>nej likwidacji danej grupy restrukturyzacji i uporządkowanej likwidacji ani na stosowanie przez organ ds. restrukturyzacji i uporządkowanej likwidacji uprawnienia do umorzenia lub konwersji odpowiednich instrumentów kapitałowych i zobowiązań kwalifikowalny</w:t>
            </w:r>
            <w:r w:rsidRPr="00BC7082">
              <w:t xml:space="preserve">ch danej jednostki pośredniej lub innych podmiotów w jej grupie restrukturyzacji i uporządkowanej likwidacji. </w:t>
            </w:r>
            <w:r w:rsidRPr="00BC7082">
              <w:rPr>
                <w:b/>
                <w:i/>
              </w:rPr>
              <w:t>Jedną z sytuacji, w których ustalenie wewnętrznego MREL na zasadzie skonsolidowanej miałoby negatywny wpływ na możliwość przeprowadzenia skuteczne</w:t>
            </w:r>
            <w:r w:rsidRPr="00BC7082">
              <w:rPr>
                <w:b/>
                <w:i/>
              </w:rPr>
              <w:t>j restrukturyzacji i uporządkowanej likwidacji grupy restrukturyzacji i uporządkowanej likwidacji, jest sytuacja, w której kwota tego MREL nie zapewnia zgodności z indywidualnymi wymogami w zakresie funduszy własnych mającymi zastosowanie po wykonaniu upra</w:t>
            </w:r>
            <w:r w:rsidRPr="00BC7082">
              <w:rPr>
                <w:b/>
                <w:i/>
              </w:rPr>
              <w:t>wnień do umorzenia i konwersji.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lastRenderedPageBreak/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4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6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(6)</w:t>
            </w:r>
            <w:r w:rsidRPr="00BC7082">
              <w:tab/>
              <w:t xml:space="preserve">Zgodnie z art. 45f </w:t>
            </w:r>
            <w:r w:rsidRPr="00BC7082">
              <w:t>ust. 2 dyrektywy 2014/59/UE i art. 12g ust. 2 rozporządzenia (UE) nr 806/2014 jednostki pośrednie mogą spełniać skonsolidowany wewnętrzny MREL za pomocą funduszy własnych i zobowiązań kwalifikowalnych. Aby w pełni umożliwić spełnianie MREL na zasadzie skon</w:t>
            </w:r>
            <w:r w:rsidRPr="00BC7082">
              <w:t xml:space="preserve">solidowanej, należy zapewnić obliczanie zobowiązań kwalifikowalnych jednostek pośrednich w sposób podobny do obliczania funduszy własnych. Kryteria kwalifikowalności zobowiązań kwalifikowalnych, które można wykorzystywać do spełnienia wewnętrznego MREL na </w:t>
            </w:r>
            <w:r w:rsidRPr="00BC7082">
              <w:t>zasadzie skonsolidowanej, należy zatem dostosować do przepisów dotyczących obliczania skonsolidowanych funduszy własnych określonych w rozporządzeniu (UE) nr 575/2013. Aby zapewnić spójność z obowiązującymi przepisami dotyczącymi zewnętrznego MREL, dostoso</w:t>
            </w:r>
            <w:r w:rsidRPr="00BC7082">
              <w:t>wanie to powinno również odzwierciedlać obowiązujące przepisy określone w art. 45b ust. 3 dyrektywy 2014/59/UE i art. 12d ust. 3 rozporządzenia (UE) nr 806/2014 w odniesieniu do obliczania zobowiązań kwalifikowalnych, które podmioty restrukturyzacji i upor</w:t>
            </w:r>
            <w:r w:rsidRPr="00BC7082">
              <w:t>ządkowanej likwidacji mogą wykorzystywać do spełnienia swojego skonsolidowanego MREL. W szczególności należy zapewnić, aby zobowiązania kwalifikowalne wyemitowane przez jednostki zależne podmiotu podlegającego skonsolidowanemu wewnętrznemu MREL i znajdując</w:t>
            </w:r>
            <w:r w:rsidRPr="00BC7082">
              <w:t xml:space="preserve">e się w posiadaniu innych podmiotów należących do tej samej grupy restrukturyzacji i uporządkowanej likwidacji, ale nieobjętych zakresem </w:t>
            </w:r>
            <w:r w:rsidRPr="00BC7082">
              <w:lastRenderedPageBreak/>
              <w:t>konsolidacji</w:t>
            </w:r>
            <w:r w:rsidRPr="00BC7082">
              <w:rPr>
                <w:b/>
                <w:i/>
              </w:rPr>
              <w:t>, w tym podmiotu restrukturyzacji i uporządkowanej likwidacji</w:t>
            </w:r>
            <w:r w:rsidRPr="00BC7082">
              <w:t>, lub w posiadaniu obecnych akcjonariuszy nien</w:t>
            </w:r>
            <w:r w:rsidRPr="00BC7082">
              <w:t>ależących do tej samej grupy restrukturyzacji i uporządkowanej likwidacji, wliczały się do funduszy własnych i zobowiązań kwalifikowalnych podmiotu podlegającego skonsolidowanemu wewnętrznemu MREL.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(6)</w:t>
            </w:r>
            <w:r w:rsidRPr="00BC7082">
              <w:tab/>
              <w:t>Zgodnie z art. 45f ust. 2 dyrektywy 2014/59/UE i art. </w:t>
            </w:r>
            <w:r w:rsidRPr="00BC7082">
              <w:t>12g ust. 2 rozporządzenia (UE) nr 806/2014 jednostki pośrednie mogą spełniać skonsolidowany wewnętrzny MREL za pomocą funduszy własnych i zobowiązań kwalifikowalnych. Aby w pełni umożliwić spełnianie MREL na zasadzie skonsolidowanej, należy zapewnić oblicz</w:t>
            </w:r>
            <w:r w:rsidRPr="00BC7082">
              <w:t>anie zobowiązań kwalifikowalnych jednostek pośrednich w sposób podobny do obliczania funduszy własnych. Kryteria kwalifikowalności zobowiązań kwalifikowalnych, które można wykorzystywać do spełnienia wewnętrznego MREL na zasadzie skonsolidowanej, należy za</w:t>
            </w:r>
            <w:r w:rsidRPr="00BC7082">
              <w:t>tem dostosować do przepisów dotyczących obliczania skonsolidowanych funduszy własnych określonych w rozporządzeniu (UE) nr 575/2013. Aby zapewnić spójność z obowiązującymi przepisami dotyczącymi zewnętrznego MREL, dostosowanie to powinno również odzwiercie</w:t>
            </w:r>
            <w:r w:rsidRPr="00BC7082">
              <w:t>dlać obowiązujące przepisy określone w art. 45b ust. 3 dyrektywy 2014/59/UE i art. 12d ust. 3 rozporządzenia (UE) nr 806/2014 w odniesieniu do obliczania zobowiązań kwalifikowalnych, które podmioty restrukturyzacji i uporządkowanej likwidacji mogą wykorzys</w:t>
            </w:r>
            <w:r w:rsidRPr="00BC7082">
              <w:t xml:space="preserve">tywać do spełnienia swojego skonsolidowanego MREL. W szczególności należy zapewnić, aby zobowiązania kwalifikowalne wyemitowane przez jednostki zależne podmiotu podlegającego skonsolidowanemu wewnętrznemu MREL i znajdujące się w posiadaniu </w:t>
            </w:r>
            <w:r w:rsidRPr="00BC7082">
              <w:rPr>
                <w:b/>
                <w:i/>
              </w:rPr>
              <w:t>podmiotu restruk</w:t>
            </w:r>
            <w:r w:rsidRPr="00BC7082">
              <w:rPr>
                <w:b/>
                <w:i/>
              </w:rPr>
              <w:t xml:space="preserve">turyzacji i uporządkowanej likwidacji, bezpośrednio lub za pośrednictwem </w:t>
            </w:r>
            <w:r w:rsidRPr="00BC7082">
              <w:t xml:space="preserve">innych podmiotów </w:t>
            </w:r>
            <w:r w:rsidRPr="00BC7082">
              <w:lastRenderedPageBreak/>
              <w:t>należących do tej samej grupy restrukturyzacji i uporządkowanej likwidacji, ale nieobjętych zakresem konsolidacji, lub w posiadaniu obecnych akcjonariuszy nienależący</w:t>
            </w:r>
            <w:r w:rsidRPr="00BC7082">
              <w:t>ch do tej samej grupy restrukturyzacji i uporządkowanej likwidacji, wliczały się do funduszy własnych i zobowiązań kwalifikowalnych podmiotu podlegającego skonsolidowanemu wewnętrznemu MREL.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5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7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(7)</w:t>
            </w:r>
            <w:r w:rsidRPr="00BC7082">
              <w:tab/>
              <w:t xml:space="preserve">W </w:t>
            </w:r>
            <w:r w:rsidRPr="00BC7082">
              <w:rPr>
                <w:b/>
                <w:i/>
              </w:rPr>
              <w:t>przypadku</w:t>
            </w:r>
            <w:r w:rsidRPr="00BC7082">
              <w:t xml:space="preserve"> podmiotów poddawanych likwidacji MREL jest </w:t>
            </w:r>
            <w:r w:rsidRPr="00BC7082">
              <w:rPr>
                <w:b/>
                <w:i/>
              </w:rPr>
              <w:t>zazwyczaj ograniczony do kwoty niezbędnej</w:t>
            </w:r>
            <w:r w:rsidRPr="00BC7082">
              <w:t xml:space="preserve"> do pokrycia strat,</w:t>
            </w:r>
            <w:r w:rsidRPr="00BC7082">
              <w:t xml:space="preserve"> która odpowiada wymogom w zakresie funduszy własnych. W takich przypadkach MREL nie pociąga za sobą dla podmiotu poddawanego likwidacji żadnego dodatkowego wymogu bezpośrednio związanego z ramami restrukturyzacji i uporządkowanej likwidacji. Oznacza to, ż</w:t>
            </w:r>
            <w:r w:rsidRPr="00BC7082">
              <w:t>e podmiot poddawany likwidacji może w pełni spełnić MREL poprzez spełnienie wymogów w zakresie funduszy własnych oraz że specjalna decyzja organu ds. restrukturyzacji i uporządkowanej likwidacji o ustaleniu MREL nie przyczynia się w znaczący sposób do możl</w:t>
            </w:r>
            <w:r w:rsidRPr="00BC7082">
              <w:t>iwości przeprowadzenia skutecznej restrukturyzacji i uporządkowanej likwidacji podmiotów poddawanych likwidacji. Taka decyzja wiąże się z wieloma obowiązkami proceduralnymi dla organów ds. restrukturyzacji i uporządkowanej likwidacji oraz podmiotów poddawa</w:t>
            </w:r>
            <w:r w:rsidRPr="00BC7082">
              <w:t xml:space="preserve">nych likwidacji, lecz obowiązkom tym nie towarzyszy odpowiednia korzyść w postaci poprawy możliwości przeprowadzenia skutecznej restrukturyzacji i uporządkowanej </w:t>
            </w:r>
            <w:r w:rsidRPr="00BC7082">
              <w:lastRenderedPageBreak/>
              <w:t xml:space="preserve">likwidacji. Z tego powodu organy ds. restrukturyzacji i uporządkowanej likwidacji nie powinny </w:t>
            </w:r>
            <w:r w:rsidRPr="00BC7082">
              <w:t>ustalać MREL dla podmiotów poddawanych likwidacji.</w:t>
            </w:r>
          </w:p>
        </w:tc>
        <w:tc>
          <w:tcPr>
            <w:tcW w:w="4876" w:type="dxa"/>
            <w:hideMark/>
          </w:tcPr>
          <w:p w:rsidR="00932D06" w:rsidRPr="00BC7082" w:rsidRDefault="00956D07" w:rsidP="006A17A3">
            <w:pPr>
              <w:pStyle w:val="Normal6"/>
              <w:rPr>
                <w:szCs w:val="24"/>
              </w:rPr>
            </w:pPr>
            <w:r w:rsidRPr="00BC7082">
              <w:lastRenderedPageBreak/>
              <w:t>(7)</w:t>
            </w:r>
            <w:r w:rsidRPr="00BC7082">
              <w:tab/>
              <w:t xml:space="preserve">W </w:t>
            </w:r>
            <w:r w:rsidRPr="00BC7082">
              <w:rPr>
                <w:b/>
                <w:i/>
              </w:rPr>
              <w:t>obecnych ramach MREL w odniesieniu do</w:t>
            </w:r>
            <w:r w:rsidRPr="00BC7082">
              <w:t xml:space="preserve"> podmiotów poddawanych likwidacji MREL jest </w:t>
            </w:r>
            <w:r w:rsidRPr="00BC7082">
              <w:rPr>
                <w:b/>
                <w:i/>
              </w:rPr>
              <w:t>w większości przypadków ustalany na kwotę niezbędną</w:t>
            </w:r>
            <w:r w:rsidRPr="00BC7082">
              <w:t xml:space="preserve"> do pokrycia strat, która odpowiada wymogom w zakresie funduszy wła</w:t>
            </w:r>
            <w:r w:rsidRPr="00BC7082">
              <w:t>snych. W takich przypadkach MREL nie pociąga za sobą dla podmiotu poddawanego likwidacji żadnego dodatkowego wymogu bezpośrednio związanego z ramami restrukturyzacji i uporządkowanej likwidacji. Oznacza to, że podmiot poddawany likwidacji może w pełni speł</w:t>
            </w:r>
            <w:r w:rsidRPr="00BC7082">
              <w:t>nić MREL poprzez spełnienie wymogów w zakresie funduszy własnych oraz że specjalna decyzja organu ds. restrukturyzacji i uporządkowanej likwidacji o ustaleniu MREL nie przyczynia się w znaczący sposób do możliwości przeprowadzenia skutecznej restrukturyzac</w:t>
            </w:r>
            <w:r w:rsidRPr="00BC7082">
              <w:t>ji i uporządkowanej likwidacji podmiotów poddawanych likwidacji. Taka decyzja wiąże się z wieloma obowiązkami proceduralnymi dla organów ds. restrukturyzacji i uporządkowanej likwidacji oraz podmiotów poddawanych likwidacji, lecz obowiązkom tym nie towarzy</w:t>
            </w:r>
            <w:r w:rsidRPr="00BC7082">
              <w:t xml:space="preserve">szy odpowiednia korzyść w postaci poprawy możliwości przeprowadzenia skutecznej </w:t>
            </w:r>
            <w:r w:rsidRPr="00BC7082">
              <w:lastRenderedPageBreak/>
              <w:t>restrukturyzacji i uporządkowanej likwidacji. Z tego powodu organy ds. restrukturyzacji i uporządkowanej likwidacji nie powinny ustalać MREL dla podmiotów poddawanych likwidacj</w:t>
            </w:r>
            <w:r w:rsidRPr="00BC7082">
              <w:t>i.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6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8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(8)</w:t>
            </w:r>
            <w:r w:rsidRPr="00BC7082">
              <w:tab/>
            </w:r>
            <w:r w:rsidRPr="00BC7082">
              <w:rPr>
                <w:b/>
                <w:i/>
              </w:rPr>
              <w:t>W przypadku gdy organ ds.</w:t>
            </w:r>
            <w:r w:rsidRPr="00BC7082">
              <w:t xml:space="preserve"> restrukturyzacji i</w:t>
            </w:r>
            <w:r w:rsidRPr="00BC7082">
              <w:rPr>
                <w:b/>
                <w:i/>
              </w:rPr>
              <w:t> 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uzna, że podmiot będący częścią grupy</w:t>
            </w:r>
            <w:r w:rsidRPr="00BC7082">
              <w:t xml:space="preserve"> restrukturyzacji i</w:t>
            </w:r>
            <w:r w:rsidRPr="00BC7082">
              <w:rPr>
                <w:b/>
                <w:i/>
              </w:rPr>
              <w:t> </w:t>
            </w:r>
            <w:r w:rsidRPr="00BC7082">
              <w:t xml:space="preserve">uporządkowanej likwidacji kwalifikuje się jako podmiot poddawany likwidacji, </w:t>
            </w:r>
            <w:r w:rsidRPr="00BC7082">
              <w:rPr>
                <w:b/>
                <w:i/>
              </w:rPr>
              <w:t>jednostki pośrednie</w:t>
            </w:r>
            <w:r w:rsidRPr="00BC7082">
              <w:t xml:space="preserve"> nie </w:t>
            </w:r>
            <w:r w:rsidRPr="00BC7082">
              <w:rPr>
                <w:b/>
                <w:i/>
              </w:rPr>
              <w:t>powinny być zobowiązane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odliczania od swojej zdolności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 xml:space="preserve">spełniania </w:t>
            </w:r>
            <w:r w:rsidRPr="00BC7082">
              <w:rPr>
                <w:b/>
                <w:i/>
              </w:rPr>
              <w:t>wewnętrznego MREL posiadanych funduszy własnych lub innych zobowiązań, które spełniałyby kryteria kwalifikowalności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spełniania wewnętrznego MREL</w:t>
            </w:r>
            <w:r w:rsidRPr="00BC7082">
              <w:t xml:space="preserve"> i</w:t>
            </w:r>
            <w:r w:rsidRPr="00BC7082">
              <w:rPr>
                <w:b/>
                <w:i/>
              </w:rPr>
              <w:t> które zostały wyemitowane przez podmioty poddawane likwidacji</w:t>
            </w:r>
            <w:r w:rsidRPr="00BC7082">
              <w:t>.</w:t>
            </w:r>
            <w:r w:rsidRPr="00BC7082">
              <w:rPr>
                <w:b/>
                <w:i/>
              </w:rPr>
              <w:t xml:space="preserve"> </w:t>
            </w:r>
            <w:r w:rsidRPr="00BC7082">
              <w:t>W</w:t>
            </w:r>
            <w:r w:rsidRPr="00BC7082">
              <w:rPr>
                <w:b/>
                <w:i/>
              </w:rPr>
              <w:t> takim przypadku podmiot poddawany likwida</w:t>
            </w:r>
            <w:r w:rsidRPr="00BC7082">
              <w:rPr>
                <w:b/>
                <w:i/>
              </w:rPr>
              <w:t>cji nie jest już zobowiązany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spełnienia</w:t>
            </w:r>
            <w:r w:rsidRPr="00BC7082">
              <w:t xml:space="preserve"> MREL</w:t>
            </w:r>
            <w:r w:rsidRPr="00BC7082">
              <w:rPr>
                <w:b/>
                <w:i/>
              </w:rPr>
              <w:t>, w związku z czym nie ma pośredniej subskrypcji zasobów kwalifikowalnych na potrzeby wewnętrznego</w:t>
            </w:r>
            <w:r w:rsidRPr="00BC7082">
              <w:t xml:space="preserve"> MREL</w:t>
            </w:r>
            <w:r w:rsidRPr="00BC7082">
              <w:rPr>
                <w:b/>
                <w:i/>
              </w:rPr>
              <w:t xml:space="preserve"> w łańcuchu tworzonym przez podmiot restrukturyzacji i uporządkowanej likwidacji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jednostkę pośrednią i po</w:t>
            </w:r>
            <w:r w:rsidRPr="00BC7082">
              <w:rPr>
                <w:b/>
                <w:i/>
              </w:rPr>
              <w:t>dmiot poddawany likwidacji</w:t>
            </w:r>
            <w:r w:rsidRPr="00BC7082">
              <w:t xml:space="preserve">. W przypadku upadłości strategia restrukturyzacji i uporządkowanej likwidacji nie przewiduje </w:t>
            </w:r>
            <w:r w:rsidRPr="00BC7082">
              <w:rPr>
                <w:b/>
                <w:i/>
              </w:rPr>
              <w:t>wsparcia dla</w:t>
            </w:r>
            <w:r w:rsidRPr="00BC7082">
              <w:t xml:space="preserve"> podmiotu poddawanego likwidacji </w:t>
            </w:r>
            <w:r w:rsidRPr="00BC7082">
              <w:rPr>
                <w:b/>
                <w:i/>
              </w:rPr>
              <w:t>ze strony podmiotu</w:t>
            </w:r>
            <w:r w:rsidRPr="00BC7082">
              <w:t xml:space="preserve"> restrukturyzacji i uporządkowanej likwidacji. Oznacza to, że nie przewid</w:t>
            </w:r>
            <w:r w:rsidRPr="00BC7082">
              <w:t xml:space="preserve">uje się przenoszenia na wyższy szczebel – za pośrednictwem jednostki pośredniej – strat z podmiotu poddawanego likwidacji do podmiotu restrukturyzacji i uporządkowanej </w:t>
            </w:r>
            <w:r w:rsidRPr="00BC7082">
              <w:lastRenderedPageBreak/>
              <w:t>likwidacji ani przenoszenia na niższy szczebel kapitału w przeciwnym kierunku. Takie dos</w:t>
            </w:r>
            <w:r w:rsidRPr="00BC7082">
              <w:t>tosowanie zakresu posiadanych zasobów podlegających odliczeniu w kontekście pośredniej subskrypcji zasobów kwalifikowalnych na potrzeby wewnętrznego MREL nie miałoby zatem wpływu na adekwatność ram pod względem ostrożnościowym.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(8)</w:t>
            </w:r>
            <w:r w:rsidRPr="00BC7082">
              <w:tab/>
            </w:r>
            <w:r w:rsidRPr="00BC7082">
              <w:rPr>
                <w:b/>
                <w:i/>
              </w:rPr>
              <w:t>Przygotowując plany rest</w:t>
            </w:r>
            <w:r w:rsidRPr="00BC7082">
              <w:rPr>
                <w:b/>
                <w:i/>
              </w:rPr>
              <w:t>rukturyzacji i uporządkowanej likwidacji oraz oceniając możliwość przeprowadzenia skutecznej</w:t>
            </w:r>
            <w:r w:rsidRPr="00BC7082">
              <w:t xml:space="preserve"> restrukturyzacji i</w:t>
            </w:r>
            <w:r w:rsidRPr="00BC7082">
              <w:rPr>
                <w:b/>
                <w:i/>
              </w:rPr>
              <w:t xml:space="preserve"> 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grup restrukturyzacji i uporządkowanej likwidacji, organy ds.</w:t>
            </w:r>
            <w:r w:rsidRPr="00BC7082">
              <w:t xml:space="preserve"> restrukturyzacji i</w:t>
            </w:r>
            <w:r w:rsidRPr="00BC7082">
              <w:rPr>
                <w:b/>
                <w:i/>
              </w:rPr>
              <w:t xml:space="preserve"> 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mogą uznać,</w:t>
            </w:r>
            <w:r w:rsidRPr="00BC7082">
              <w:rPr>
                <w:b/>
                <w:i/>
              </w:rPr>
              <w:t xml:space="preserve"> że podmiot powiązany </w:t>
            </w:r>
            <w:r w:rsidRPr="00BC7082">
              <w:t xml:space="preserve">kwalifikuje się jako podmiot poddawany likwidacji, </w:t>
            </w:r>
            <w:r w:rsidRPr="00BC7082">
              <w:rPr>
                <w:b/>
                <w:i/>
              </w:rPr>
              <w:t>ponieważ</w:t>
            </w:r>
            <w:r w:rsidRPr="00BC7082">
              <w:t xml:space="preserve"> nie </w:t>
            </w:r>
            <w:r w:rsidRPr="00BC7082">
              <w:rPr>
                <w:b/>
                <w:i/>
              </w:rPr>
              <w:t>przewiduje się wykonania uprawnień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umorzenia i konwersji w odniesieniu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tego podmiotu. W takim przypadku podmiot powiązany może nie być zobowiązany do utrzymywania f</w:t>
            </w:r>
            <w:r w:rsidRPr="00BC7082">
              <w:rPr>
                <w:b/>
                <w:i/>
              </w:rPr>
              <w:t xml:space="preserve">unduszy własnych i zobowiązań kwalifikowalnych przekraczających wymagany poziom jego funduszy własnych. </w:t>
            </w:r>
            <w:r w:rsidRPr="00BC7082">
              <w:t>W</w:t>
            </w:r>
            <w:r w:rsidRPr="00BC7082">
              <w:rPr>
                <w:b/>
                <w:i/>
              </w:rPr>
              <w:t xml:space="preserve"> takich okolicznościach jednostki pośrednie powinny być zobowiązane do odliczania od swojej zdolności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spełniania wewnętrznego</w:t>
            </w:r>
            <w:r w:rsidRPr="00BC7082">
              <w:t xml:space="preserve"> MREL</w:t>
            </w:r>
            <w:r w:rsidRPr="00BC7082">
              <w:rPr>
                <w:b/>
                <w:i/>
              </w:rPr>
              <w:t xml:space="preserve"> posiadanych fundu</w:t>
            </w:r>
            <w:r w:rsidRPr="00BC7082">
              <w:rPr>
                <w:b/>
                <w:i/>
              </w:rPr>
              <w:t>szy własnych wyemitowanych przez podmioty poddawane likwidacji, które nie podlegają decyzji w sprawie</w:t>
            </w:r>
            <w:r w:rsidRPr="00BC7082">
              <w:t xml:space="preserve"> MREL</w:t>
            </w:r>
            <w:r w:rsidRPr="00BC7082">
              <w:rPr>
                <w:b/>
                <w:i/>
              </w:rPr>
              <w:t>. Nie należy jednak wymagać od nich odliczania zobowiązań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które spełniałyby kryteria kwalifikowalności do spełniania wewnętrznego MREL</w:t>
            </w:r>
            <w:r w:rsidRPr="00BC7082">
              <w:t xml:space="preserve">. </w:t>
            </w:r>
            <w:r w:rsidRPr="00BC7082">
              <w:t xml:space="preserve">W przypadku upadłości strategia restrukturyzacji i uporządkowanej likwidacji nie przewiduje </w:t>
            </w:r>
            <w:r w:rsidRPr="00BC7082">
              <w:rPr>
                <w:b/>
                <w:i/>
              </w:rPr>
              <w:t>rekapitalizacji</w:t>
            </w:r>
            <w:r w:rsidRPr="00BC7082">
              <w:t xml:space="preserve"> podmiotu poddawanego likwidacji </w:t>
            </w:r>
            <w:r w:rsidRPr="00BC7082">
              <w:rPr>
                <w:b/>
                <w:i/>
              </w:rPr>
              <w:t>przez podmiot</w:t>
            </w:r>
            <w:r w:rsidRPr="00BC7082">
              <w:t xml:space="preserve"> restrukturyzacji i uporządkowanej </w:t>
            </w:r>
            <w:r w:rsidRPr="00BC7082">
              <w:lastRenderedPageBreak/>
              <w:t>likwidacji. Oznacza to, że nie przewiduje się przenoszenia na wyższy</w:t>
            </w:r>
            <w:r w:rsidRPr="00BC7082">
              <w:t xml:space="preserve"> szczebel – za pośrednictwem jednostki pośredniej – strat</w:t>
            </w:r>
            <w:r w:rsidRPr="00BC7082">
              <w:rPr>
                <w:b/>
                <w:i/>
              </w:rPr>
              <w:t xml:space="preserve"> przekraczających obowiązujące wymogi dotyczące funduszy własnych</w:t>
            </w:r>
            <w:r w:rsidRPr="00BC7082">
              <w:t xml:space="preserve"> z podmiotu poddawanego likwidacji do podmiotu restrukturyzacji i uporządkowanej likwidacji ani przenoszenia na niższy szczebel kapita</w:t>
            </w:r>
            <w:r w:rsidRPr="00BC7082">
              <w:t>łu w przeciwnym kierunku. Takie dostosowanie zakresu posiadanych zasobów podlegających odliczeniu w kontekście pośredniej subskrypcji zasobów kwalifikowalnych na potrzeby wewnętrznego MREL nie miałoby zatem wpływu na adekwatność ram pod względem ostrożnośc</w:t>
            </w:r>
            <w:r w:rsidRPr="00BC7082">
              <w:t>iowym.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7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9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(9)</w:t>
            </w:r>
            <w:r w:rsidRPr="00BC7082">
              <w:tab/>
              <w:t xml:space="preserve">Głównym celem systemu zezwolenia na obniżenie </w:t>
            </w:r>
            <w:r w:rsidRPr="00BC7082">
              <w:t>stanu instrumentów zobowiązań kwalifikowalnych określonego w art. 77 ust. 2 i art. 78a rozporządzenia (UE) nr 575/2013, który ma również zastosowanie do instytucji i podmiotów podlegających MREL i zobowiązań wyemitowanych w celu spełnienia MREL, jest umożl</w:t>
            </w:r>
            <w:r w:rsidRPr="00BC7082">
              <w:t>iwienie organom ds. restrukturyzacji i uporządkowanej likwidacji monitorowania działań prowadzących do obniżenia stanu zobowiązań kwalifikowalnych oraz zakazywania wszelkich działań, które prowadziłyby do obniżenia stanu tych zobowiązań poniżej poziomu, kt</w:t>
            </w:r>
            <w:r w:rsidRPr="00BC7082">
              <w:t xml:space="preserve">óry organy ds. restrukturyzacji i uporządkowanej likwidacji uznają za odpowiedni. Jeżeli organ ds. restrukturyzacji i uporządkowanej likwidacji nie przyjął decyzji ustalającej MREL dla instytucji lub podmiotu, cel ten przestaje mieć znaczenie. </w:t>
            </w:r>
            <w:r w:rsidRPr="00BC7082">
              <w:rPr>
                <w:b/>
                <w:i/>
              </w:rPr>
              <w:t>Ponadto inst</w:t>
            </w:r>
            <w:r w:rsidRPr="00BC7082">
              <w:rPr>
                <w:b/>
                <w:i/>
              </w:rPr>
              <w:t xml:space="preserve">ytucje lub podmioty, które nie </w:t>
            </w:r>
            <w:r w:rsidRPr="00BC7082">
              <w:rPr>
                <w:b/>
                <w:i/>
              </w:rPr>
              <w:lastRenderedPageBreak/>
              <w:t>podlegają decyzji ustalającej MREL, nie mają w swoim bilansie zobowiązań kwalifikowalnych.</w:t>
            </w:r>
            <w:r w:rsidRPr="00BC7082">
              <w:t xml:space="preserve"> Instytucje lub podmioty, w odniesieniu do których nie przyjęto żadnych decyzji ustalających MREL, nie powinny zatem być zobowiązane do</w:t>
            </w:r>
            <w:r w:rsidRPr="00BC7082">
              <w:t xml:space="preserve"> uzyskania uprzedniego zezwolenia organu ds. restrukturyzacji i uporządkowanej likwidacji na przeprowadzenie wezwania do sprzedaży, wykupu, spłaty lub odkupu zobowiązań, które spełniałyby wymogi kwalifikowalności na potrzeby MREL.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(9)</w:t>
            </w:r>
            <w:r w:rsidRPr="00BC7082">
              <w:tab/>
              <w:t>Głównym celem systemu</w:t>
            </w:r>
            <w:r w:rsidRPr="00BC7082">
              <w:t xml:space="preserve"> zezwolenia na obniżenie stanu instrumentów zobowiązań kwalifikowalnych określonego w art. 77 ust. 2 i art. 78a rozporządzenia (UE) nr 575/2013, który ma również zastosowanie do instytucji i podmiotów podlegających MREL i zobowiązań wyemitowanych w celu sp</w:t>
            </w:r>
            <w:r w:rsidRPr="00BC7082">
              <w:t>ełnienia MREL, jest umożliwienie organom ds. restrukturyzacji i uporządkowanej likwidacji monitorowania działań prowadzących do obniżenia stanu zobowiązań kwalifikowalnych oraz zakazywania wszelkich działań, które prowadziłyby do obniżenia stanu tych zobow</w:t>
            </w:r>
            <w:r w:rsidRPr="00BC7082">
              <w:t>iązań poniżej poziomu, który organy ds. restrukturyzacji i uporządkowanej likwidacji uznają za odpowiedni. Jeżeli organ ds. restrukturyzacji i uporządkowanej likwidacji nie przyjął decyzji ustalającej MREL dla instytucji lub podmiotu, cel ten przestaje mie</w:t>
            </w:r>
            <w:r w:rsidRPr="00BC7082">
              <w:t xml:space="preserve">ć znaczenie. Instytucje lub podmioty, w odniesieniu do </w:t>
            </w:r>
            <w:r w:rsidRPr="00BC7082">
              <w:lastRenderedPageBreak/>
              <w:t xml:space="preserve">których nie przyjęto żadnych decyzji ustalających MREL, nie powinny zatem być zobowiązane do uzyskania uprzedniego zezwolenia organu ds. restrukturyzacji i uporządkowanej likwidacji na przeprowadzenie </w:t>
            </w:r>
            <w:r w:rsidRPr="00BC7082">
              <w:t>wezwania do sprzedaży, wykupu, spłaty lub odkupu zobowiązań, które spełniałyby wymogi kwalifikowalności na potrzeby MREL.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8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10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(10)</w:t>
            </w:r>
            <w:r w:rsidRPr="00BC7082">
              <w:tab/>
              <w:t xml:space="preserve">Istnieją podmioty poddawane likwidacji, w przypadku których MREL </w:t>
            </w:r>
            <w:r w:rsidRPr="00BC7082">
              <w:rPr>
                <w:b/>
                <w:i/>
              </w:rPr>
              <w:t>przekracza</w:t>
            </w:r>
            <w:r w:rsidRPr="00BC7082">
              <w:t xml:space="preserve"> kwotę </w:t>
            </w:r>
            <w:r w:rsidRPr="00BC7082">
              <w:rPr>
                <w:b/>
                <w:i/>
              </w:rPr>
              <w:t>wymogów w zakresie funduszy własnych,</w:t>
            </w:r>
            <w:r w:rsidRPr="00BC7082">
              <w:t xml:space="preserve"> w </w:t>
            </w:r>
            <w:r w:rsidRPr="00BC7082">
              <w:rPr>
                <w:b/>
                <w:i/>
              </w:rPr>
              <w:t>której to sytuacji</w:t>
            </w:r>
            <w:r w:rsidRPr="00BC7082">
              <w:t xml:space="preserve"> organy ds. restrukturyzacji i uporządkowanej likwidacji </w:t>
            </w:r>
            <w:r w:rsidRPr="00BC7082">
              <w:rPr>
                <w:b/>
                <w:i/>
              </w:rPr>
              <w:t>powinny mieć możliwość ustalenia MREL. MREL ten należy ustalić na poziomie kwoty przekraczającej kwotę na pokrycie strat,</w:t>
            </w:r>
            <w:r w:rsidRPr="00BC7082">
              <w:t xml:space="preserve"> w </w:t>
            </w:r>
            <w:r w:rsidRPr="00BC7082">
              <w:rPr>
                <w:b/>
                <w:i/>
              </w:rPr>
              <w:t>przypadku gdy</w:t>
            </w:r>
            <w:r w:rsidRPr="00BC7082">
              <w:t xml:space="preserve"> organy ds. restrukturyzacji i</w:t>
            </w:r>
            <w:r w:rsidRPr="00BC7082">
              <w:rPr>
                <w:b/>
                <w:i/>
              </w:rPr>
              <w:t> 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uznaj</w:t>
            </w:r>
            <w:r w:rsidRPr="00BC7082">
              <w:rPr>
                <w:b/>
                <w:i/>
              </w:rPr>
              <w:t>ą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że taka kwota jest niezbędna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ochrony stabilności finansowej lub</w:t>
            </w:r>
            <w:r w:rsidRPr="00BC7082">
              <w:t xml:space="preserve"> przeciwdziałania </w:t>
            </w:r>
            <w:r w:rsidRPr="00BC7082">
              <w:rPr>
                <w:b/>
                <w:i/>
              </w:rPr>
              <w:t>ryzyku wywołania efektu domina w systemie finansowym</w:t>
            </w:r>
            <w:r w:rsidRPr="00BC7082">
              <w:t xml:space="preserve">. </w:t>
            </w:r>
            <w:r w:rsidRPr="00BC7082">
              <w:rPr>
                <w:b/>
                <w:i/>
              </w:rPr>
              <w:t>W takich sytuacjach</w:t>
            </w:r>
            <w:r w:rsidRPr="00BC7082">
              <w:t xml:space="preserve"> podmiot poddawany likwidacji powinien spełniać MREL i nie powinien być zwolniony z systemu uprz</w:t>
            </w:r>
            <w:r w:rsidRPr="00BC7082">
              <w:t>edniego zezwolenia określonego w art. 77 ust. 2 i art. 78a rozporządzenia (UE) nr 575/2013. Wszelkie jednostki pośrednie należące do tej samej grupy restrukturyzacji i uporządkowanej likwidacji co dany podmiot poddawany likwidacji powinny nadal mieć obowią</w:t>
            </w:r>
            <w:r w:rsidRPr="00BC7082">
              <w:t xml:space="preserve">zek odliczania od swojej zdolności do spełniania wewnętrznego </w:t>
            </w:r>
            <w:r w:rsidRPr="00BC7082">
              <w:lastRenderedPageBreak/>
              <w:t>MREL posiadanych zasobów kwalifikowalnych na potrzeby wewnętrznego MREL wyemitowanych przez ten podmiot poddawany likwidacji. Ponieważ postępowanie likwidacyjne odbywa się na poziomie podmiotu p</w:t>
            </w:r>
            <w:r w:rsidRPr="00BC7082">
              <w:t xml:space="preserve">rawnego, podmioty poddawane likwidacji nadal podlegające MREL powinny ponadto spełniać ten wymóg wyłącznie na zasadzie indywidualnej. Niektóre wymogi kwalifikowalności dotyczące własności danego zobowiązania również nie są istotne, ponieważ </w:t>
            </w:r>
            <w:r w:rsidRPr="00BC7082">
              <w:rPr>
                <w:b/>
                <w:i/>
              </w:rPr>
              <w:t>nie ma potrzeby</w:t>
            </w:r>
            <w:r w:rsidRPr="00BC7082">
              <w:rPr>
                <w:b/>
                <w:i/>
              </w:rPr>
              <w:t xml:space="preserve"> zapewnienia przeniesienia strat</w:t>
            </w:r>
            <w:r w:rsidRPr="00BC7082">
              <w:t xml:space="preserve"> i</w:t>
            </w:r>
            <w:r w:rsidRPr="00BC7082">
              <w:rPr>
                <w:b/>
                <w:i/>
              </w:rPr>
              <w:t> kapitału z podmiotu poddawanego likwidacji do podmiotu</w:t>
            </w:r>
            <w:r w:rsidRPr="00BC7082">
              <w:t xml:space="preserve"> restrukturyzacji i uporządkowanej likwidacji, a zatem wymogi te nie powinny mieć zastosowania.</w:t>
            </w:r>
          </w:p>
        </w:tc>
        <w:tc>
          <w:tcPr>
            <w:tcW w:w="4876" w:type="dxa"/>
            <w:hideMark/>
          </w:tcPr>
          <w:p w:rsidR="00932D06" w:rsidRPr="00BC7082" w:rsidRDefault="00956D07" w:rsidP="000A7B09">
            <w:pPr>
              <w:pStyle w:val="Normal6"/>
              <w:rPr>
                <w:szCs w:val="24"/>
              </w:rPr>
            </w:pPr>
            <w:r w:rsidRPr="00BC7082">
              <w:lastRenderedPageBreak/>
              <w:t>(10)</w:t>
            </w:r>
            <w:r w:rsidRPr="00BC7082">
              <w:tab/>
              <w:t xml:space="preserve">Istnieją podmioty poddawane likwidacji, w przypadku których MREL </w:t>
            </w:r>
            <w:r w:rsidRPr="00BC7082">
              <w:rPr>
                <w:b/>
                <w:i/>
              </w:rPr>
              <w:t>p</w:t>
            </w:r>
            <w:r w:rsidRPr="00BC7082">
              <w:rPr>
                <w:b/>
                <w:i/>
              </w:rPr>
              <w:t>owinien przekraczać</w:t>
            </w:r>
            <w:r w:rsidRPr="00BC7082">
              <w:t xml:space="preserve"> kwotę </w:t>
            </w:r>
            <w:r w:rsidRPr="00BC7082">
              <w:rPr>
                <w:b/>
                <w:i/>
              </w:rPr>
              <w:t>na pokrycie strat. Dzieje się tak</w:t>
            </w:r>
            <w:r w:rsidRPr="00BC7082">
              <w:t xml:space="preserve"> w </w:t>
            </w:r>
            <w:r w:rsidRPr="00BC7082">
              <w:rPr>
                <w:b/>
                <w:i/>
              </w:rPr>
              <w:t>przypadku, gdy</w:t>
            </w:r>
            <w:r w:rsidRPr="00BC7082">
              <w:t xml:space="preserve"> organy ds. restrukturyzacji i uporządkowanej likwidacji </w:t>
            </w:r>
            <w:r w:rsidRPr="00BC7082">
              <w:rPr>
                <w:b/>
                <w:i/>
              </w:rPr>
              <w:t xml:space="preserve">uznają, że taka wyższa kwota jest niezbędna do ochrony stabilności finansowej lub przeciwdziałania ryzyku wywołania efektu </w:t>
            </w:r>
            <w:r w:rsidRPr="00BC7082">
              <w:rPr>
                <w:b/>
                <w:i/>
              </w:rPr>
              <w:t>domina</w:t>
            </w:r>
            <w:r w:rsidRPr="00BC7082">
              <w:t xml:space="preserve"> w </w:t>
            </w:r>
            <w:r w:rsidRPr="00BC7082">
              <w:rPr>
                <w:b/>
                <w:i/>
              </w:rPr>
              <w:t>systemie finansowym.</w:t>
            </w:r>
            <w:r w:rsidRPr="00BC7082">
              <w:t xml:space="preserve"> </w:t>
            </w:r>
            <w:r w:rsidRPr="00BC7082">
              <w:rPr>
                <w:b/>
                <w:i/>
              </w:rPr>
              <w:t>W takich sytuacjach</w:t>
            </w:r>
            <w:r w:rsidRPr="00BC7082">
              <w:t xml:space="preserve"> organy ds. restrukturyzacji i</w:t>
            </w:r>
            <w:r w:rsidRPr="00BC7082">
              <w:rPr>
                <w:b/>
                <w:i/>
              </w:rPr>
              <w:t xml:space="preserve"> 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powinny określić MREL dla podmiotu poddawanego likwidacji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na który składa się kwota wystarczająca</w:t>
            </w:r>
            <w:r w:rsidRPr="00BC7082">
              <w:t xml:space="preserve"> do </w:t>
            </w:r>
            <w:r w:rsidRPr="00BC7082">
              <w:rPr>
                <w:b/>
                <w:i/>
              </w:rPr>
              <w:t>pokrycia strat, powiększona o kwotę niezbędną do</w:t>
            </w:r>
            <w:r w:rsidRPr="00BC7082">
              <w:rPr>
                <w:b/>
                <w:i/>
              </w:rPr>
              <w:t xml:space="preserve"> właściwego</w:t>
            </w:r>
            <w:r w:rsidRPr="00BC7082">
              <w:t xml:space="preserve"> przeciwdziałania </w:t>
            </w:r>
            <w:r w:rsidRPr="00BC7082">
              <w:rPr>
                <w:b/>
                <w:i/>
              </w:rPr>
              <w:t>potencjalnym zagrożeniom zidentyfikowanym przez organy ds</w:t>
            </w:r>
            <w:r w:rsidRPr="00BC7082">
              <w:t xml:space="preserve">. </w:t>
            </w:r>
            <w:r w:rsidRPr="00BC7082">
              <w:rPr>
                <w:b/>
                <w:i/>
              </w:rPr>
              <w:t>restrukturyzacji i uporządkowanej likwidacji.</w:t>
            </w:r>
            <w:r w:rsidRPr="00BC7082">
              <w:t xml:space="preserve"> Podmiot poddawany likwidacji powinien spełniać MREL i nie powinien być zwolniony z systemu uprzedniego zezwolenia określon</w:t>
            </w:r>
            <w:r w:rsidRPr="00BC7082">
              <w:t xml:space="preserve">ego w art. 77 ust. 2 i art. 78a rozporządzenia (UE) nr 575/2013. Wszelkie jednostki pośrednie należące do tej samej grupy </w:t>
            </w:r>
            <w:r w:rsidRPr="00BC7082">
              <w:lastRenderedPageBreak/>
              <w:t>restrukturyzacji i uporządkowanej likwidacji co dany podmiot poddawany likwidacji powinny nadal mieć obowiązek odliczania od swojej zd</w:t>
            </w:r>
            <w:r w:rsidRPr="00BC7082">
              <w:t>olności do spełniania wewnętrznego MREL posiadanych zasobów kwalifikowalnych na potrzeby wewnętrznego MREL wyemitowanych przez ten podmiot poddawany likwidacji. Ponieważ postępowanie likwidacyjne odbywa się na poziomie podmiotu prawnego, podmioty poddawane</w:t>
            </w:r>
            <w:r w:rsidRPr="00BC7082">
              <w:t xml:space="preserve"> likwidacji nadal podlegające MREL powinny ponadto spełniać ten wymóg wyłącznie na zasadzie indywidualnej. Niektóre wymogi kwalifikowalności dotyczące własności danego zobowiązania również nie są istotne, ponieważ </w:t>
            </w:r>
            <w:r w:rsidRPr="00BC7082">
              <w:rPr>
                <w:b/>
                <w:i/>
              </w:rPr>
              <w:t>bez wykonania uprawnień do umorzenia</w:t>
            </w:r>
            <w:r w:rsidRPr="00BC7082">
              <w:t xml:space="preserve"> i</w:t>
            </w:r>
            <w:r w:rsidRPr="00BC7082">
              <w:rPr>
                <w:b/>
                <w:i/>
              </w:rPr>
              <w:t xml:space="preserve"> kon</w:t>
            </w:r>
            <w:r w:rsidRPr="00BC7082">
              <w:rPr>
                <w:b/>
                <w:i/>
              </w:rPr>
              <w:t>wersji nie byłoby potrzeby utrzymywania kontroli nad jednostką zależną przez podmiot</w:t>
            </w:r>
            <w:r w:rsidRPr="00BC7082">
              <w:t xml:space="preserve"> restrukturyzacji i uporządkowanej likwidacji, a zatem wymogi te nie powinny mieć zastosowania.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9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Motyw 14</w:t>
      </w:r>
      <w:r w:rsidRPr="00BC7082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(14)</w:t>
            </w:r>
            <w:r w:rsidRPr="00BC7082">
              <w:tab/>
            </w:r>
            <w:r w:rsidRPr="00BC7082">
              <w:t xml:space="preserve">Ponieważ cele niniejszej dyrektywy, a mianowicie dostosowanie traktowania podmiotów poddawanych likwidacji w kontekście ram MREL oraz </w:t>
            </w:r>
            <w:r w:rsidRPr="00BC7082">
              <w:rPr>
                <w:b/>
                <w:i/>
              </w:rPr>
              <w:t>możliwości spełnienia</w:t>
            </w:r>
            <w:r w:rsidRPr="00BC7082">
              <w:t xml:space="preserve"> wewnętrznego MREL na zasadzie skonsolidowanej, nie mogą zostać osiągnięte w sposób wystarczający prz</w:t>
            </w:r>
            <w:r w:rsidRPr="00BC7082">
              <w:t>ez państwa członkowskie, natomiast możliwe jest lepsze ich osiągnięcie na poziomie Unii w drodze zmiany przepisów już ustanowionych na poziomie Unii, może ona przyjąć środki zgodnie z zasadą pomocniczości określoną w art. 5 Traktatu o Unii Europejskiej. Zg</w:t>
            </w:r>
            <w:r w:rsidRPr="00BC7082">
              <w:t xml:space="preserve">odnie z zasadą proporcjonalności określoną w tym </w:t>
            </w:r>
            <w:r w:rsidRPr="00BC7082">
              <w:lastRenderedPageBreak/>
              <w:t>artykule niniejsza dyrektywa nie wykracza poza to, co jest konieczne do osiągnięcia tych celów,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(14)</w:t>
            </w:r>
            <w:r w:rsidRPr="00BC7082">
              <w:tab/>
              <w:t>Ponieważ cele niniejszej dyrektywy, a mianowicie dostosowanie traktowania podmiotów poddawanych likwidacji</w:t>
            </w:r>
            <w:r w:rsidRPr="00BC7082">
              <w:t xml:space="preserve"> w kontekście ram MREL oraz </w:t>
            </w:r>
            <w:r w:rsidRPr="00BC7082">
              <w:rPr>
                <w:b/>
                <w:i/>
              </w:rPr>
              <w:t>możliwość ustalenia</w:t>
            </w:r>
            <w:r w:rsidRPr="00BC7082">
              <w:t xml:space="preserve"> wewnętrznego MREL na zasadzie skonsolidowanej</w:t>
            </w:r>
            <w:r w:rsidRPr="00BC7082">
              <w:rPr>
                <w:b/>
                <w:i/>
              </w:rPr>
              <w:t xml:space="preserve"> przez organy ds. restrukturyzacji i uporządkowanej likwidacji</w:t>
            </w:r>
            <w:r w:rsidRPr="00BC7082">
              <w:t>, nie mogą zostać osiągnięte w sposób wystarczający przez państwa członkowskie, natomiast możliwe jes</w:t>
            </w:r>
            <w:r w:rsidRPr="00BC7082">
              <w:t xml:space="preserve">t lepsze ich osiągnięcie na poziomie Unii w drodze zmiany przepisów już ustanowionych na poziomie Unii, może ona przyjąć środki zgodnie z zasadą pomocniczości określoną w art. 5 Traktatu o Unii Europejskiej. Zgodnie z zasadą </w:t>
            </w:r>
            <w:r w:rsidRPr="00BC7082">
              <w:lastRenderedPageBreak/>
              <w:t>proporcjonalności określoną w t</w:t>
            </w:r>
            <w:r w:rsidRPr="00BC7082">
              <w:t>ym artykule niniejsza dyrektywa nie wykracza poza to, co jest konieczne do osiągnięcia tych celów,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10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 xml:space="preserve">Artykuł 1 – ustęp 1 – </w:t>
      </w:r>
      <w:r w:rsidRPr="00BC7082">
        <w:t>punkt 1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Dyrektywa 2014/59/UE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2 – ustęp 1 – punkt 83aa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(83aa)</w:t>
            </w:r>
            <w:r w:rsidRPr="00BC7082">
              <w:tab/>
              <w:t xml:space="preserve">»podmiot poddawany likwidacji« oznacza osobę prawną mającą siedzibę na terytorium Unii, </w:t>
            </w:r>
            <w:r w:rsidRPr="00BC7082">
              <w:t>w odniesieniu do której grupowy plan restrukturyzacji i uporządkowanej likwidacji lub – w przypadku podmiotów, które nie są częścią grupy – plan restrukturyzacji i uporządkowanej likwidacji stanowi, że podmiot ten ma zostać zlikwidowany w</w:t>
            </w:r>
            <w:r w:rsidRPr="00BC7082">
              <w:rPr>
                <w:b/>
                <w:i/>
              </w:rPr>
              <w:t> sposób uporządkow</w:t>
            </w:r>
            <w:r w:rsidRPr="00BC7082">
              <w:rPr>
                <w:b/>
                <w:i/>
              </w:rPr>
              <w:t>any zgodnie z mającym zastosowanie prawem krajowym</w:t>
            </w:r>
            <w:r w:rsidRPr="00BC7082">
              <w:t>;</w:t>
            </w:r>
          </w:p>
        </w:tc>
        <w:tc>
          <w:tcPr>
            <w:tcW w:w="4876" w:type="dxa"/>
            <w:hideMark/>
          </w:tcPr>
          <w:p w:rsidR="00932D06" w:rsidRPr="00BC7082" w:rsidRDefault="00956D07" w:rsidP="000A7B09">
            <w:pPr>
              <w:pStyle w:val="Normal6"/>
              <w:rPr>
                <w:szCs w:val="24"/>
              </w:rPr>
            </w:pPr>
            <w:r w:rsidRPr="00BC7082">
              <w:t>(83aa)</w:t>
            </w:r>
            <w:r w:rsidRPr="00BC7082">
              <w:tab/>
              <w:t>»podmiot poddawany likwidacji« oznacza osobę prawną mającą siedzibę na terytorium Unii, w odniesieniu do której grupowy plan restrukturyzacji i uporządkowanej likwidacji lub – w przypadku podmiotów</w:t>
            </w:r>
            <w:r w:rsidRPr="00BC7082">
              <w:t>, które nie są częścią grupy – plan restrukturyzacji i uporządkowanej likwidacji stanowi, że podmiot ten ma zostać zlikwidowany w</w:t>
            </w:r>
            <w:r w:rsidRPr="00BC7082">
              <w:rPr>
                <w:b/>
                <w:i/>
              </w:rPr>
              <w:t xml:space="preserve"> ramach normalnego postępowania upadłościowego, lub nie przewiduje wykonania uprawnień do umorzenia i konwersji w odniesieniu d</w:t>
            </w:r>
            <w:r w:rsidRPr="00BC7082">
              <w:rPr>
                <w:b/>
                <w:i/>
              </w:rPr>
              <w:t>o tego podmiotu</w:t>
            </w:r>
            <w:r w:rsidRPr="00BC7082">
              <w:t>;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11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1 – akapit 1 – punkt 2 – litera b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Dyrektywa 2014/59/UE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45c – ustęp 2a – akapit 2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 xml:space="preserve">Na zasadzie odstępstwa od akapitu pierwszego </w:t>
            </w:r>
            <w:r w:rsidRPr="00BC7082">
              <w:rPr>
                <w:b/>
                <w:i/>
              </w:rPr>
              <w:t xml:space="preserve">i jeżeli jest to konieczne do celów ochrony stabilności finansowej lub ograniczenia potencjalnego efektu domina </w:t>
            </w:r>
            <w:r w:rsidRPr="00BC7082">
              <w:rPr>
                <w:b/>
                <w:i/>
              </w:rPr>
              <w:t>w systemie finansowym, organy</w:t>
            </w:r>
            <w:r w:rsidRPr="00BC7082">
              <w:t xml:space="preserve"> ds. restrukturyzacji i</w:t>
            </w:r>
            <w:r w:rsidRPr="00BC7082">
              <w:rPr>
                <w:b/>
                <w:i/>
              </w:rPr>
              <w:t> 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mogą</w:t>
            </w:r>
            <w:r w:rsidRPr="00BC7082">
              <w:t xml:space="preserve"> w odniesieniu do podmiotów poddawanych likwidacji </w:t>
            </w:r>
            <w:r w:rsidRPr="00BC7082">
              <w:rPr>
                <w:b/>
                <w:i/>
              </w:rPr>
              <w:lastRenderedPageBreak/>
              <w:t>wyjątkowo ustalić wymóg</w:t>
            </w:r>
            <w:r w:rsidRPr="00BC7082">
              <w:t xml:space="preserve">, o którym mowa w art. 45 ust. 1, na zasadzie indywidualnej w kwocie </w:t>
            </w:r>
            <w:r w:rsidRPr="00BC7082">
              <w:rPr>
                <w:b/>
                <w:i/>
              </w:rPr>
              <w:t>wystarczającej</w:t>
            </w:r>
            <w:r w:rsidRPr="00BC7082">
              <w:t xml:space="preserve"> do pokrycia str</w:t>
            </w:r>
            <w:r w:rsidRPr="00BC7082">
              <w:t xml:space="preserve">at zgodnie z ust. 2 lit. a) niniejszego artykułu, </w:t>
            </w:r>
            <w:r w:rsidRPr="00BC7082">
              <w:rPr>
                <w:b/>
                <w:i/>
              </w:rPr>
              <w:t>powiększonej do kwoty, która jest niezbędna do osiągnięcia tych celów</w:t>
            </w:r>
            <w:r w:rsidRPr="00BC7082">
              <w:t>. W takich przypadkach podmioty poddawane likwidacji muszą spełnić wymóg, o którym mowa w art. 45 ust. 1, za pomocą co najmniej jednego z</w:t>
            </w:r>
            <w:r w:rsidRPr="00BC7082">
              <w:t> poniższych zasobów: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 xml:space="preserve">Na zasadzie odstępstwa od akapitu pierwszego </w:t>
            </w:r>
            <w:r w:rsidRPr="00BC7082">
              <w:rPr>
                <w:b/>
                <w:i/>
              </w:rPr>
              <w:t>organ</w:t>
            </w:r>
            <w:r w:rsidRPr="00BC7082">
              <w:t xml:space="preserve"> ds. restrukturyzacji i</w:t>
            </w:r>
            <w:r w:rsidRPr="00BC7082">
              <w:rPr>
                <w:b/>
                <w:i/>
              </w:rPr>
              <w:t xml:space="preserve"> </w:t>
            </w:r>
            <w:r w:rsidRPr="00BC7082">
              <w:t xml:space="preserve">uporządkowanej likwidacji </w:t>
            </w:r>
            <w:r w:rsidRPr="00BC7082">
              <w:rPr>
                <w:b/>
                <w:i/>
              </w:rPr>
              <w:t>ocenia, czy</w:t>
            </w:r>
            <w:r w:rsidRPr="00BC7082">
              <w:t xml:space="preserve"> w odniesieniu do podmiotów poddawanych likwidacji </w:t>
            </w:r>
            <w:r w:rsidRPr="00BC7082">
              <w:rPr>
                <w:b/>
                <w:i/>
              </w:rPr>
              <w:t>uzasadnione jest ustalenie wymogu</w:t>
            </w:r>
            <w:r w:rsidRPr="00BC7082">
              <w:t>, o którym mowa w art. 45 ust. 1, na zas</w:t>
            </w:r>
            <w:r w:rsidRPr="00BC7082">
              <w:t xml:space="preserve">adzie indywidualnej w kwocie </w:t>
            </w:r>
            <w:r w:rsidRPr="00BC7082">
              <w:rPr>
                <w:b/>
                <w:i/>
              </w:rPr>
              <w:t>przekraczającej kwotę wystarczającą</w:t>
            </w:r>
            <w:r w:rsidRPr="00BC7082">
              <w:t xml:space="preserve"> do </w:t>
            </w:r>
            <w:r w:rsidRPr="00BC7082">
              <w:lastRenderedPageBreak/>
              <w:t>pokrycia strat zgodnie z ust. 2 lit. a) niniejszego artykułu</w:t>
            </w:r>
            <w:r w:rsidRPr="00BC7082">
              <w:rPr>
                <w:b/>
                <w:i/>
              </w:rPr>
              <w:t>. W swojej ocenie organ ds. restrukturyzacji i uporządkowanej likwidacji analizuje ewentualne konsekwencje upadłości danego podm</w:t>
            </w:r>
            <w:r w:rsidRPr="00BC7082">
              <w:rPr>
                <w:b/>
                <w:i/>
              </w:rPr>
              <w:t>iotu poddawanego likwidacji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a w szczególności uwzględnia wszelki możliwy wpływ na stabilność finansową i na ryzyko wywołania efektu domina w systemie finansowym</w:t>
            </w:r>
            <w:r w:rsidRPr="00BC7082">
              <w:t>. W takich przypadkach podmioty poddawane likwidacji muszą spełnić wymóg, o którym mowa w art. </w:t>
            </w:r>
            <w:r w:rsidRPr="00BC7082">
              <w:t>45 ust. 1, za pomocą co najmniej jednego z poniższych zasobów: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12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1 – akapit 1 – punkt 2 – litera b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Dyrektywa 2014/59/UE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45c – ustęp 2a – akapit 4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 xml:space="preserve">Posiadanych </w:t>
            </w:r>
            <w:r w:rsidRPr="00BC7082">
              <w:rPr>
                <w:b/>
                <w:i/>
              </w:rPr>
              <w:t>instrumentów</w:t>
            </w:r>
            <w:r w:rsidRPr="00BC7082">
              <w:t xml:space="preserve"> funduszy własnych </w:t>
            </w:r>
            <w:r w:rsidRPr="00BC7082">
              <w:rPr>
                <w:b/>
                <w:i/>
              </w:rPr>
              <w:t>lub zobowiązań wyemitowanych</w:t>
            </w:r>
            <w:r w:rsidRPr="00BC7082">
              <w:t xml:space="preserve"> przez jednostki zależne będące podmiotami poddawanymi likwidacji, w odniesieniu do których organ ds. restrukturyzacji i uporządkowanej likwidacji nie ustalił wymogu, o którym mowa w art. 45 ust. 1, nie odlicza się zgodnie z art. 72e ust. 5 rozporządzenia </w:t>
            </w:r>
            <w:r w:rsidRPr="00BC7082">
              <w:t>(UE) nr 575/2013.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 xml:space="preserve">Posiadanych </w:t>
            </w:r>
            <w:r w:rsidRPr="00BC7082">
              <w:rPr>
                <w:b/>
                <w:i/>
              </w:rPr>
              <w:t>zobowiązań, które nie kwalifikują się jako instrumenty</w:t>
            </w:r>
            <w:r w:rsidRPr="00BC7082">
              <w:t xml:space="preserve"> funduszy własnych </w:t>
            </w:r>
            <w:r w:rsidRPr="00BC7082">
              <w:rPr>
                <w:b/>
                <w:i/>
              </w:rPr>
              <w:t>wyemitowane</w:t>
            </w:r>
            <w:r w:rsidRPr="00BC7082">
              <w:t xml:space="preserve"> przez jednostki zależne będące podmiotami poddawanymi likwidacji, w odniesieniu do których organ ds. restrukturyzacji i uporządkowanej likwid</w:t>
            </w:r>
            <w:r w:rsidRPr="00BC7082">
              <w:t>acji nie ustalił wymogu, o którym mowa w art. 45 ust. 1, nie odlicza się zgodnie z art. 72e ust. 5 rozporządzenia (UE) nr 575/2013.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13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1 – akapit 1 – punkt 3 – litera a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Dyrektywa 2014/59/UE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45f – ustęp 1 – akapit 3a – litera a – podpunkt ii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(ii)</w:t>
            </w:r>
            <w:r w:rsidRPr="00BC7082">
              <w:tab/>
            </w:r>
            <w:r w:rsidRPr="00BC7082">
              <w:t xml:space="preserve">jednostka zależna podlega wymogowi, o którym mowa w art. 104a </w:t>
            </w:r>
            <w:r w:rsidRPr="00BC7082">
              <w:lastRenderedPageBreak/>
              <w:t xml:space="preserve">dyrektywy 2013/36/UE, </w:t>
            </w:r>
            <w:r w:rsidRPr="00BC7082">
              <w:rPr>
                <w:b/>
                <w:i/>
              </w:rPr>
              <w:t>lub wymogowi połączonego bufora</w:t>
            </w:r>
            <w:r w:rsidRPr="00BC7082">
              <w:t xml:space="preserve"> na zasadzie skonsolidowanej;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(ii)</w:t>
            </w:r>
            <w:r w:rsidRPr="00BC7082">
              <w:tab/>
              <w:t xml:space="preserve">jednostka zależna podlega wymogowi, o którym mowa w art. 104a </w:t>
            </w:r>
            <w:r w:rsidRPr="00BC7082">
              <w:lastRenderedPageBreak/>
              <w:t xml:space="preserve">dyrektywy 2013/36/UE, </w:t>
            </w:r>
            <w:r w:rsidRPr="00BC7082">
              <w:rPr>
                <w:b/>
                <w:i/>
              </w:rPr>
              <w:t>tylko</w:t>
            </w:r>
            <w:r w:rsidRPr="00BC7082">
              <w:t xml:space="preserve"> na zasadzie skon</w:t>
            </w:r>
            <w:r w:rsidRPr="00BC7082">
              <w:t>solidowanej;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14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1 – akapit 1 – punkt 3 – litera a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Dyrektywa 2014/59/UE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</w:t>
      </w:r>
      <w:r w:rsidRPr="00BC7082">
        <w:t>tykuł 45f – ustęp 1 – akapit 3a – litera b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b)</w:t>
            </w:r>
            <w:r w:rsidRPr="00BC7082">
              <w:tab/>
              <w:t xml:space="preserve">spełnienie wymogu określonego w art. 45c na zasadzie skonsolidowanej nie wpływa </w:t>
            </w:r>
            <w:r w:rsidRPr="00BC7082">
              <w:rPr>
                <w:b/>
                <w:i/>
              </w:rPr>
              <w:t xml:space="preserve">w znaczący sposób </w:t>
            </w:r>
            <w:r w:rsidRPr="00BC7082">
              <w:t xml:space="preserve">negatywnie na możliwość przeprowadzenia skutecznej </w:t>
            </w:r>
            <w:r w:rsidRPr="00BC7082">
              <w:t>restrukturyzacji i uporządkowanej likwidacji grupy restrukturyzacji i uporządkowanej likwidacji ani na umorzenie lub konwersję zgodnie z art. 59 odpowiednich instrumentów kapitałowych i zobowiązań kwalifikowalnych danej jednostki zależnej lub innych podmio</w:t>
            </w:r>
            <w:r w:rsidRPr="00BC7082">
              <w:t>tów w ramach grupy restrukturyzacji i uporządkowanej likwidacji.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>b)</w:t>
            </w:r>
            <w:r w:rsidRPr="00BC7082">
              <w:tab/>
              <w:t>spełnienie wymogu określonego w art. 45c na zasadzie skonsolidowanej nie wpływa negatywnie na możliwość przeprowadzenia skutecznej restrukturyzacji i uporządkowanej likwidacji grupy restru</w:t>
            </w:r>
            <w:r w:rsidRPr="00BC7082">
              <w:t>kturyzacji i uporządkowanej likwidacji ani na umorzenie lub konwersję zgodnie z art. 59 odpowiednich instrumentów kapitałowych i zobowiązań kwalifikowalnych danej jednostki zależnej lub innych podmiotów w ramach grupy restrukturyzacji i uporządkowanej likw</w:t>
            </w:r>
            <w:r w:rsidRPr="00BC7082">
              <w:t>idacji.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15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2 – akapit 1 – punkt 2 – litera b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Rozporządzenie (UE) nr 806/2014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12d – ustęp 2a – akapit 2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 xml:space="preserve">Na zasadzie odstępstwa od akapitu pierwszego </w:t>
            </w:r>
            <w:r w:rsidRPr="00BC7082">
              <w:rPr>
                <w:b/>
                <w:i/>
              </w:rPr>
              <w:t xml:space="preserve">i jeżeli jest to konieczne do celów ochrony stabilności finansowej lub ograniczenia potencjalnego efektu domina </w:t>
            </w:r>
            <w:r w:rsidRPr="00BC7082">
              <w:rPr>
                <w:b/>
                <w:i/>
              </w:rPr>
              <w:t>w systemie finansowym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Jednolita Rada może</w:t>
            </w:r>
            <w:r w:rsidRPr="00BC7082">
              <w:t xml:space="preserve"> w odniesieniu do podmiotów poddawanych likwidacji </w:t>
            </w:r>
            <w:r w:rsidRPr="00BC7082">
              <w:rPr>
                <w:b/>
                <w:i/>
              </w:rPr>
              <w:t>wyjątkowo ustalić wymóg</w:t>
            </w:r>
            <w:r w:rsidRPr="00BC7082">
              <w:t xml:space="preserve">, o którym mowa w art. 12a ust. 1, na zasadzie indywidualnej w kwocie </w:t>
            </w:r>
            <w:r w:rsidRPr="00BC7082">
              <w:rPr>
                <w:b/>
                <w:i/>
              </w:rPr>
              <w:t>wystarczającej</w:t>
            </w:r>
            <w:r w:rsidRPr="00BC7082">
              <w:t xml:space="preserve"> do pokrycia strat zgodnie </w:t>
            </w:r>
            <w:r w:rsidRPr="00BC7082">
              <w:lastRenderedPageBreak/>
              <w:t xml:space="preserve">z ust. 2 lit. a) niniejszego </w:t>
            </w:r>
            <w:r w:rsidRPr="00BC7082">
              <w:t>artykułu</w:t>
            </w:r>
            <w:r w:rsidRPr="00BC7082">
              <w:rPr>
                <w:b/>
                <w:i/>
              </w:rPr>
              <w:t>, powiększonej do kwoty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która jest niezbędna do osiągnięcia tych celów</w:t>
            </w:r>
            <w:r w:rsidRPr="00BC7082">
              <w:t>. W takich przypadkach podmioty poddawane likwidacji muszą spełniać wymóg, o którym mowa w art. 12a ust. 1, za pomocą co najmniej jednego z poniższych zasobów: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Na zasadzie odstę</w:t>
            </w:r>
            <w:r w:rsidRPr="00BC7082">
              <w:t xml:space="preserve">pstwa od akapitu pierwszego </w:t>
            </w:r>
            <w:r w:rsidRPr="00BC7082">
              <w:rPr>
                <w:b/>
                <w:i/>
              </w:rPr>
              <w:t>Jednolita Rada ocenia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czy</w:t>
            </w:r>
            <w:r w:rsidRPr="00BC7082">
              <w:t xml:space="preserve"> w odniesieniu do podmiotów poddawanych likwidacji </w:t>
            </w:r>
            <w:r w:rsidRPr="00BC7082">
              <w:rPr>
                <w:b/>
                <w:i/>
              </w:rPr>
              <w:t>uzasadnione jest ustalenie wymogu</w:t>
            </w:r>
            <w:r w:rsidRPr="00BC7082">
              <w:t xml:space="preserve">, o którym mowa w art. 12a ust. 1, na zasadzie indywidualnej w kwocie </w:t>
            </w:r>
            <w:r w:rsidRPr="00BC7082">
              <w:rPr>
                <w:b/>
                <w:i/>
              </w:rPr>
              <w:t>przekraczającej kwotę wystarczającą</w:t>
            </w:r>
            <w:r w:rsidRPr="00BC7082">
              <w:t xml:space="preserve"> do pokrycia </w:t>
            </w:r>
            <w:r w:rsidRPr="00BC7082">
              <w:t>strat zgodnie z ust. 2 lit. a) niniejszego artykułu</w:t>
            </w:r>
            <w:r w:rsidRPr="00BC7082">
              <w:rPr>
                <w:b/>
                <w:i/>
              </w:rPr>
              <w:t xml:space="preserve">. W swojej ocenie Jednolita Rada analizuje ewentualne </w:t>
            </w:r>
            <w:r w:rsidRPr="00BC7082">
              <w:rPr>
                <w:b/>
                <w:i/>
              </w:rPr>
              <w:lastRenderedPageBreak/>
              <w:t>konsekwencje upadłości danego podmiotu poddawanego likwidacji</w:t>
            </w:r>
            <w:r w:rsidRPr="00BC7082">
              <w:t xml:space="preserve">, </w:t>
            </w:r>
            <w:r w:rsidRPr="00BC7082">
              <w:rPr>
                <w:b/>
                <w:i/>
              </w:rPr>
              <w:t>a w szczególności uwzględnia wszelki możliwy wpływ na stabilność finansową i na ryzyko w</w:t>
            </w:r>
            <w:r w:rsidRPr="00BC7082">
              <w:rPr>
                <w:b/>
                <w:i/>
              </w:rPr>
              <w:t>ywołania efektu domina w systemie finansowym</w:t>
            </w:r>
            <w:r w:rsidRPr="00BC7082">
              <w:t>. W takich przypadkach podmioty poddawane likwidacji muszą spełniać wymóg, o którym mowa w art. 12a ust. 1, za pomocą co najmniej jednego z poniższych zasobów: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lastRenderedPageBreak/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16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2 – akapit 1 – punkt 2 – litera b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Rozporządzenie (UE) nr 806/2014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12d – ustęp 2a – akapit 4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 xml:space="preserve">Tekst </w:t>
            </w:r>
            <w:r w:rsidRPr="00BC7082">
              <w:t>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 xml:space="preserve">Posiadanych </w:t>
            </w:r>
            <w:r w:rsidRPr="00BC7082">
              <w:rPr>
                <w:b/>
                <w:i/>
              </w:rPr>
              <w:t>instrumentów</w:t>
            </w:r>
            <w:r w:rsidRPr="00BC7082">
              <w:t xml:space="preserve"> funduszy własnych </w:t>
            </w:r>
            <w:r w:rsidRPr="00BC7082">
              <w:rPr>
                <w:b/>
                <w:i/>
              </w:rPr>
              <w:t>lub zobowiązań wyemitowanych</w:t>
            </w:r>
            <w:r w:rsidRPr="00BC7082">
              <w:t xml:space="preserve"> przez jednostki zależne będące podmiotami poddawanymi likwidacji, w odniesieniu do których organ ds. restrukturyzacji i uporządkowanej likwidacji ni</w:t>
            </w:r>
            <w:r w:rsidRPr="00BC7082">
              <w:t>e ustalił wymogu, o którym mowa w art. 12a ust. 1, nie odlicza się zgodnie z art. 72e ust. 5 rozporządzenia (UE) nr 575/2013.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 xml:space="preserve">Posiadanych </w:t>
            </w:r>
            <w:r w:rsidRPr="00BC7082">
              <w:rPr>
                <w:b/>
                <w:i/>
              </w:rPr>
              <w:t>zobowiązań, które nie kwalifikują się jako instrumenty</w:t>
            </w:r>
            <w:r w:rsidRPr="00BC7082">
              <w:t xml:space="preserve"> funduszy własnych </w:t>
            </w:r>
            <w:r w:rsidRPr="00BC7082">
              <w:rPr>
                <w:b/>
                <w:i/>
              </w:rPr>
              <w:t>wyemitowane</w:t>
            </w:r>
            <w:r w:rsidRPr="00BC7082">
              <w:t xml:space="preserve"> przez jednostki zależne będące po</w:t>
            </w:r>
            <w:r w:rsidRPr="00BC7082">
              <w:t>dmiotami poddawanymi likwidacji, w odniesieniu do których organ ds. restrukturyzacji i uporządkowanej likwidacji nie ustalił wymogu, o którym mowa w art. 12a ust. 1, nie odlicza się zgodnie z art. 72e ust. 5 rozporządzenia (UE) nr 575/2013.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17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2 – akapit 1 – punkt 3 – litera a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Rozporządzenie (UE) nr 806/2014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12g – ustęp</w:t>
      </w:r>
      <w:r w:rsidRPr="00BC7082">
        <w:t xml:space="preserve"> 1 – akapit 3a – litera a – podpunkt ii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(ii)</w:t>
            </w:r>
            <w:r w:rsidRPr="00BC7082">
              <w:tab/>
              <w:t xml:space="preserve">jednostka zależna podlega wymogowi, o którym mowa w art. 104a dyrektywy 2013/36/UE, </w:t>
            </w:r>
            <w:r w:rsidRPr="00BC7082">
              <w:rPr>
                <w:b/>
                <w:i/>
              </w:rPr>
              <w:t>lub wymogowi połączonego bufora</w:t>
            </w:r>
            <w:r w:rsidRPr="00BC7082">
              <w:t xml:space="preserve"> na zasadzie </w:t>
            </w:r>
            <w:r w:rsidRPr="00BC7082">
              <w:lastRenderedPageBreak/>
              <w:t>skonsolidowanej;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lastRenderedPageBreak/>
              <w:t>(ii)</w:t>
            </w:r>
            <w:r w:rsidRPr="00BC7082">
              <w:tab/>
              <w:t>jednos</w:t>
            </w:r>
            <w:r w:rsidRPr="00BC7082">
              <w:t xml:space="preserve">tka zależna podlega wymogowi, o którym mowa w art. 104a dyrektywy 2013/36/UE, </w:t>
            </w:r>
            <w:r w:rsidRPr="00BC7082">
              <w:rPr>
                <w:b/>
                <w:i/>
              </w:rPr>
              <w:t>tylko</w:t>
            </w:r>
            <w:r w:rsidRPr="00BC7082">
              <w:t xml:space="preserve"> na zasadzie skonsolidowanej;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18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>Wniosek dotyczący 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 xml:space="preserve">Artykuł </w:t>
      </w:r>
      <w:r w:rsidRPr="00BC7082">
        <w:t>2 – akapit 1 – punkt 3 – litera a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Rozporządzenie (UE) nr 806/2014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12g – ustęp 1 – akapit 3a – litera b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b)</w:t>
            </w:r>
            <w:r w:rsidRPr="00BC7082">
              <w:tab/>
              <w:t xml:space="preserve">spełnienie wymogu określonego w art. 12d na </w:t>
            </w:r>
            <w:r w:rsidRPr="00BC7082">
              <w:t xml:space="preserve">zasadzie skonsolidowanej nie wpływa </w:t>
            </w:r>
            <w:r w:rsidRPr="00BC7082">
              <w:rPr>
                <w:b/>
                <w:i/>
              </w:rPr>
              <w:t xml:space="preserve">w znaczący sposób </w:t>
            </w:r>
            <w:r w:rsidRPr="00BC7082">
              <w:t>negatywnie na możliwość przeprowadzenia skutecznej restrukturyzacji i uporządkowanej likwidacji grupy restrukturyzacji i uporządkowanej likwidacji ani na umorzenie lub konwersję zgodnie z art. 21 odpowi</w:t>
            </w:r>
            <w:r w:rsidRPr="00BC7082">
              <w:t>ednich instrumentów kapitałowych i zobowiązań kwalifikowalnych danej instytucji lub jednostki zależnej lub innych podmiotów w ramach grupy restrukturyzacji i uporządkowanej likwidacji.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>b)</w:t>
            </w:r>
            <w:r w:rsidRPr="00BC7082">
              <w:tab/>
              <w:t>spełnienie wymogu określonego w art. 12d na zasadzie skonsolidowanej</w:t>
            </w:r>
            <w:r w:rsidRPr="00BC7082">
              <w:t xml:space="preserve"> nie wpływa negatywnie na możliwość przeprowadzenia skutecznej restrukturyzacji i uporządkowanej likwidacji grupy restrukturyzacji i uporządkowanej likwidacji ani na umorzenie lub konwersję zgodnie z art. 21 odpowiednich instrumentów kapitałowych i zobowią</w:t>
            </w:r>
            <w:r w:rsidRPr="00BC7082">
              <w:t>zań kwalifikowalnych danej instytucji lub jednostki zależnej lub innych podmiotów w ramach grupy restrukturyzacji i uporządkowanej likwidacji.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932D06" w:rsidRPr="00956D07" w:rsidRDefault="00956D07" w:rsidP="00932D06">
      <w:pPr>
        <w:rPr>
          <w:szCs w:val="24"/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932D06" w:rsidRPr="00BC7082" w:rsidRDefault="00956D07" w:rsidP="00932D06">
      <w:pPr>
        <w:pStyle w:val="AMNumberTabs0"/>
        <w:keepNext/>
      </w:pPr>
      <w:r w:rsidRPr="00BC7082">
        <w:rPr>
          <w:rStyle w:val="HideTWBExt"/>
          <w:b w:val="0"/>
        </w:rPr>
        <w:t>&lt;Amend&gt;</w:t>
      </w:r>
      <w:r w:rsidRPr="00BC7082">
        <w:t>Poprawka</w:t>
      </w:r>
      <w:r w:rsidRPr="00BC7082">
        <w:tab/>
      </w:r>
      <w:r w:rsidRPr="00BC7082">
        <w:tab/>
      </w:r>
      <w:r w:rsidRPr="00BC7082">
        <w:rPr>
          <w:rStyle w:val="HideTWBExt"/>
          <w:b w:val="0"/>
        </w:rPr>
        <w:t>&lt;NumAm&gt;</w:t>
      </w:r>
      <w:r w:rsidRPr="00BC7082">
        <w:t>19</w:t>
      </w:r>
      <w:r w:rsidRPr="00BC7082">
        <w:rPr>
          <w:rStyle w:val="HideTWBExt"/>
          <w:b w:val="0"/>
        </w:rPr>
        <w:t>&lt;/NumAm&gt;</w:t>
      </w:r>
    </w:p>
    <w:p w:rsidR="00932D06" w:rsidRPr="00BC7082" w:rsidRDefault="00956D07" w:rsidP="00932D06">
      <w:pPr>
        <w:pStyle w:val="NormalBold12b"/>
        <w:keepNext/>
      </w:pPr>
      <w:r w:rsidRPr="00BC7082">
        <w:rPr>
          <w:rStyle w:val="HideTWBExt"/>
          <w:b w:val="0"/>
        </w:rPr>
        <w:t>&lt;DocAmend&gt;</w:t>
      </w:r>
      <w:r w:rsidRPr="00BC7082">
        <w:t xml:space="preserve">Wniosek dotyczący </w:t>
      </w:r>
      <w:r w:rsidRPr="00BC7082">
        <w:t>dyrektywy</w:t>
      </w:r>
      <w:r w:rsidRPr="00BC7082">
        <w:rPr>
          <w:rStyle w:val="HideTWBExt"/>
          <w:b w:val="0"/>
        </w:rPr>
        <w:t>&lt;/DocAmend&gt;</w:t>
      </w:r>
    </w:p>
    <w:p w:rsidR="00932D06" w:rsidRPr="00BC7082" w:rsidRDefault="00956D07" w:rsidP="00932D06">
      <w:pPr>
        <w:pStyle w:val="NormalBold"/>
      </w:pPr>
      <w:r w:rsidRPr="00BC7082">
        <w:rPr>
          <w:rStyle w:val="HideTWBExt"/>
          <w:b w:val="0"/>
        </w:rPr>
        <w:t>&lt;Article&gt;</w:t>
      </w:r>
      <w:r w:rsidRPr="00BC7082">
        <w:t>Artykuł 2 – akapit 1 – punkt 3 – litera b</w:t>
      </w:r>
      <w:r w:rsidRPr="00BC7082">
        <w:rPr>
          <w:rStyle w:val="HideTWBExt"/>
          <w:b w:val="0"/>
        </w:rPr>
        <w:t>&lt;/Article&gt;</w:t>
      </w:r>
    </w:p>
    <w:p w:rsidR="00932D06" w:rsidRPr="00BC7082" w:rsidRDefault="00956D07" w:rsidP="00932D06">
      <w:pPr>
        <w:keepNext/>
      </w:pPr>
      <w:r w:rsidRPr="00BC7082">
        <w:rPr>
          <w:rStyle w:val="HideTWBExt"/>
        </w:rPr>
        <w:t>&lt;DocAmend2&gt;</w:t>
      </w:r>
      <w:r w:rsidRPr="00BC7082">
        <w:t>Rozporządzenie (UE) nr 806/2014</w:t>
      </w:r>
      <w:r w:rsidRPr="00BC7082">
        <w:rPr>
          <w:rStyle w:val="HideTWBExt"/>
        </w:rPr>
        <w:t>&lt;/DocAmend2&gt;</w:t>
      </w:r>
    </w:p>
    <w:p w:rsidR="00932D06" w:rsidRPr="00BC7082" w:rsidRDefault="00956D07" w:rsidP="00932D06">
      <w:r w:rsidRPr="00BC7082">
        <w:rPr>
          <w:rStyle w:val="HideTWBExt"/>
        </w:rPr>
        <w:t>&lt;Article2&gt;</w:t>
      </w:r>
      <w:r w:rsidRPr="00BC7082">
        <w:t>Artykuł 12g – ustęp 2a – akapit 2 – wprowadzenie</w:t>
      </w:r>
      <w:r w:rsidRPr="00BC7082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216F9D" w:rsidRPr="00BC7082" w:rsidTr="00932D06">
        <w:trPr>
          <w:jc w:val="center"/>
        </w:trPr>
        <w:tc>
          <w:tcPr>
            <w:tcW w:w="9752" w:type="dxa"/>
            <w:gridSpan w:val="2"/>
          </w:tcPr>
          <w:p w:rsidR="00932D06" w:rsidRPr="00BC7082" w:rsidRDefault="00932D06">
            <w:pPr>
              <w:keepNext/>
            </w:pP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Tekst proponowany przez Komisję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ColumnHeading"/>
              <w:keepNext/>
            </w:pPr>
            <w:r w:rsidRPr="00BC7082">
              <w:t>Poprawka</w:t>
            </w:r>
          </w:p>
        </w:tc>
      </w:tr>
      <w:tr w:rsidR="00216F9D" w:rsidRPr="00BC7082" w:rsidTr="00932D06">
        <w:trPr>
          <w:jc w:val="center"/>
        </w:trPr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</w:pPr>
            <w:r w:rsidRPr="00BC7082">
              <w:t>Zobowiązania, o których mowa w akapicie pierwszym lit. a) i b), nie mogą przekraczać kwoty ustalonej w wyniku odliczenia od kwoty wymogu, o którym mowa w art. </w:t>
            </w:r>
            <w:r w:rsidRPr="00BC7082">
              <w:rPr>
                <w:b/>
                <w:i/>
              </w:rPr>
              <w:t>45</w:t>
            </w:r>
            <w:r w:rsidRPr="00BC7082">
              <w:t xml:space="preserve"> ust. 1, mającego zastosowanie do jednostki zależnej objętej konsolidacją sumy wszystkich poniż</w:t>
            </w:r>
            <w:r w:rsidRPr="00BC7082">
              <w:t>szych elementów:</w:t>
            </w:r>
          </w:p>
        </w:tc>
        <w:tc>
          <w:tcPr>
            <w:tcW w:w="4876" w:type="dxa"/>
            <w:hideMark/>
          </w:tcPr>
          <w:p w:rsidR="00932D06" w:rsidRPr="00BC7082" w:rsidRDefault="00956D07">
            <w:pPr>
              <w:pStyle w:val="Normal6"/>
              <w:rPr>
                <w:szCs w:val="24"/>
              </w:rPr>
            </w:pPr>
            <w:r w:rsidRPr="00BC7082">
              <w:t>Zobowiązania, o których mowa w akapicie pierwszym lit. a) i b), nie mogą przekraczać kwoty ustalonej w wyniku odliczenia od kwoty wymogu, o którym mowa w art. </w:t>
            </w:r>
            <w:r w:rsidRPr="00BC7082">
              <w:rPr>
                <w:b/>
                <w:i/>
              </w:rPr>
              <w:t>12</w:t>
            </w:r>
            <w:r w:rsidRPr="00BC7082">
              <w:t xml:space="preserve"> ust. 1, mającego zastosowanie do jednostki zależnej objętej konsolidacją sumy</w:t>
            </w:r>
            <w:r w:rsidRPr="00BC7082">
              <w:t xml:space="preserve"> wszystkich poniższych elementów:</w:t>
            </w:r>
          </w:p>
        </w:tc>
      </w:tr>
    </w:tbl>
    <w:p w:rsidR="00932D06" w:rsidRPr="00956D07" w:rsidRDefault="00956D07" w:rsidP="00932D06">
      <w:pPr>
        <w:pStyle w:val="Olang"/>
        <w:rPr>
          <w:sz w:val="24"/>
          <w:szCs w:val="24"/>
          <w:lang w:val="en-GB"/>
        </w:rPr>
      </w:pPr>
      <w:r w:rsidRPr="00956D07">
        <w:rPr>
          <w:sz w:val="24"/>
          <w:szCs w:val="24"/>
          <w:lang w:val="en-GB"/>
        </w:rPr>
        <w:t xml:space="preserve">Or. </w:t>
      </w:r>
      <w:r w:rsidRPr="00956D07">
        <w:rPr>
          <w:rStyle w:val="HideTWBExt"/>
          <w:lang w:val="en-GB"/>
        </w:rPr>
        <w:t>&lt;Original&gt;</w:t>
      </w:r>
      <w:r w:rsidRPr="00956D07">
        <w:rPr>
          <w:rStyle w:val="HideTWBInt"/>
          <w:sz w:val="24"/>
          <w:szCs w:val="24"/>
          <w:lang w:val="en-GB"/>
        </w:rPr>
        <w:t>{EN}</w:t>
      </w:r>
      <w:r w:rsidRPr="00956D07">
        <w:rPr>
          <w:sz w:val="24"/>
          <w:szCs w:val="24"/>
          <w:lang w:val="en-GB"/>
        </w:rPr>
        <w:t>en</w:t>
      </w:r>
      <w:r w:rsidRPr="00956D07">
        <w:rPr>
          <w:rStyle w:val="HideTWBExt"/>
          <w:lang w:val="en-GB"/>
        </w:rPr>
        <w:t>&lt;/Original&gt;</w:t>
      </w:r>
    </w:p>
    <w:p w:rsidR="00467F7B" w:rsidRPr="00956D07" w:rsidRDefault="00956D07" w:rsidP="00467F7B">
      <w:pPr>
        <w:rPr>
          <w:lang w:val="en-GB"/>
        </w:rPr>
      </w:pPr>
      <w:r w:rsidRPr="00956D07">
        <w:rPr>
          <w:rStyle w:val="HideTWBExt"/>
          <w:lang w:val="en-GB"/>
        </w:rPr>
        <w:t>&lt;/Amend&gt;</w:t>
      </w:r>
    </w:p>
    <w:p w:rsidR="002669B6" w:rsidRPr="00BC7082" w:rsidRDefault="00956D07" w:rsidP="002669B6">
      <w:r w:rsidRPr="00BC7082">
        <w:rPr>
          <w:rStyle w:val="HideTWBExt"/>
        </w:rPr>
        <w:lastRenderedPageBreak/>
        <w:t>&lt;/RepeatBlock-Amend&gt;</w:t>
      </w:r>
    </w:p>
    <w:p w:rsidR="002669B6" w:rsidRPr="00BC7082" w:rsidRDefault="002669B6" w:rsidP="002669B6"/>
    <w:sectPr w:rsidR="002669B6" w:rsidRPr="00BC7082" w:rsidSect="00BC70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BC7082" w:rsidRDefault="00956D07">
      <w:r w:rsidRPr="00BC7082">
        <w:separator/>
      </w:r>
    </w:p>
  </w:endnote>
  <w:endnote w:type="continuationSeparator" w:id="0">
    <w:p w:rsidR="00000000" w:rsidRPr="00BC7082" w:rsidRDefault="00956D07">
      <w:r w:rsidRPr="00BC708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82" w:rsidRPr="00BC7082" w:rsidRDefault="00BC7082" w:rsidP="00BC7082">
    <w:pPr>
      <w:pStyle w:val="EPFooter"/>
    </w:pPr>
    <w:r w:rsidRPr="00BC7082">
      <w:t>PE</w:t>
    </w:r>
    <w:r w:rsidRPr="00BC7082">
      <w:rPr>
        <w:rStyle w:val="HideTWBExt"/>
      </w:rPr>
      <w:t>&lt;NoPE&gt;</w:t>
    </w:r>
    <w:r w:rsidRPr="00BC7082">
      <w:t>752.913</w:t>
    </w:r>
    <w:r w:rsidRPr="00BC7082">
      <w:rPr>
        <w:rStyle w:val="HideTWBExt"/>
      </w:rPr>
      <w:t>&lt;/NoPE&gt;&lt;Version&gt;</w:t>
    </w:r>
    <w:r w:rsidRPr="00BC7082">
      <w:t>v01-00</w:t>
    </w:r>
    <w:r w:rsidRPr="00BC7082">
      <w:rPr>
        <w:rStyle w:val="HideTWBExt"/>
      </w:rPr>
      <w:t>&lt;/Version&gt;</w:t>
    </w:r>
    <w:r w:rsidRPr="00BC7082">
      <w:tab/>
    </w:r>
    <w:r w:rsidRPr="00BC7082">
      <w:fldChar w:fldCharType="begin"/>
    </w:r>
    <w:r w:rsidRPr="00BC7082">
      <w:instrText xml:space="preserve"> PAGE  \* MERGEFORMAT </w:instrText>
    </w:r>
    <w:r w:rsidRPr="00BC7082">
      <w:fldChar w:fldCharType="separate"/>
    </w:r>
    <w:r w:rsidR="00956D07">
      <w:rPr>
        <w:noProof/>
      </w:rPr>
      <w:t>2</w:t>
    </w:r>
    <w:r w:rsidRPr="00BC7082">
      <w:fldChar w:fldCharType="end"/>
    </w:r>
    <w:r w:rsidRPr="00BC7082">
      <w:t>/</w:t>
    </w:r>
    <w:fldSimple w:instr=" NUMPAGES  \* MERGEFORMAT ">
      <w:r w:rsidR="00956D07">
        <w:rPr>
          <w:noProof/>
        </w:rPr>
        <w:t>22</w:t>
      </w:r>
    </w:fldSimple>
    <w:r w:rsidRPr="00BC7082">
      <w:tab/>
    </w:r>
    <w:r w:rsidRPr="00BC7082">
      <w:rPr>
        <w:rStyle w:val="HideTWBExt"/>
      </w:rPr>
      <w:t>&lt;PathFdR&gt;</w:t>
    </w:r>
    <w:r w:rsidRPr="00BC7082">
      <w:t>PR\1285454PL.docx</w:t>
    </w:r>
    <w:r w:rsidRPr="00BC7082">
      <w:rPr>
        <w:rStyle w:val="HideTWBExt"/>
      </w:rPr>
      <w:t>&lt;/PathFdR&gt;</w:t>
    </w:r>
  </w:p>
  <w:p w:rsidR="0048211B" w:rsidRPr="00BC7082" w:rsidRDefault="00BC7082" w:rsidP="00BC7082">
    <w:pPr>
      <w:pStyle w:val="EPFooter2"/>
    </w:pPr>
    <w:r w:rsidRPr="00BC7082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82" w:rsidRPr="00BC7082" w:rsidRDefault="00BC7082" w:rsidP="00BC7082">
    <w:pPr>
      <w:pStyle w:val="EPFooter"/>
    </w:pPr>
    <w:r w:rsidRPr="00BC7082">
      <w:rPr>
        <w:rStyle w:val="HideTWBExt"/>
      </w:rPr>
      <w:t>&lt;PathFdR&gt;</w:t>
    </w:r>
    <w:r w:rsidRPr="00BC7082">
      <w:t>PR\1285454PL.docx</w:t>
    </w:r>
    <w:r w:rsidRPr="00BC7082">
      <w:rPr>
        <w:rStyle w:val="HideTWBExt"/>
      </w:rPr>
      <w:t>&lt;/PathFdR&gt;</w:t>
    </w:r>
    <w:r w:rsidRPr="00BC7082">
      <w:tab/>
    </w:r>
    <w:r w:rsidRPr="00BC7082">
      <w:fldChar w:fldCharType="begin"/>
    </w:r>
    <w:r w:rsidRPr="00BC7082">
      <w:instrText xml:space="preserve"> PAGE  \* MERGEFORMAT </w:instrText>
    </w:r>
    <w:r w:rsidRPr="00BC7082">
      <w:fldChar w:fldCharType="separate"/>
    </w:r>
    <w:r w:rsidR="00956D07">
      <w:rPr>
        <w:noProof/>
      </w:rPr>
      <w:t>21</w:t>
    </w:r>
    <w:r w:rsidRPr="00BC7082">
      <w:fldChar w:fldCharType="end"/>
    </w:r>
    <w:r w:rsidRPr="00BC7082">
      <w:t>/</w:t>
    </w:r>
    <w:fldSimple w:instr=" NUMPAGES  \* MERGEFORMAT ">
      <w:r w:rsidR="00956D07">
        <w:rPr>
          <w:noProof/>
        </w:rPr>
        <w:t>22</w:t>
      </w:r>
    </w:fldSimple>
    <w:r w:rsidRPr="00BC7082">
      <w:tab/>
      <w:t>PE</w:t>
    </w:r>
    <w:r w:rsidRPr="00BC7082">
      <w:rPr>
        <w:rStyle w:val="HideTWBExt"/>
      </w:rPr>
      <w:t>&lt;NoPE&gt;</w:t>
    </w:r>
    <w:r w:rsidRPr="00BC7082">
      <w:t>752.913</w:t>
    </w:r>
    <w:r w:rsidRPr="00BC7082">
      <w:rPr>
        <w:rStyle w:val="HideTWBExt"/>
      </w:rPr>
      <w:t>&lt;/NoPE&gt;&lt;Version&gt;</w:t>
    </w:r>
    <w:r w:rsidRPr="00BC7082">
      <w:t>v01-00</w:t>
    </w:r>
    <w:r w:rsidRPr="00BC7082">
      <w:rPr>
        <w:rStyle w:val="HideTWBExt"/>
      </w:rPr>
      <w:t>&lt;/Version&gt;</w:t>
    </w:r>
  </w:p>
  <w:p w:rsidR="0048211B" w:rsidRPr="00BC7082" w:rsidRDefault="00BC7082" w:rsidP="00BC7082">
    <w:pPr>
      <w:pStyle w:val="EPFooter2"/>
    </w:pPr>
    <w:r w:rsidRPr="00BC7082">
      <w:tab/>
    </w:r>
    <w:r w:rsidRPr="00BC7082">
      <w:tab/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082" w:rsidRPr="00BC7082" w:rsidRDefault="00BC7082" w:rsidP="00BC7082">
    <w:pPr>
      <w:pStyle w:val="EPFooter"/>
    </w:pPr>
    <w:r w:rsidRPr="00BC7082">
      <w:rPr>
        <w:rStyle w:val="HideTWBExt"/>
      </w:rPr>
      <w:t>&lt;PathFdR&gt;</w:t>
    </w:r>
    <w:r w:rsidRPr="00BC7082">
      <w:t>PR\1285454PL.docx</w:t>
    </w:r>
    <w:r w:rsidRPr="00BC7082">
      <w:rPr>
        <w:rStyle w:val="HideTWBExt"/>
      </w:rPr>
      <w:t>&lt;/PathFdR&gt;</w:t>
    </w:r>
    <w:r w:rsidRPr="00BC7082">
      <w:tab/>
    </w:r>
    <w:r w:rsidRPr="00BC7082">
      <w:tab/>
      <w:t>PE</w:t>
    </w:r>
    <w:r w:rsidRPr="00BC7082">
      <w:rPr>
        <w:rStyle w:val="HideTWBExt"/>
      </w:rPr>
      <w:t>&lt;NoPE&gt;</w:t>
    </w:r>
    <w:r w:rsidRPr="00BC7082">
      <w:t>752.913</w:t>
    </w:r>
    <w:r w:rsidRPr="00BC7082">
      <w:rPr>
        <w:rStyle w:val="HideTWBExt"/>
      </w:rPr>
      <w:t>&lt;/NoPE&gt;&lt;Version&gt;</w:t>
    </w:r>
    <w:r w:rsidRPr="00BC7082">
      <w:t>v01-00</w:t>
    </w:r>
    <w:r w:rsidRPr="00BC7082">
      <w:rPr>
        <w:rStyle w:val="HideTWBExt"/>
      </w:rPr>
      <w:t>&lt;/Version&gt;</w:t>
    </w:r>
  </w:p>
  <w:p w:rsidR="0048211B" w:rsidRPr="00BC7082" w:rsidRDefault="00BC7082" w:rsidP="00BC7082">
    <w:pPr>
      <w:pStyle w:val="EPFooter2"/>
    </w:pPr>
    <w:r w:rsidRPr="00BC7082">
      <w:t>PL</w:t>
    </w:r>
    <w:r w:rsidRPr="00BC7082">
      <w:tab/>
    </w:r>
    <w:r w:rsidRPr="00BC7082">
      <w:rPr>
        <w:b w:val="0"/>
        <w:i/>
        <w:color w:val="C0C0C0"/>
        <w:sz w:val="22"/>
      </w:rPr>
      <w:t>Zjednoczona w różnorodności</w:t>
    </w:r>
    <w:r w:rsidRPr="00BC7082">
      <w:tab/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11B" w:rsidRPr="00BC7082" w:rsidRDefault="00956D07">
      <w:r w:rsidRPr="00BC7082">
        <w:separator/>
      </w:r>
    </w:p>
  </w:footnote>
  <w:footnote w:type="continuationSeparator" w:id="0">
    <w:p w:rsidR="0048211B" w:rsidRPr="00BC7082" w:rsidRDefault="00956D07">
      <w:r w:rsidRPr="00BC7082">
        <w:continuationSeparator/>
      </w:r>
    </w:p>
  </w:footnote>
  <w:footnote w:id="1">
    <w:p w:rsidR="0048211B" w:rsidRPr="00BC7082" w:rsidRDefault="00956D07">
      <w:pPr>
        <w:pStyle w:val="FootnoteText"/>
        <w:rPr>
          <w:sz w:val="24"/>
          <w:szCs w:val="24"/>
        </w:rPr>
      </w:pPr>
      <w:r w:rsidRPr="00BC7082">
        <w:rPr>
          <w:rStyle w:val="FootnoteReference"/>
          <w:sz w:val="24"/>
          <w:szCs w:val="24"/>
        </w:rPr>
        <w:footnoteRef/>
      </w:r>
      <w:r w:rsidRPr="00BC7082">
        <w:tab/>
        <w:t>Dz.U. C 307 z 31.8.2023, s. 19.</w:t>
      </w:r>
    </w:p>
  </w:footnote>
  <w:footnote w:id="2">
    <w:p w:rsidR="0048211B" w:rsidRPr="00BC7082" w:rsidRDefault="00956D07">
      <w:pPr>
        <w:pStyle w:val="FootnoteText"/>
      </w:pPr>
      <w:r w:rsidRPr="00BC7082">
        <w:rPr>
          <w:rStyle w:val="FootnoteReference"/>
          <w:sz w:val="24"/>
          <w:szCs w:val="24"/>
        </w:rPr>
        <w:footnoteRef/>
      </w:r>
      <w:r w:rsidRPr="00BC7082">
        <w:t xml:space="preserve"> </w:t>
      </w:r>
      <w:r w:rsidRPr="00BC7082">
        <w:tab/>
        <w:t>Dotychczas nieopublikowana w Dzienniku Urzędowym.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D07" w:rsidRDefault="00956D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D07" w:rsidRDefault="00956D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D07" w:rsidRDefault="00956D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CJMNU" w:val="1"/>
    <w:docVar w:name="COMKEY" w:val="ECON"/>
    <w:docVar w:name="CopyToNetwork" w:val="-1"/>
    <w:docVar w:name="CVar" w:val="2"/>
    <w:docVar w:name="DOCMNU" w:val=" 2"/>
    <w:docVar w:name="EPOJMNU" w:val=" 3"/>
    <w:docVar w:name="EPSTATMNU" w:val=" 1"/>
    <w:docVar w:name="EPSTATPLURMNU" w:val=" 1"/>
    <w:docVar w:name="iNoAmend" w:val="2"/>
    <w:docVar w:name="INSTITUTIONSMNU" w:val=" 1"/>
    <w:docVar w:name="JURI1MNU" w:val=" 2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2"/>
    <w:docVar w:name="RECONSULTMNU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1\fbidi \froman\fcharset238\fprq2 Times New Roman CE;}{\f302\fbidi \froman\fcharset204\fprq2 Times New Roman Cyr;}_x000d__x000a_{\f304\fbidi \froman\fcharset161\fprq2 Times New Roman Greek;}{\f305\fbidi \froman\fcharset162\fprq2 Times New Roman Tur;}{\f306\fbidi \froman\fcharset177\fprq2 Times New Roman (Hebrew);}{\f307\fbidi \froman\fcharset178\fprq2 Times New Roman (Arabic);}_x000d__x000a_{\f308\fbidi \froman\fcharset186\fprq2 Times New Roman Baltic;}{\f309\fbidi \froman\fcharset163\fprq2 Times New Roman (Vietnamese);}{\f311\fbidi \fswiss\fcharset238\fprq2 Arial CE;}{\f312\fbidi \fswiss\fcharset204\fprq2 Arial Cyr;}_x000d__x000a_{\f314\fbidi \fswiss\fcharset161\fprq2 Arial Greek;}{\f315\fbidi \fswiss\fcharset162\fprq2 Arial Tur;}{\f316\fbidi \fswiss\fcharset177\fprq2 Arial (Hebrew);}{\f317\fbidi \fswiss\fcharset178\fprq2 Arial (Arabic);}_x000d__x000a_{\f318\fbidi \fswiss\fcharset186\fprq2 Arial Baltic;}{\f319\fbidi \fswiss\fcharset163\fprq2 Arial (Vietnamese);}{\f641\fbidi \froman\fcharset238\fprq2 Cambria Math CE;}{\f642\fbidi \froman\fcharset204\fprq2 Cambria Math Cyr;}_x000d__x000a_{\f644\fbidi \froman\fcharset161\fprq2 Cambria Math Greek;}{\f645\fbidi \froman\fcharset162\fprq2 Cambria Math Tur;}{\f648\fbidi \froman\fcharset186\fprq2 Cambria Math Baltic;}{\f64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658872 HideTWBExt;}{\*\cs18 \additive \v\f1\fs20\cf15 _x000d__x000a_\spriority0 \styrsid16658872 HideTWBInt;}{\s19\ql \li0\ri0\sa120\nowidctlpar\wrapdefault\aspalpha\aspnum\faauto\adjustright\rin0\lin0\itap0 \rtlch\fcs1 \af0\afs20\alang1025 \ltrch\fcs0 \fs24\lang2057\langfe2057\cgrid\langnp2057\langfenp2057 _x000d__x000a_\sbasedon0 \snext19 \spriority0 \styrsid16658872 Normal6a;}{\s20\ql \li0\ri0\nowidctlpar\wrapdefault\aspalpha\aspnum\faauto\adjustright\rin0\lin0\itap0 \rtlch\fcs1 \af0\afs20\alang1025 \ltrch\fcs0 \b\fs24\lang2057\langfe2057\cgrid\langnp2057\langfenp2057 _x000d__x000a_\sbasedon0 \snext20 \spriority0 \styrsid16658872 NormalBold;}{\s21\ql \li0\ri0\sa240\nowidctlpar\wrapdefault\aspalpha\aspnum\faauto\adjustright\rin0\lin0\itap0 \rtlch\fcs1 \af0\afs20\alang1025 \ltrch\fcs0 _x000d__x000a_\i\fs24\lang2057\langfe2057\cgrid\langnp2057\langfenp2057 \sbasedon0 \snext21 \spriority0 \styrsid16658872 AmJustText;}{\s22\qc \li0\ri0\sb240\sa240\nowidctlpar\wrapdefault\aspalpha\aspnum\faauto\adjustright\rin0\lin0\itap0 \rtlch\fcs1 _x000d__x000a_\af0\afs20\alang1025 \ltrch\fcs0 \i\fs24\lang2057\langfe2057\cgrid\langnp2057\langfenp2057 \sbasedon0 \snext22 \spriority0 \styrsid16658872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658872 AmJustTitle;}{\s24\qr \li0\ri0\sb240\sa240\nowidctlpar\wrapdefault\aspalpha\aspnum\faauto\adjustright\rin0\lin0\itap0 \rtlch\fcs1 \af0\afs20\alang1025 \ltrch\fcs0 _x000d__x000a_\fs24\lang2057\langfe2057\cgrid\langnp2057\langfenp2057 \sbasedon0 \snext24 \spriority0 \styrsid16658872 AmOrLang;}{\s25\qc \li0\ri0\sa240\nowidctlpar\wrapdefault\aspalpha\aspnum\faauto\adjustright\rin0\lin0\itap0 \rtlch\fcs1 \af0\afs20\alang1025 _x000d__x000a_\ltrch\fcs0 \i\fs24\lang2057\langfe2057\cgrid\langnp2057\langfenp2057 \sbasedon0 \snext25 \spriority0 \styrsid16658872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658872 AmNumberTabs;}{\s27\ql \li0\ri0\sb240\nowidctlpar\wrapdefault\aspalpha\aspnum\faauto\adjustright\rin0\lin0\itap0 \rtlch\fcs1 _x000d__x000a_\af0\afs20\alang1025 \ltrch\fcs0 \b\fs24\lang2057\langfe2057\cgrid\langnp2057\langfenp2057 \sbasedon0 \snext27 \spriority0 \styrsid16658872 NormalBold12b;}}{\*\rsidtbl \rsid24658\rsid223860\rsid735077\rsid1718133\rsid2892074\rsid3565327\rsid4666813_x000d__x000a_\rsid6641733\rsid7602181\rsid7823322\rsid9636012\rsid10377208\rsid11215221\rsid11549030\rsid12154954\rsid14382809\rsid14424199\rsid15204470\rsid15285974\rsid15950462\rsid16324206\rsid16658872\rsid16662270}{\mmathPr\mmathFont34\mbrkBin0\mbrkBinSub0_x000d__x000a_\msmallFrac0\mdispDef1\mlMargin0\mrMargin0\mdefJc1\mwrapIndent1440\mintLim0\mnaryLim1}{\info{\author TURLUI Emil-Gabriel}{\operator TURLUI Emil-Gabriel}{\creatim\yr2023\mo9\dy8\hr15\min57}{\revtim\yr2023\mo9\dy8\hr15\min57}{\version1}{\edmins0}_x000d__x000a_{\nofpages1}{\nofwords104}{\nofchars596}{\nofcharsws699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665887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gturlui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60218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60218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60218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60218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658872 \rtlch\fcs1 _x000d__x000a_\af0\afs20\alang1025 \ltrch\fcs0 \b\fs24\lang2057\langfe2057\cgrid\langnp2057\langfenp2057 {\rtlch\fcs1 \af0 \ltrch\fcs0 \cs17\b0\v\fs20\cf9\lang1024\langfe1024\loch\af1\hich\af1\dbch\af31501\noproof\insrsid16658872\charrsid6768093 {\*\bkmkstart restart}_x000d__x000a_\hich\af1\dbch\af31501\loch\f1 &lt;Amend&gt;}{\rtlch\fcs1 \af0 \ltrch\fcs0 \insrsid16658872\charrsid6768093 Amendment\tab \tab }{\rtlch\fcs1 \af0 \ltrch\fcs0 _x000d__x000a_\cs17\b0\v\fs20\cf9\lang1024\langfe1024\loch\af1\hich\af1\dbch\af31501\noproof\insrsid16658872\charrsid6768093 \hich\af1\dbch\af31501\loch\f1 &lt;NumAm&gt;}{\rtlch\fcs1 \af0 \ltrch\fcs0 \insrsid16658872\charrsid6768093 #}{\rtlch\fcs1 \af1 \ltrch\fcs0 _x000d__x000a_\cs18\v\f1\fs20\cf15\insrsid16658872\charrsid6768093 ENMIENDA@NRAM@}{\rtlch\fcs1 \af0 \ltrch\fcs0 \insrsid16658872\charrsid6768093 #}{\rtlch\fcs1 \af0 \ltrch\fcs0 _x000d__x000a_\cs17\b0\v\fs20\cf9\lang1024\langfe1024\loch\af1\hich\af1\dbch\af31501\noproof\insrsid16658872\charrsid6768093 \hich\af1\dbch\af31501\loch\f1 &lt;/NumAm&gt;}{\rtlch\fcs1 \af0 \ltrch\fcs0 \insrsid16658872\charrsid6768093 _x000d__x000a_\par }\pard\plain \ltrpar\s27\ql \li0\ri0\sb240\keepn\nowidctlpar\wrapdefault\aspalpha\aspnum\faauto\adjustright\rin0\lin0\itap0\pararsid16658872 \rtlch\fcs1 \af0\afs20\alang1025 \ltrch\fcs0 \b\fs24\lang2057\langfe2057\cgrid\langnp2057\langfenp2057 {_x000d__x000a_\rtlch\fcs1 \af0 \ltrch\fcs0 \cs17\b0\v\fs20\cf9\lang1024\langfe1024\loch\af1\hich\af1\dbch\af31501\noproof\insrsid16658872\charrsid6768093 \hich\af1\dbch\af31501\loch\f1 &lt;DocAmend&gt;}{\rtlch\fcs1 \af0 \ltrch\fcs0 \insrsid16658872\charrsid6768093 _x000d__x000a_Proposal for a #}{\rtlch\fcs1 \af1 \ltrch\fcs0 \cs18\v\f1\fs20\cf15\insrsid16658872\charrsid6768093 MNU[DOC1][DOC2][DOC3]@DOCMSG@DOCMNU}{\rtlch\fcs1 \af0 \ltrch\fcs0 \insrsid16658872\charrsid6768093 ##}{\rtlch\fcs1 \af1 \ltrch\fcs0 _x000d__x000a_\cs18\v\f1\fs20\cf15\insrsid16658872\charrsid6768093 MNU[AMACTYES][NOTAPP]@CHOICE@AMACTMNU}{\rtlch\fcs1 \af0 \ltrch\fcs0 \insrsid16658872\charrsid6768093 #}{\rtlch\fcs1 \af0 \ltrch\fcs0 _x000d__x000a_\cs17\b0\v\fs20\cf9\lang1024\langfe1024\loch\af1\hich\af1\dbch\af31501\noproof\insrsid16658872\charrsid6768093 \hich\af1\dbch\af31501\loch\f1 &lt;/DocAmend&gt;}{\rtlch\fcs1 \af0 \ltrch\fcs0 \insrsid16658872\charrsid6768093 _x000d__x000a_\par }\pard\plain \ltrpar\s20\ql \li0\ri0\keepn\nowidctlpar\wrapdefault\aspalpha\aspnum\faauto\adjustright\rin0\lin0\itap0\pararsid16658872 \rtlch\fcs1 \af0\afs20\alang1025 \ltrch\fcs0 \b\fs24\lang2057\langfe2057\cgrid\langnp2057\langfenp2057 {\rtlch\fcs1 _x000d__x000a_\af0 \ltrch\fcs0 \cs17\b0\v\fs20\cf9\lang1024\langfe1024\loch\af1\hich\af1\dbch\af31501\noproof\insrsid16658872\charrsid6768093 \hich\af1\dbch\af31501\loch\f1 &lt;Article&gt;}{\rtlch\fcs1 \af0 \ltrch\fcs0 \insrsid16658872\charrsid6768093 #}{\rtlch\fcs1 \af1 _x000d__x000a_\ltrch\fcs0 \cs18\v\f1\fs20\cf15\insrsid16658872\charrsid6768093 MNU[AMACTPARTYES][AMACTPARTNO]@CHOICE@AMACTMNU}{\rtlch\fcs1 \af0 \ltrch\fcs0 \insrsid16658872\charrsid6768093 #}{\rtlch\fcs1 \af0 \ltrch\fcs0 _x000d__x000a_\cs17\b0\v\fs20\cf9\lang1024\langfe1024\loch\af1\hich\af1\dbch\af31501\noproof\insrsid16658872\charrsid6768093 \hich\af1\dbch\af31501\loch\f1 &lt;/Article&gt;}{\rtlch\fcs1 \af0 \ltrch\fcs0 \insrsid16658872\charrsid6768093 _x000d__x000a_\par }\pard\plain \ltrpar\ql \li0\ri0\keepn\widctlpar\wrapdefault\aspalpha\aspnum\faauto\adjustright\rin0\lin0\itap0\pararsid16658872 \rtlch\fcs1 \af0\afs20\alang1025 \ltrch\fcs0 \fs24\lang2057\langfe2057\cgrid\langnp2057\langfenp2057 {\rtlch\fcs1 \af0 _x000d__x000a_\ltrch\fcs0 \cs17\v\fs20\cf9\lang1024\langfe1024\loch\af1\hich\af1\dbch\af31501\noproof\insrsid16658872\charrsid6768093 \hich\af1\dbch\af31501\loch\f1 &lt;DocAmend2&gt;&lt;OptDel&gt;}{\rtlch\fcs1 \af0 \ltrch\fcs0 \insrsid16658872\charrsid6768093 #}{\rtlch\fcs1 \af1 _x000d__x000a_\ltrch\fcs0 \cs18\v\f1\fs20\cf15\insrsid16658872\charrsid6768093 MNU[OPTNRACTYES][NOTAPP]@CHOICE@AMACTMNU}{\rtlch\fcs1 \af0 \ltrch\fcs0 \insrsid16658872\charrsid6768093 #}{\rtlch\fcs1 \af0 \ltrch\fcs0 _x000d__x000a_\cs17\v\fs20\cf9\lang1024\langfe1024\loch\af1\hich\af1\dbch\af31501\noproof\insrsid16658872\charrsid6768093 \hich\af1\dbch\af31501\loch\f1 &lt;/OptDel&gt;&lt;/DocAmend2&gt;}{\rtlch\fcs1 \af0 \ltrch\fcs0 \insrsid16658872\charrsid6768093 _x000d__x000a_\par }\pard \ltrpar\ql \li0\ri0\widctlpar\wrapdefault\aspalpha\aspnum\faauto\adjustright\rin0\lin0\itap0\pararsid16658872 {\rtlch\fcs1 \af0 \ltrch\fcs0 \cs17\v\fs20\cf9\lang1024\langfe1024\loch\af1\hich\af1\dbch\af31501\noproof\insrsid16658872\charrsid6768093 _x000d__x000a_\hich\af1\dbch\af31501\loch\f1 &lt;Article2&gt;&lt;OptDel&gt;}{\rtlch\fcs1 \af0 \ltrch\fcs0 \insrsid16658872\charrsid6768093 #}{\rtlch\fcs1 \af1 \ltrch\fcs0 \cs18\v\f1\fs20\cf15\insrsid16658872\charrsid6768093 MNU[OPTACTPARTYES][NOTAPP]@CHOICE@AMACTMNU}{\rtlch\fcs1 _x000d__x000a_\af0 \ltrch\fcs0 \insrsid16658872\charrsid6768093 #}{\rtlch\fcs1 \af0 \ltrch\fcs0 \cs17\v\fs20\cf9\lang1024\langfe1024\loch\af1\hich\af1\dbch\af31501\noproof\insrsid16658872\charrsid6768093 \hich\af1\dbch\af31501\loch\f1 &lt;/OptDel&gt;&lt;/Article2&gt;}{\rtlch\fcs1 _x000d__x000a_\af0 \ltrch\fcs0 \insrsid16658872\charrsid6768093 _x000d__x000a_\par \ltrrow}\trowd \irow0\irowband0\ltrrow\ts11\trqc\trgaph340\trleft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16658872\charrsid6768093 \cell }\pard\plain \ltrpar\ql \li0\ri0\widctlpar\intbl\wrapdefault\aspalpha\aspnum\faauto\adjustright\rin0\lin0 \rtlch\fcs1 _x000d__x000a_\af0\afs20\alang1025 \ltrch\fcs0 \fs24\lang2057\langfe2057\cgrid\langnp2057\langfenp2057 {\rtlch\fcs1 \af0 \ltrch\fcs0 \insrsid16658872\charrsid6768093 \trowd \irow0\irowband0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16658872\charrsid6768093 #}{\rtlch\fcs1 \af1 \ltrch\fcs0 \cs18\v\f1\fs20\cf15\insrsid16658872\charrsid6768093 MNU[OPTLEFTAMACT][LEFTPROP]@CHOICE@AMACTMNU}{\rtlch\fcs1 \af0 \ltrch\fcs0 \insrsid16658872\charrsid6768093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6658872\charrsid6768093 \trowd \irow1\irowband1\ltrrow\ts11\trqc\trgaph340\trleft0\trftsWidth3\trwWidth9752\trftsWidthB3\trpaddl340\trpaddr340\trpaddfl3\trpaddft3\trpaddfb3\trpaddfr3\tblrsid2517430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19\ql \li0\ri0\sa120\nowidctlpar\intbl\wrapdefault\aspalpha\aspnum\faauto\adjustright\rin0\lin0\pararsid2517430 \rtlch\fcs1 \af0\afs20\alang1025 \ltrch\fcs0 \fs24\lang2057\langfe2057\cgrid\langnp2057\langfenp2057 {\rtlch\fcs1 \af0 _x000d__x000a_\ltrch\fcs0 \insrsid16658872\charrsid6768093 ##\cell ##}{\rtlch\fcs1 \af0\afs24 \ltrch\fcs0 \insrsid16658872\charrsid6768093 \cell }\pard\plain \ltrpar\ql \li0\ri0\widctlpar\intbl\wrapdefault\aspalpha\aspnum\faauto\adjustright\rin0\lin0 \rtlch\fcs1 _x000d__x000a_\af0\afs20\alang1025 \ltrch\fcs0 \fs24\lang2057\langfe2057\cgrid\langnp2057\langfenp2057 {\rtlch\fcs1 \af0 \ltrch\fcs0 \insrsid16658872\charrsid6768093 \trowd \irow2\irowband2\lastrow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6658872 \rtlch\fcs1 \af0\afs20\alang1025 \ltrch\fcs0 \fs24\lang2057\langfe2057\cgrid\langnp2057\langfenp2057 {\rtlch\fcs1 \af0 \ltrch\fcs0 _x000d__x000a_\insrsid16658872\charrsid6768093 Or. }{\rtlch\fcs1 \af0 \ltrch\fcs0 \cs17\v\fs20\cf9\lang1024\langfe1024\loch\af1\hich\af1\dbch\af31501\noproof\insrsid16658872\charrsid6768093 \hich\af1\dbch\af31501\loch\f1 &lt;Original&gt;}{\rtlch\fcs1 \af0 \ltrch\fcs0 _x000d__x000a_\insrsid16658872\charrsid6768093 #}{\rtlch\fcs1 \af1 \ltrch\fcs0 \cs18\v\f1\fs20\cf15\insrsid16658872\charrsid6768093 MNU[ORLANGONE][ORLANGMORE]@CHOICE@ORLANGMNU}{\rtlch\fcs1 \af0 \ltrch\fcs0 \insrsid16658872\charrsid6768093 #}{\rtlch\fcs1 \af0 _x000d__x000a_\ltrch\fcs0 \cs17\v\fs20\cf9\lang1024\langfe1024\loch\af1\hich\af1\dbch\af31501\noproof\insrsid16658872\charrsid6768093 \hich\af1\dbch\af31501\loch\f1 &lt;/Original&gt;}{\rtlch\fcs1 \af0 \ltrch\fcs0 \insrsid16658872\charrsid6768093 _x000d__x000a_\par }\pard\plain \ltrpar\s22\qc \li0\ri0\sb240\sa240\nowidctlpar\wrapdefault\aspalpha\aspnum\faauto\adjustright\rin0\lin0\itap0\pararsid16658872 \rtlch\fcs1 \af0\afs20\alang1025 \ltrch\fcs0 \i\fs24\lang2057\langfe2057\cgrid\langnp2057\langfenp2057 {_x000d__x000a_\rtlch\fcs1 \af0 \ltrch\fcs0 \cs17\i0\v\fs20\cf9\lang1024\langfe1024\loch\af1\hich\af1\dbch\af31501\noproof\insrsid16658872\charrsid6768093 \hich\af1\dbch\af31501\loch\f1 &lt;OptDel&gt;}{\rtlch\fcs1 \af0 \ltrch\fcs0 \insrsid16658872\charrsid6768093 #}{_x000d__x000a_\rtlch\fcs1 \af1 \ltrch\fcs0 \cs18\v\f1\fs20\cf15\insrsid16658872\charrsid6768093 MNU[CROSSREFNO][CROSSREFYES]@CHOICE@}{\rtlch\fcs1 \af0 \ltrch\fcs0 \insrsid16658872\charrsid6768093 #}{\rtlch\fcs1 \af0 \ltrch\fcs0 _x000d__x000a_\cs17\i0\v\fs20\cf9\lang1024\langfe1024\loch\af1\hich\af1\dbch\af31501\noproof\insrsid16658872\charrsid6768093 \hich\af1\dbch\af31501\loch\f1 &lt;/OptDel&gt;}{\rtlch\fcs1 \af0 \ltrch\fcs0 \insrsid16658872\charrsid6768093 _x000d__x000a_\par }\pard\plain \ltrpar\s23\qc \li0\ri0\sb240\sa240\keepn\nowidctlpar\wrapdefault\aspalpha\aspnum\faauto\adjustright\rin0\lin0\itap0\pararsid16658872 \rtlch\fcs1 \af0\afs20\alang1025 \ltrch\fcs0 \i\fs24\lang2057\langfe2057\cgrid\langnp2057\langfenp2057 {_x000d__x000a_\rtlch\fcs1 \af0 \ltrch\fcs0 \cs17\i0\v\fs20\cf9\lang1024\langfe1024\loch\af1\hich\af1\dbch\af31501\noproof\insrsid16658872\charrsid6768093 \hich\af1\dbch\af31501\loch\f1 &lt;TitreJust&gt;}{\rtlch\fcs1 \af0 \ltrch\fcs0 \insrsid16658872\charrsid6768093 _x000d__x000a_Justification}{\rtlch\fcs1 \af0 \ltrch\fcs0 \cs17\i0\v\fs20\cf9\lang1024\langfe1024\loch\af1\hich\af1\dbch\af31501\noproof\insrsid16658872\charrsid6768093 \hich\af1\dbch\af31501\loch\f1 &lt;/TitreJust&gt;}{\rtlch\fcs1 \af0 \ltrch\fcs0 _x000d__x000a_\insrsid16658872\charrsid6768093 _x000d__x000a_\par }\pard\plain \ltrpar\s21\ql \li0\ri0\sa240\nowidctlpar\wrapdefault\aspalpha\aspnum\faauto\adjustright\rin0\lin0\itap0\pararsid16658872 \rtlch\fcs1 \af0\afs20\alang1025 \ltrch\fcs0 \i\fs24\lang2057\langfe2057\cgrid\langnp2057\langfenp2057 {\rtlch\fcs1 _x000d__x000a_\af0 \ltrch\fcs0 \cs17\i0\v\fs20\cf9\lang1024\langfe1024\loch\af1\hich\af1\dbch\af31501\noproof\insrsid16658872\charrsid6768093 \hich\af1\dbch\af31501\loch\f1 &lt;OptDelPrev&gt;}{\rtlch\fcs1 \af0 \ltrch\fcs0 \insrsid16658872\charrsid6768093 #}{\rtlch\fcs1 \af1 _x000d__x000a_\ltrch\fcs0 \cs18\v\f1\fs20\cf15\insrsid16658872\charrsid6768093 MNU[TEXTJUSTYES][TEXTJUSTNO]@CHOICE@}{\rtlch\fcs1 \af0 \ltrch\fcs0 \insrsid16658872\charrsid6768093 #}{\rtlch\fcs1 \af0 \ltrch\fcs0 _x000d__x000a_\cs17\i0\v\fs20\cf9\lang1024\langfe1024\loch\af1\hich\af1\dbch\af31501\noproof\insrsid16658872\charrsid6768093 \hich\af1\dbch\af31501\loch\f1 &lt;/OptDelPrev&gt;}{\rtlch\fcs1 \af0 \ltrch\fcs0 \insrsid16658872\charrsid6768093 _x000d__x000a_\par }\pard\plain \ltrpar\ql \li0\ri0\widctlpar\wrapdefault\aspalpha\aspnum\faauto\adjustright\rin0\lin0\itap0\pararsid16658872 \rtlch\fcs1 \af0\afs20\alang1025 \ltrch\fcs0 \fs24\lang2057\langfe2057\cgrid\langnp2057\langfenp2057 {\rtlch\fcs1 \af0 \ltrch\fcs0 _x000d__x000a_\cs17\v\fs20\cf9\lang1024\langfe1024\loch\af1\hich\af1\dbch\af31501\noproof\insrsid16658872\charrsid6768093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a2_x000d__x000a_bc655ce2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R_COD_1amCom"/>
    <w:docVar w:name="strSubDir" w:val="1285"/>
    <w:docVar w:name="TVTAMPART" w:val="Recital 1"/>
    <w:docVar w:name="TXTAUTHOR" w:val="Jonás Fernández"/>
    <w:docVar w:name="TXTLANGUE" w:val="EN"/>
    <w:docVar w:name="TXTLANGUEMIN" w:val="en"/>
    <w:docVar w:name="TXTNRC" w:val="0134/2023"/>
    <w:docVar w:name="TXTNRCOD" w:val="2023/0113"/>
    <w:docVar w:name="TXTNRCOM" w:val="(2023)0229"/>
    <w:docVar w:name="TXTNRFIRSTAM" w:val="1"/>
    <w:docVar w:name="TXTNRLASTAM" w:val="2"/>
    <w:docVar w:name="TXTNRPE" w:val="752.913"/>
    <w:docVar w:name="TXTPEorAP" w:val="PE"/>
    <w:docVar w:name="TXTROUTE" w:val="PR\1285454EN.docx"/>
    <w:docVar w:name="TXTTITLE" w:val="amending Directive 2014/59/EU and Regulation (EU) No 806/2014 as regards certain aspects of the minimum requirement for own funds and eligible liabilities"/>
    <w:docVar w:name="TXTVERSION" w:val="01-00"/>
  </w:docVars>
  <w:rsids>
    <w:rsidRoot w:val="006745DD"/>
    <w:rsid w:val="00011AAB"/>
    <w:rsid w:val="00012351"/>
    <w:rsid w:val="000139E5"/>
    <w:rsid w:val="00084DD2"/>
    <w:rsid w:val="00084E89"/>
    <w:rsid w:val="000A7B09"/>
    <w:rsid w:val="000B7489"/>
    <w:rsid w:val="000F1096"/>
    <w:rsid w:val="001024AD"/>
    <w:rsid w:val="00120948"/>
    <w:rsid w:val="00123DD5"/>
    <w:rsid w:val="001277AE"/>
    <w:rsid w:val="00142215"/>
    <w:rsid w:val="001767E2"/>
    <w:rsid w:val="00187008"/>
    <w:rsid w:val="001B3829"/>
    <w:rsid w:val="001C01EE"/>
    <w:rsid w:val="001C5592"/>
    <w:rsid w:val="001C5B44"/>
    <w:rsid w:val="001C63AC"/>
    <w:rsid w:val="001C6FFC"/>
    <w:rsid w:val="001F7C7C"/>
    <w:rsid w:val="00212B84"/>
    <w:rsid w:val="00216F9D"/>
    <w:rsid w:val="002346B0"/>
    <w:rsid w:val="002667C3"/>
    <w:rsid w:val="002669B6"/>
    <w:rsid w:val="00290BED"/>
    <w:rsid w:val="002D13EE"/>
    <w:rsid w:val="002E33EE"/>
    <w:rsid w:val="002F40BB"/>
    <w:rsid w:val="002F4B02"/>
    <w:rsid w:val="00323EF8"/>
    <w:rsid w:val="00325A50"/>
    <w:rsid w:val="003316DD"/>
    <w:rsid w:val="00366A46"/>
    <w:rsid w:val="00370AC3"/>
    <w:rsid w:val="003824EE"/>
    <w:rsid w:val="003B4689"/>
    <w:rsid w:val="003C2068"/>
    <w:rsid w:val="003C37CF"/>
    <w:rsid w:val="004100B1"/>
    <w:rsid w:val="00426E47"/>
    <w:rsid w:val="00455743"/>
    <w:rsid w:val="00461601"/>
    <w:rsid w:val="0046639E"/>
    <w:rsid w:val="00467F7B"/>
    <w:rsid w:val="0048211B"/>
    <w:rsid w:val="004C0915"/>
    <w:rsid w:val="004D424E"/>
    <w:rsid w:val="004E42C8"/>
    <w:rsid w:val="004E733D"/>
    <w:rsid w:val="004F3FA5"/>
    <w:rsid w:val="0051271F"/>
    <w:rsid w:val="00521F46"/>
    <w:rsid w:val="00551111"/>
    <w:rsid w:val="00551123"/>
    <w:rsid w:val="00557C21"/>
    <w:rsid w:val="00570A6A"/>
    <w:rsid w:val="00586E50"/>
    <w:rsid w:val="0059583D"/>
    <w:rsid w:val="005A42D9"/>
    <w:rsid w:val="005C2BEF"/>
    <w:rsid w:val="005D1A99"/>
    <w:rsid w:val="005D7609"/>
    <w:rsid w:val="005D7EE8"/>
    <w:rsid w:val="00620AA8"/>
    <w:rsid w:val="00642325"/>
    <w:rsid w:val="006606A1"/>
    <w:rsid w:val="006745DD"/>
    <w:rsid w:val="00682F54"/>
    <w:rsid w:val="006A17A3"/>
    <w:rsid w:val="006A1920"/>
    <w:rsid w:val="006A2F5D"/>
    <w:rsid w:val="006F1136"/>
    <w:rsid w:val="006F7907"/>
    <w:rsid w:val="00743189"/>
    <w:rsid w:val="00743D33"/>
    <w:rsid w:val="00750CA1"/>
    <w:rsid w:val="007932B3"/>
    <w:rsid w:val="00793EA9"/>
    <w:rsid w:val="007D6F68"/>
    <w:rsid w:val="00823E6B"/>
    <w:rsid w:val="00826780"/>
    <w:rsid w:val="00837CCD"/>
    <w:rsid w:val="00862812"/>
    <w:rsid w:val="008633CC"/>
    <w:rsid w:val="00865190"/>
    <w:rsid w:val="008719B9"/>
    <w:rsid w:val="00894ECE"/>
    <w:rsid w:val="00896BB4"/>
    <w:rsid w:val="008A7FB8"/>
    <w:rsid w:val="008C37B3"/>
    <w:rsid w:val="008F652F"/>
    <w:rsid w:val="009022B8"/>
    <w:rsid w:val="00914537"/>
    <w:rsid w:val="00917CC4"/>
    <w:rsid w:val="00932D06"/>
    <w:rsid w:val="00956D07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4FD3"/>
    <w:rsid w:val="00A36929"/>
    <w:rsid w:val="00A50548"/>
    <w:rsid w:val="00A60EE7"/>
    <w:rsid w:val="00A910C9"/>
    <w:rsid w:val="00AA35B0"/>
    <w:rsid w:val="00AB59CE"/>
    <w:rsid w:val="00AD18C8"/>
    <w:rsid w:val="00AD7FA6"/>
    <w:rsid w:val="00AE4643"/>
    <w:rsid w:val="00AF0416"/>
    <w:rsid w:val="00B10CB4"/>
    <w:rsid w:val="00B13D6F"/>
    <w:rsid w:val="00B17848"/>
    <w:rsid w:val="00B23B72"/>
    <w:rsid w:val="00B42702"/>
    <w:rsid w:val="00B57B8B"/>
    <w:rsid w:val="00B85407"/>
    <w:rsid w:val="00B95702"/>
    <w:rsid w:val="00BC6489"/>
    <w:rsid w:val="00BC7082"/>
    <w:rsid w:val="00BD480C"/>
    <w:rsid w:val="00BE22DA"/>
    <w:rsid w:val="00C10E7F"/>
    <w:rsid w:val="00C20954"/>
    <w:rsid w:val="00C23324"/>
    <w:rsid w:val="00C42A41"/>
    <w:rsid w:val="00C47E74"/>
    <w:rsid w:val="00C57A72"/>
    <w:rsid w:val="00C73602"/>
    <w:rsid w:val="00CF60C8"/>
    <w:rsid w:val="00D30DE2"/>
    <w:rsid w:val="00D32924"/>
    <w:rsid w:val="00D503A3"/>
    <w:rsid w:val="00D73518"/>
    <w:rsid w:val="00DA0796"/>
    <w:rsid w:val="00DA6ED0"/>
    <w:rsid w:val="00DC5011"/>
    <w:rsid w:val="00E171B6"/>
    <w:rsid w:val="00E70D3B"/>
    <w:rsid w:val="00E72695"/>
    <w:rsid w:val="00EB1753"/>
    <w:rsid w:val="00EB6CFF"/>
    <w:rsid w:val="00EE3996"/>
    <w:rsid w:val="00F07062"/>
    <w:rsid w:val="00F23CFC"/>
    <w:rsid w:val="00F433E2"/>
    <w:rsid w:val="00F904AE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FF2750-D27A-4F52-B6FB-B2D7BB6C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6F1136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6F1136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6F1136"/>
    <w:rPr>
      <w:sz w:val="18"/>
    </w:rPr>
  </w:style>
  <w:style w:type="paragraph" w:styleId="FootnoteText">
    <w:name w:val="footnote text"/>
    <w:basedOn w:val="Normal"/>
    <w:link w:val="FootnoteTextChar"/>
    <w:rsid w:val="006F113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6F1136"/>
  </w:style>
  <w:style w:type="character" w:styleId="FootnoteReference">
    <w:name w:val="footnote reference"/>
    <w:basedOn w:val="DefaultParagraphFont"/>
    <w:rsid w:val="006F1136"/>
    <w:rPr>
      <w:vertAlign w:val="superscript"/>
    </w:rPr>
  </w:style>
  <w:style w:type="character" w:customStyle="1" w:styleId="Normal6Char">
    <w:name w:val="Normal6 Char"/>
    <w:basedOn w:val="DefaultParagraphFont"/>
    <w:link w:val="Normal6"/>
    <w:locked/>
    <w:rsid w:val="00932D06"/>
    <w:rPr>
      <w:sz w:val="24"/>
      <w:lang w:val="pl-PL"/>
    </w:rPr>
  </w:style>
  <w:style w:type="paragraph" w:customStyle="1" w:styleId="Normal6">
    <w:name w:val="Normal6"/>
    <w:basedOn w:val="Normal"/>
    <w:link w:val="Normal6Char"/>
    <w:rsid w:val="00932D06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932D06"/>
    <w:rPr>
      <w:b/>
      <w:sz w:val="24"/>
    </w:rPr>
  </w:style>
  <w:style w:type="paragraph" w:customStyle="1" w:styleId="ColumnHeading">
    <w:name w:val="ColumnHeading"/>
    <w:basedOn w:val="Normal"/>
    <w:rsid w:val="00932D06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932D06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Olang">
    <w:name w:val="Olang"/>
    <w:rsid w:val="00932D06"/>
    <w:pPr>
      <w:jc w:val="right"/>
    </w:pPr>
  </w:style>
  <w:style w:type="paragraph" w:styleId="Footer">
    <w:name w:val="footer"/>
    <w:basedOn w:val="Normal"/>
    <w:link w:val="FooterChar"/>
    <w:semiHidden/>
    <w:rsid w:val="00932D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932D06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557C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57C2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1C63AC"/>
    <w:rPr>
      <w:sz w:val="16"/>
      <w:szCs w:val="16"/>
    </w:rPr>
  </w:style>
  <w:style w:type="paragraph" w:styleId="CommentText">
    <w:name w:val="annotation text"/>
    <w:basedOn w:val="Normal"/>
    <w:link w:val="CommentTextChar"/>
    <w:rsid w:val="001C63A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1C63A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C6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C63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2F957-B542-4BEF-A324-67CB54ABF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6195</Words>
  <Characters>42498</Characters>
  <Application>Microsoft Office Word</Application>
  <DocSecurity>0</DocSecurity>
  <Lines>1517</Lines>
  <Paragraphs>273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48420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TURLUI Emil-Gabriel</dc:creator>
  <cp:lastModifiedBy>WIERTLEWSKA Maria</cp:lastModifiedBy>
  <cp:revision>2</cp:revision>
  <cp:lastPrinted>2004-11-04T09:41:00Z</cp:lastPrinted>
  <dcterms:created xsi:type="dcterms:W3CDTF">2023-09-26T08:47:00Z</dcterms:created>
  <dcterms:modified xsi:type="dcterms:W3CDTF">2023-09-26T08:47:00Z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1285454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19:27:09)</vt:lpwstr>
  </property>
  <property fmtid="{D5CDD505-2E9C-101B-9397-08002B2CF9AE}" pid="6" name="&lt;ModelTra&gt;">
    <vt:lpwstr>\\eiciBRUpr1\pdocep$\DocEP\TRANSFIL\EN\PR_COD_1amCom.EN(29/06/2022 10:21:37)</vt:lpwstr>
  </property>
  <property fmtid="{D5CDD505-2E9C-101B-9397-08002B2CF9AE}" pid="7" name="&lt;Type&gt;">
    <vt:lpwstr>PR</vt:lpwstr>
  </property>
  <property fmtid="{D5CDD505-2E9C-101B-9397-08002B2CF9AE}" pid="8" name="Created with">
    <vt:lpwstr>9.14.1 Build [20230315]</vt:lpwstr>
  </property>
  <property fmtid="{D5CDD505-2E9C-101B-9397-08002B2CF9AE}" pid="9" name="FooterPath">
    <vt:lpwstr>PR\1285454PL.docx</vt:lpwstr>
  </property>
  <property fmtid="{D5CDD505-2E9C-101B-9397-08002B2CF9AE}" pid="10" name="LastEdited with">
    <vt:lpwstr>9.14.1 Build [20230315]</vt:lpwstr>
  </property>
  <property fmtid="{D5CDD505-2E9C-101B-9397-08002B2CF9AE}" pid="11" name="PE number">
    <vt:lpwstr>752.913</vt:lpwstr>
  </property>
  <property fmtid="{D5CDD505-2E9C-101B-9397-08002B2CF9AE}" pid="12" name="SDLStudio">
    <vt:lpwstr/>
  </property>
  <property fmtid="{D5CDD505-2E9C-101B-9397-08002B2CF9AE}" pid="13" name="SendToEpades">
    <vt:lpwstr>OK - 2023/09/11 11:42</vt:lpwstr>
  </property>
  <property fmtid="{D5CDD505-2E9C-101B-9397-08002B2CF9AE}" pid="14" name="Bookout">
    <vt:lpwstr>OK - 2023/09/26 10:47</vt:lpwstr>
  </property>
</Properties>
</file>