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E35042" w:rsidRPr="00473D4F" w:rsidTr="00DA0796">
        <w:trPr>
          <w:trHeight w:hRule="exact" w:val="1418"/>
        </w:trPr>
        <w:tc>
          <w:tcPr>
            <w:tcW w:w="6804" w:type="dxa"/>
            <w:shd w:val="clear" w:color="auto" w:fill="auto"/>
            <w:vAlign w:val="center"/>
          </w:tcPr>
          <w:p w:rsidR="00B13D6F" w:rsidRPr="00473D4F" w:rsidRDefault="003B3846" w:rsidP="00DA0796">
            <w:pPr>
              <w:pStyle w:val="EPName"/>
            </w:pPr>
            <w:r w:rsidRPr="00473D4F">
              <w:t>Parlamento Europeu</w:t>
            </w:r>
          </w:p>
          <w:p w:rsidR="00B13D6F" w:rsidRPr="00473D4F" w:rsidRDefault="003B3846" w:rsidP="006F1136">
            <w:pPr>
              <w:pStyle w:val="EPTerm"/>
            </w:pPr>
            <w:r w:rsidRPr="00473D4F">
              <w:t>2019-2024</w:t>
            </w:r>
          </w:p>
        </w:tc>
        <w:tc>
          <w:tcPr>
            <w:tcW w:w="2268" w:type="dxa"/>
            <w:shd w:val="clear" w:color="auto" w:fill="auto"/>
          </w:tcPr>
          <w:p w:rsidR="00B13D6F" w:rsidRPr="00473D4F" w:rsidRDefault="003B3846" w:rsidP="00DA0796">
            <w:pPr>
              <w:pStyle w:val="EPLogo"/>
            </w:pPr>
            <w:r w:rsidRPr="00473D4F">
              <w:rPr>
                <w:noProof/>
                <w:lang w:eastAsia="pt-PT"/>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473D4F" w:rsidRDefault="00461601" w:rsidP="00461601">
      <w:pPr>
        <w:pStyle w:val="LineTop"/>
      </w:pPr>
    </w:p>
    <w:p w:rsidR="00461601" w:rsidRPr="00473D4F" w:rsidRDefault="003B3846" w:rsidP="00461601">
      <w:pPr>
        <w:pStyle w:val="EPBody"/>
      </w:pPr>
      <w:r w:rsidRPr="00473D4F">
        <w:rPr>
          <w:rStyle w:val="HideTWBExt"/>
        </w:rPr>
        <w:t>&lt;</w:t>
      </w:r>
      <w:r w:rsidRPr="00473D4F">
        <w:rPr>
          <w:rStyle w:val="HideTWBExt"/>
          <w:i w:val="0"/>
        </w:rPr>
        <w:t>Commission</w:t>
      </w:r>
      <w:r w:rsidRPr="00473D4F">
        <w:rPr>
          <w:rStyle w:val="HideTWBExt"/>
        </w:rPr>
        <w:t>&gt;</w:t>
      </w:r>
      <w:r w:rsidRPr="00473D4F">
        <w:rPr>
          <w:rStyle w:val="HideTWBInt"/>
          <w:color w:val="auto"/>
        </w:rPr>
        <w:t>{ECON}</w:t>
      </w:r>
      <w:r w:rsidRPr="00473D4F">
        <w:t>Comissão dos Assuntos Económicos e Monetários</w:t>
      </w:r>
      <w:r w:rsidRPr="00473D4F">
        <w:rPr>
          <w:rStyle w:val="HideTWBExt"/>
        </w:rPr>
        <w:t>&lt;/</w:t>
      </w:r>
      <w:r w:rsidRPr="00473D4F">
        <w:rPr>
          <w:rStyle w:val="HideTWBExt"/>
          <w:i w:val="0"/>
        </w:rPr>
        <w:t>Commission</w:t>
      </w:r>
      <w:r w:rsidRPr="00473D4F">
        <w:rPr>
          <w:rStyle w:val="HideTWBExt"/>
        </w:rPr>
        <w:t>&gt;</w:t>
      </w:r>
    </w:p>
    <w:p w:rsidR="00461601" w:rsidRPr="00473D4F" w:rsidRDefault="00461601" w:rsidP="00461601">
      <w:pPr>
        <w:pStyle w:val="LineBottom"/>
      </w:pPr>
    </w:p>
    <w:p w:rsidR="00793EA9" w:rsidRPr="00473D4F" w:rsidRDefault="003B3846">
      <w:pPr>
        <w:pStyle w:val="CoverReference"/>
      </w:pPr>
      <w:r w:rsidRPr="00473D4F">
        <w:rPr>
          <w:rStyle w:val="HideTWBExt"/>
          <w:b w:val="0"/>
        </w:rPr>
        <w:t>&lt;RefProc&gt;</w:t>
      </w:r>
      <w:r w:rsidRPr="00473D4F">
        <w:t>2023/0113</w:t>
      </w:r>
      <w:r w:rsidRPr="00473D4F">
        <w:rPr>
          <w:rStyle w:val="HideTWBExt"/>
          <w:b w:val="0"/>
        </w:rPr>
        <w:t>&lt;/RefProc&gt;&lt;RefTypeProc&gt;</w:t>
      </w:r>
      <w:r w:rsidRPr="00473D4F">
        <w:t>(COD)</w:t>
      </w:r>
      <w:r w:rsidRPr="00473D4F">
        <w:rPr>
          <w:rStyle w:val="HideTWBExt"/>
          <w:b w:val="0"/>
        </w:rPr>
        <w:t>&lt;/RefTypeProc&gt;</w:t>
      </w:r>
    </w:p>
    <w:p w:rsidR="00793EA9" w:rsidRPr="00473D4F" w:rsidRDefault="003B3846">
      <w:pPr>
        <w:pStyle w:val="CoverDate"/>
      </w:pPr>
      <w:r w:rsidRPr="00473D4F">
        <w:rPr>
          <w:rStyle w:val="HideTWBExt"/>
        </w:rPr>
        <w:t>&lt;Date&gt;</w:t>
      </w:r>
      <w:r w:rsidRPr="00473D4F">
        <w:rPr>
          <w:rStyle w:val="HideTWBInt"/>
          <w:color w:val="auto"/>
        </w:rPr>
        <w:t>{11/09/2023}</w:t>
      </w:r>
      <w:r w:rsidRPr="00473D4F">
        <w:t>11.9.2023</w:t>
      </w:r>
      <w:r w:rsidRPr="00473D4F">
        <w:rPr>
          <w:rStyle w:val="HideTWBExt"/>
        </w:rPr>
        <w:t>&lt;/Date&gt;</w:t>
      </w:r>
    </w:p>
    <w:p w:rsidR="00793EA9" w:rsidRPr="00473D4F" w:rsidRDefault="003B3846">
      <w:pPr>
        <w:pStyle w:val="CoverDocType"/>
      </w:pPr>
      <w:r w:rsidRPr="00473D4F">
        <w:rPr>
          <w:rStyle w:val="HideTWBExt"/>
          <w:b w:val="0"/>
        </w:rPr>
        <w:t>&lt;RefProcLect&gt;</w:t>
      </w:r>
      <w:r w:rsidRPr="00473D4F">
        <w:t>***I</w:t>
      </w:r>
      <w:r w:rsidRPr="00473D4F">
        <w:rPr>
          <w:rStyle w:val="HideTWBExt"/>
          <w:b w:val="0"/>
        </w:rPr>
        <w:t>&lt;/RefProcLect&gt;</w:t>
      </w:r>
    </w:p>
    <w:p w:rsidR="00793EA9" w:rsidRPr="00473D4F" w:rsidRDefault="003B3846">
      <w:pPr>
        <w:pStyle w:val="CoverDocType24a"/>
      </w:pPr>
      <w:r w:rsidRPr="00473D4F">
        <w:rPr>
          <w:rStyle w:val="HideTWBExt"/>
          <w:b w:val="0"/>
        </w:rPr>
        <w:t>&lt;TitreType&gt;</w:t>
      </w:r>
      <w:r w:rsidRPr="00473D4F">
        <w:t>PROJETO DE RELATÓRIO</w:t>
      </w:r>
      <w:r w:rsidRPr="00473D4F">
        <w:rPr>
          <w:rStyle w:val="HideTWBExt"/>
          <w:b w:val="0"/>
        </w:rPr>
        <w:t>&lt;/TitreType&gt;</w:t>
      </w:r>
    </w:p>
    <w:p w:rsidR="00793EA9" w:rsidRPr="00473D4F" w:rsidRDefault="003B3846">
      <w:pPr>
        <w:pStyle w:val="CoverNormal"/>
      </w:pPr>
      <w:r w:rsidRPr="00473D4F">
        <w:rPr>
          <w:rStyle w:val="HideTWBExt"/>
        </w:rPr>
        <w:t>&lt;Titre&gt;</w:t>
      </w:r>
      <w:r w:rsidRPr="00473D4F">
        <w:t xml:space="preserve">sobre a proposta de diretiva do Parlamento Europeu e do Conselho que altera a Diretiva 2014/59/UE e o Regulamento (UE) n.º 806/2014 no que diz respeito a determinados aspetos do requisito mínimo de fundos próprios e </w:t>
      </w:r>
      <w:r w:rsidRPr="00473D4F">
        <w:t>passivos elegíveis</w:t>
      </w:r>
      <w:r w:rsidRPr="00473D4F">
        <w:rPr>
          <w:rStyle w:val="HideTWBExt"/>
        </w:rPr>
        <w:t>&lt;/Titre&gt;</w:t>
      </w:r>
    </w:p>
    <w:p w:rsidR="00793EA9" w:rsidRPr="00473D4F" w:rsidRDefault="003B3846">
      <w:pPr>
        <w:pStyle w:val="CoverNormal24a"/>
      </w:pPr>
      <w:r w:rsidRPr="00473D4F">
        <w:rPr>
          <w:rStyle w:val="HideTWBExt"/>
        </w:rPr>
        <w:t>&lt;DocRef&gt;</w:t>
      </w:r>
      <w:r w:rsidRPr="00473D4F">
        <w:t>(COM(2023)0229 – C9</w:t>
      </w:r>
      <w:r w:rsidRPr="00473D4F">
        <w:noBreakHyphen/>
        <w:t>0134/2023 – 2023/0113(COD))</w:t>
      </w:r>
      <w:r w:rsidRPr="00473D4F">
        <w:rPr>
          <w:rStyle w:val="HideTWBExt"/>
        </w:rPr>
        <w:t>&lt;/DocRef&gt;</w:t>
      </w:r>
    </w:p>
    <w:p w:rsidR="00793EA9" w:rsidRPr="00473D4F" w:rsidRDefault="003B3846">
      <w:pPr>
        <w:pStyle w:val="CoverNormal24a"/>
      </w:pPr>
      <w:r w:rsidRPr="00473D4F">
        <w:rPr>
          <w:rStyle w:val="HideTWBExt"/>
        </w:rPr>
        <w:t>&lt;Commission&gt;</w:t>
      </w:r>
      <w:r w:rsidRPr="00473D4F">
        <w:rPr>
          <w:rStyle w:val="HideTWBInt"/>
          <w:color w:val="auto"/>
        </w:rPr>
        <w:t>{ECON}</w:t>
      </w:r>
      <w:r w:rsidRPr="00473D4F">
        <w:t>Comissão dos Assuntos Económicos e Monetários</w:t>
      </w:r>
      <w:r w:rsidRPr="00473D4F">
        <w:rPr>
          <w:rStyle w:val="HideTWBExt"/>
        </w:rPr>
        <w:t>&lt;/Commission&gt;</w:t>
      </w:r>
    </w:p>
    <w:p w:rsidR="00793EA9" w:rsidRPr="00473D4F" w:rsidRDefault="003B3846">
      <w:pPr>
        <w:pStyle w:val="CoverNormal24a"/>
      </w:pPr>
      <w:r w:rsidRPr="00473D4F">
        <w:t xml:space="preserve">Relator de parecer: </w:t>
      </w:r>
      <w:r w:rsidRPr="00473D4F">
        <w:rPr>
          <w:rStyle w:val="HideTWBExt"/>
        </w:rPr>
        <w:t>&lt;Depute&gt;</w:t>
      </w:r>
      <w:r w:rsidRPr="00473D4F">
        <w:t>Jonás Fernández</w:t>
      </w:r>
      <w:r w:rsidRPr="00473D4F">
        <w:rPr>
          <w:rStyle w:val="HideTWBExt"/>
        </w:rPr>
        <w:t>&lt;/Depute&gt;</w:t>
      </w:r>
    </w:p>
    <w:p w:rsidR="001C5B44" w:rsidRPr="00473D4F" w:rsidRDefault="001C5B44" w:rsidP="001C5B44">
      <w:pPr>
        <w:pStyle w:val="CoverNormal"/>
      </w:pPr>
    </w:p>
    <w:p w:rsidR="006F1136" w:rsidRPr="00473D4F" w:rsidRDefault="003B3846" w:rsidP="00DA0796">
      <w:r w:rsidRPr="00473D4F">
        <w:br w:type="page"/>
      </w:r>
      <w:fldSimple w:instr=" TITLE  \* MERGEFORMAT ">
        <w:r>
          <w:t>PR_COD_1amCom</w:t>
        </w:r>
      </w:fldSimple>
    </w:p>
    <w:p w:rsidR="006F1136" w:rsidRPr="00473D4F" w:rsidRDefault="006F1136" w:rsidP="00DA0796"/>
    <w:p w:rsidR="006F1136" w:rsidRPr="00473D4F" w:rsidRDefault="006F1136" w:rsidP="00DA0796"/>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E35042" w:rsidRPr="00473D4F">
        <w:tc>
          <w:tcPr>
            <w:tcW w:w="5811" w:type="dxa"/>
          </w:tcPr>
          <w:p w:rsidR="006F1136" w:rsidRPr="00473D4F" w:rsidRDefault="003B3846" w:rsidP="00DA0796">
            <w:pPr>
              <w:pStyle w:val="Lgendetitre"/>
            </w:pPr>
            <w:r w:rsidRPr="00473D4F">
              <w:t>Legenda dos símbolos utilizados</w:t>
            </w:r>
          </w:p>
        </w:tc>
      </w:tr>
      <w:tr w:rsidR="00E35042" w:rsidRPr="00473D4F" w:rsidTr="00DA0796">
        <w:trPr>
          <w:cantSplit/>
          <w:trHeight w:val="1807"/>
        </w:trPr>
        <w:tc>
          <w:tcPr>
            <w:tcW w:w="5811" w:type="dxa"/>
            <w:tcBorders>
              <w:bottom w:val="single" w:sz="4" w:space="0" w:color="auto"/>
            </w:tcBorders>
          </w:tcPr>
          <w:p w:rsidR="006F1136" w:rsidRPr="00473D4F" w:rsidRDefault="003B3846" w:rsidP="00DA0796">
            <w:pPr>
              <w:pStyle w:val="Lgendesigne"/>
            </w:pPr>
            <w:r w:rsidRPr="00473D4F">
              <w:tab/>
              <w:t>*</w:t>
            </w:r>
            <w:r w:rsidRPr="00473D4F">
              <w:tab/>
              <w:t>Processo de consulta</w:t>
            </w:r>
          </w:p>
          <w:p w:rsidR="006F1136" w:rsidRPr="00473D4F" w:rsidRDefault="003B3846" w:rsidP="00DA0796">
            <w:pPr>
              <w:pStyle w:val="Lgendesigne"/>
            </w:pPr>
            <w:r w:rsidRPr="00473D4F">
              <w:tab/>
              <w:t>***</w:t>
            </w:r>
            <w:r w:rsidRPr="00473D4F">
              <w:tab/>
              <w:t>Processo de aprovação</w:t>
            </w:r>
          </w:p>
          <w:p w:rsidR="006F1136" w:rsidRPr="00473D4F" w:rsidRDefault="003B3846" w:rsidP="00DA0796">
            <w:pPr>
              <w:pStyle w:val="Lgendesigne"/>
            </w:pPr>
            <w:r w:rsidRPr="00473D4F">
              <w:tab/>
              <w:t>***I</w:t>
            </w:r>
            <w:r w:rsidRPr="00473D4F">
              <w:tab/>
              <w:t>Processo legislativo ordinário (primeira leitura)</w:t>
            </w:r>
          </w:p>
          <w:p w:rsidR="006F1136" w:rsidRPr="00473D4F" w:rsidRDefault="003B3846" w:rsidP="00DA0796">
            <w:pPr>
              <w:pStyle w:val="Lgendesigne"/>
            </w:pPr>
            <w:r w:rsidRPr="00473D4F">
              <w:tab/>
              <w:t>***II</w:t>
            </w:r>
            <w:r w:rsidRPr="00473D4F">
              <w:tab/>
              <w:t>Processo legislativo ordinário (segunda leitura)</w:t>
            </w:r>
          </w:p>
          <w:p w:rsidR="006F1136" w:rsidRPr="00473D4F" w:rsidRDefault="003B3846" w:rsidP="00DA0796">
            <w:pPr>
              <w:pStyle w:val="Lgendesigne"/>
            </w:pPr>
            <w:r w:rsidRPr="00473D4F">
              <w:tab/>
              <w:t>***III</w:t>
            </w:r>
            <w:r w:rsidRPr="00473D4F">
              <w:tab/>
              <w:t>Processo legislativo ordinário (t</w:t>
            </w:r>
            <w:r w:rsidRPr="00473D4F">
              <w:t>erceira leitura)</w:t>
            </w:r>
          </w:p>
          <w:p w:rsidR="006F1136" w:rsidRPr="00473D4F" w:rsidRDefault="006F1136" w:rsidP="00DA0796">
            <w:pPr>
              <w:pStyle w:val="Lgendestandard"/>
            </w:pPr>
          </w:p>
          <w:p w:rsidR="006F1136" w:rsidRPr="00473D4F" w:rsidRDefault="003B3846" w:rsidP="00DA0796">
            <w:pPr>
              <w:pStyle w:val="Lgendestandard"/>
            </w:pPr>
            <w:r w:rsidRPr="00473D4F">
              <w:t>(O processo indicado tem por fundamento a base jurídica proposta no projeto de ato,)</w:t>
            </w:r>
          </w:p>
          <w:p w:rsidR="006F1136" w:rsidRPr="00473D4F" w:rsidRDefault="006F1136" w:rsidP="00DA0796">
            <w:pPr>
              <w:pStyle w:val="Lgendestandard"/>
            </w:pPr>
          </w:p>
        </w:tc>
      </w:tr>
    </w:tbl>
    <w:p w:rsidR="006F1136" w:rsidRPr="00473D4F" w:rsidRDefault="006F1136" w:rsidP="00DA0796"/>
    <w:p w:rsidR="006F1136" w:rsidRPr="00473D4F" w:rsidRDefault="006F1136" w:rsidP="00DA0796"/>
    <w:p w:rsidR="006F1136" w:rsidRPr="00473D4F" w:rsidRDefault="006F1136" w:rsidP="00DA0796"/>
    <w:p w:rsidR="006F1136" w:rsidRPr="00473D4F" w:rsidRDefault="006F1136" w:rsidP="00DA0796"/>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E35042" w:rsidRPr="00473D4F">
        <w:tc>
          <w:tcPr>
            <w:tcW w:w="5811" w:type="dxa"/>
          </w:tcPr>
          <w:p w:rsidR="006F1136" w:rsidRPr="00473D4F" w:rsidRDefault="003B3846" w:rsidP="00DA0796">
            <w:pPr>
              <w:pStyle w:val="Lgendetitre"/>
            </w:pPr>
            <w:r w:rsidRPr="00473D4F">
              <w:t>Alterações a um projeto de ato</w:t>
            </w:r>
          </w:p>
        </w:tc>
      </w:tr>
      <w:tr w:rsidR="00E35042" w:rsidRPr="00473D4F" w:rsidTr="00DA0796">
        <w:trPr>
          <w:trHeight w:val="4496"/>
        </w:trPr>
        <w:tc>
          <w:tcPr>
            <w:tcW w:w="5811" w:type="dxa"/>
          </w:tcPr>
          <w:p w:rsidR="006F1136" w:rsidRPr="00473D4F" w:rsidRDefault="003B3846" w:rsidP="00DA0796">
            <w:pPr>
              <w:pStyle w:val="Lgendestandard"/>
              <w:rPr>
                <w:szCs w:val="24"/>
              </w:rPr>
            </w:pPr>
            <w:r w:rsidRPr="00473D4F">
              <w:rPr>
                <w:b/>
              </w:rPr>
              <w:t>Alterações do Parlamento apresentadas em duas colunas</w:t>
            </w:r>
          </w:p>
          <w:p w:rsidR="006F1136" w:rsidRPr="00473D4F" w:rsidRDefault="006F1136" w:rsidP="00DA0796">
            <w:pPr>
              <w:pStyle w:val="Lgendestandard"/>
              <w:rPr>
                <w:szCs w:val="24"/>
              </w:rPr>
            </w:pPr>
          </w:p>
          <w:p w:rsidR="006F1136" w:rsidRPr="00473D4F" w:rsidRDefault="003B3846" w:rsidP="00DA0796">
            <w:pPr>
              <w:pStyle w:val="Lgendestandard"/>
              <w:rPr>
                <w:szCs w:val="24"/>
              </w:rPr>
            </w:pPr>
            <w:r w:rsidRPr="00473D4F">
              <w:t xml:space="preserve">As supressões são assinaladas em itálico e a negrito na </w:t>
            </w:r>
            <w:r w:rsidRPr="00473D4F">
              <w:t>coluna da esquerda. As substituições são assinaladas em itálico e a negrito na coluna da esquerda e na coluna da direita. O texto novo é assinalado em itálico e a negrito na coluna da direita.</w:t>
            </w:r>
          </w:p>
          <w:p w:rsidR="006F1136" w:rsidRPr="00473D4F" w:rsidRDefault="006F1136" w:rsidP="00DA0796">
            <w:pPr>
              <w:pStyle w:val="Lgendestandard"/>
              <w:rPr>
                <w:szCs w:val="24"/>
              </w:rPr>
            </w:pPr>
          </w:p>
          <w:p w:rsidR="006F1136" w:rsidRPr="00473D4F" w:rsidRDefault="003B3846" w:rsidP="00DA0796">
            <w:pPr>
              <w:pStyle w:val="Lgendestandard"/>
              <w:rPr>
                <w:szCs w:val="24"/>
              </w:rPr>
            </w:pPr>
            <w:r w:rsidRPr="00473D4F">
              <w:t xml:space="preserve">A primeira e a segunda linhas do cabeçalho de cada alteração </w:t>
            </w:r>
            <w:r w:rsidRPr="00473D4F">
              <w:t xml:space="preserve">identificam o passo relevante do projeto de ato em apreço. Se uma alteração disser respeito a um ato já existente, que o projeto de ato pretenda modificar, o cabeçalho comporta ainda uma terceira e uma quarta linhas, que identificam, respetivamente, o ato </w:t>
            </w:r>
            <w:r w:rsidRPr="00473D4F">
              <w:t>existente e a disposição visada do ato em causa.</w:t>
            </w:r>
          </w:p>
          <w:p w:rsidR="006F1136" w:rsidRPr="00473D4F" w:rsidRDefault="006F1136" w:rsidP="00DA0796">
            <w:pPr>
              <w:pStyle w:val="Lgendestandard"/>
              <w:rPr>
                <w:szCs w:val="24"/>
              </w:rPr>
            </w:pPr>
          </w:p>
          <w:p w:rsidR="006F1136" w:rsidRPr="00473D4F" w:rsidRDefault="003B3846" w:rsidP="00DA0796">
            <w:pPr>
              <w:pStyle w:val="Lgendestandard"/>
              <w:rPr>
                <w:b/>
                <w:szCs w:val="24"/>
              </w:rPr>
            </w:pPr>
            <w:r w:rsidRPr="00473D4F">
              <w:rPr>
                <w:b/>
              </w:rPr>
              <w:t>Alterações do Parlamento apresentadas sob a forma de texto consolidado</w:t>
            </w:r>
          </w:p>
          <w:p w:rsidR="006F1136" w:rsidRPr="00473D4F" w:rsidRDefault="006F1136" w:rsidP="00DA0796">
            <w:pPr>
              <w:pStyle w:val="Lgendestandard"/>
              <w:rPr>
                <w:szCs w:val="24"/>
              </w:rPr>
            </w:pPr>
          </w:p>
          <w:p w:rsidR="006F1136" w:rsidRPr="00473D4F" w:rsidRDefault="003B3846" w:rsidP="00DA0796">
            <w:pPr>
              <w:pStyle w:val="Lgendestandard"/>
              <w:rPr>
                <w:szCs w:val="24"/>
              </w:rPr>
            </w:pPr>
            <w:r w:rsidRPr="00473D4F">
              <w:t>Os trechos novos são assinalados em itálico e a negrito. Os trechos suprimidos são assinalados pelo símbolo ▌ou rasurados. As substitu</w:t>
            </w:r>
            <w:r w:rsidRPr="00473D4F">
              <w:t xml:space="preserve">ições são assinaladas formatando o texto novo em itálico e a negrito e suprimindo, ou rasurando, o texto substituído. </w:t>
            </w:r>
          </w:p>
          <w:p w:rsidR="006F1136" w:rsidRPr="00473D4F" w:rsidRDefault="003B3846" w:rsidP="00DA0796">
            <w:pPr>
              <w:pStyle w:val="Lgendestandard"/>
            </w:pPr>
            <w:r w:rsidRPr="00473D4F">
              <w:t>Exceção: as modificações de natureza estritamente técnica introduzidas pelos serviços com vista à elaboração do texto final não são assin</w:t>
            </w:r>
            <w:r w:rsidRPr="00473D4F">
              <w:t>aladas.</w:t>
            </w:r>
          </w:p>
          <w:p w:rsidR="006F1136" w:rsidRPr="00473D4F" w:rsidRDefault="006F1136" w:rsidP="00DA0796">
            <w:pPr>
              <w:pStyle w:val="Lgendestandard"/>
            </w:pPr>
          </w:p>
        </w:tc>
      </w:tr>
    </w:tbl>
    <w:p w:rsidR="006F1136" w:rsidRPr="00473D4F" w:rsidRDefault="006F1136" w:rsidP="00DA0796"/>
    <w:p w:rsidR="00793EA9" w:rsidRPr="00473D4F" w:rsidRDefault="00793EA9" w:rsidP="00012351">
      <w:pPr>
        <w:widowControl/>
        <w:tabs>
          <w:tab w:val="center" w:pos="4677"/>
        </w:tabs>
      </w:pPr>
    </w:p>
    <w:p w:rsidR="00793EA9" w:rsidRPr="00473D4F" w:rsidRDefault="003B3846">
      <w:pPr>
        <w:pStyle w:val="TOCHeading"/>
      </w:pPr>
      <w:r w:rsidRPr="00473D4F">
        <w:br w:type="page"/>
      </w:r>
      <w:r w:rsidRPr="00473D4F">
        <w:lastRenderedPageBreak/>
        <w:t>ÍNDICE</w:t>
      </w:r>
    </w:p>
    <w:p w:rsidR="00793EA9" w:rsidRPr="00473D4F" w:rsidRDefault="003B3846">
      <w:pPr>
        <w:pStyle w:val="TOCPage"/>
      </w:pPr>
      <w:r w:rsidRPr="00473D4F">
        <w:t>Página</w:t>
      </w:r>
    </w:p>
    <w:p w:rsidR="003B3846" w:rsidRDefault="003B3846">
      <w:pPr>
        <w:pStyle w:val="TOC1"/>
        <w:tabs>
          <w:tab w:val="right" w:leader="dot" w:pos="9060"/>
        </w:tabs>
        <w:rPr>
          <w:rFonts w:asciiTheme="minorHAnsi" w:eastAsiaTheme="minorEastAsia" w:hAnsiTheme="minorHAnsi" w:cstheme="minorBidi"/>
          <w:noProof/>
          <w:sz w:val="22"/>
          <w:szCs w:val="22"/>
          <w:lang w:eastAsia="pt-PT"/>
        </w:rPr>
      </w:pPr>
      <w:r w:rsidRPr="00473D4F">
        <w:rPr>
          <w:b/>
        </w:rPr>
        <w:fldChar w:fldCharType="begin"/>
      </w:r>
      <w:r w:rsidRPr="00473D4F">
        <w:rPr>
          <w:b/>
        </w:rPr>
        <w:instrText xml:space="preserve"> TOC \t "PageHeading</w:instrText>
      </w:r>
      <w:r w:rsidR="00E70D3B" w:rsidRPr="00473D4F">
        <w:rPr>
          <w:b/>
        </w:rPr>
        <w:instrText>;</w:instrText>
      </w:r>
      <w:r w:rsidRPr="00473D4F">
        <w:rPr>
          <w:b/>
        </w:rPr>
        <w:instrText xml:space="preserve">1" </w:instrText>
      </w:r>
      <w:r w:rsidRPr="00473D4F">
        <w:rPr>
          <w:b/>
        </w:rPr>
        <w:fldChar w:fldCharType="separate"/>
      </w:r>
      <w:r>
        <w:rPr>
          <w:noProof/>
        </w:rPr>
        <w:t>PROJETO DE RESOLUÇÃO LEGISLATIVA DO PARLAMENTO EUROPEU</w:t>
      </w:r>
      <w:r>
        <w:rPr>
          <w:noProof/>
        </w:rPr>
        <w:tab/>
      </w:r>
      <w:r>
        <w:rPr>
          <w:noProof/>
        </w:rPr>
        <w:fldChar w:fldCharType="begin"/>
      </w:r>
      <w:r>
        <w:rPr>
          <w:noProof/>
        </w:rPr>
        <w:instrText xml:space="preserve"> PAGEREF _Toc146533773 \h </w:instrText>
      </w:r>
      <w:r>
        <w:rPr>
          <w:noProof/>
        </w:rPr>
      </w:r>
      <w:r>
        <w:rPr>
          <w:noProof/>
        </w:rPr>
        <w:fldChar w:fldCharType="separate"/>
      </w:r>
      <w:r>
        <w:rPr>
          <w:noProof/>
        </w:rPr>
        <w:t>5</w:t>
      </w:r>
      <w:r>
        <w:rPr>
          <w:noProof/>
        </w:rPr>
        <w:fldChar w:fldCharType="end"/>
      </w:r>
    </w:p>
    <w:p w:rsidR="002346B0" w:rsidRPr="00473D4F" w:rsidRDefault="003B3846" w:rsidP="00C23324">
      <w:r w:rsidRPr="00473D4F">
        <w:rPr>
          <w:b/>
        </w:rPr>
        <w:fldChar w:fldCharType="end"/>
      </w:r>
    </w:p>
    <w:p w:rsidR="00793EA9" w:rsidRPr="00473D4F" w:rsidRDefault="003B3846">
      <w:pPr>
        <w:pStyle w:val="PageHeading"/>
      </w:pPr>
      <w:r w:rsidRPr="00473D4F">
        <w:br w:type="page"/>
      </w:r>
      <w:r w:rsidRPr="00473D4F">
        <w:br w:type="page"/>
      </w:r>
      <w:bookmarkStart w:id="0" w:name="_Toc146533773"/>
      <w:r w:rsidRPr="00473D4F">
        <w:t>PROJETO DE RESOLUÇÃO LEGISLATIVA DO PARLAMENTO EUROPEU</w:t>
      </w:r>
      <w:bookmarkEnd w:id="0"/>
    </w:p>
    <w:p w:rsidR="00793EA9" w:rsidRPr="00473D4F" w:rsidRDefault="003B3846">
      <w:pPr>
        <w:pStyle w:val="NormalBold"/>
      </w:pPr>
      <w:r w:rsidRPr="00473D4F">
        <w:t>sobre a proposta de diretiva do Parlamento Europeu e do Conselho que altera a Diretiva 2014/59/UE e o Regulamento (UE) n.º 806/2014 no que diz respeito a determinados aspetos do requisito mínimo de fundos próprios e passivos elegíveis</w:t>
      </w:r>
    </w:p>
    <w:p w:rsidR="00793EA9" w:rsidRPr="00473D4F" w:rsidRDefault="003B3846">
      <w:pPr>
        <w:pStyle w:val="NormalBold12a"/>
      </w:pPr>
      <w:r w:rsidRPr="00473D4F">
        <w:t>(COM(2023)0229 – C9</w:t>
      </w:r>
      <w:r w:rsidRPr="00473D4F">
        <w:noBreakHyphen/>
      </w:r>
      <w:r w:rsidRPr="00473D4F">
        <w:t>0134/2023 – 2023/0113(COD))</w:t>
      </w:r>
    </w:p>
    <w:p w:rsidR="00793EA9" w:rsidRPr="00473D4F" w:rsidRDefault="003B3846" w:rsidP="00A910C9">
      <w:pPr>
        <w:pStyle w:val="NormalBold"/>
      </w:pPr>
      <w:r w:rsidRPr="00473D4F">
        <w:t>(P</w:t>
      </w:r>
      <w:r>
        <w:t xml:space="preserve">rocesso legislativo ordinário: </w:t>
      </w:r>
      <w:r w:rsidRPr="00473D4F">
        <w:t>primeira leitura)</w:t>
      </w:r>
    </w:p>
    <w:p w:rsidR="00793EA9" w:rsidRPr="00473D4F" w:rsidRDefault="003B3846" w:rsidP="00A910C9">
      <w:pPr>
        <w:pStyle w:val="EPComma"/>
      </w:pPr>
      <w:r w:rsidRPr="00473D4F">
        <w:rPr>
          <w:i/>
          <w:iCs/>
        </w:rPr>
        <w:t>O Parlamento Europeu</w:t>
      </w:r>
      <w:r w:rsidRPr="00473D4F">
        <w:t>,</w:t>
      </w:r>
    </w:p>
    <w:p w:rsidR="00793EA9" w:rsidRPr="00473D4F" w:rsidRDefault="003B3846">
      <w:pPr>
        <w:pStyle w:val="NormalHanging12a"/>
      </w:pPr>
      <w:r w:rsidRPr="00473D4F">
        <w:t>–</w:t>
      </w:r>
      <w:r w:rsidRPr="00473D4F">
        <w:tab/>
        <w:t>Tendo em conta a proposta da Comissão ao Parlamento Europeu e ao Conselho (COM(2023)0229),</w:t>
      </w:r>
    </w:p>
    <w:p w:rsidR="00793EA9" w:rsidRPr="00473D4F" w:rsidRDefault="003B3846">
      <w:pPr>
        <w:pStyle w:val="NormalHanging12a"/>
      </w:pPr>
      <w:r w:rsidRPr="00473D4F">
        <w:t>–</w:t>
      </w:r>
      <w:r w:rsidRPr="00473D4F">
        <w:tab/>
        <w:t>Tendo em conta o artigo 294.º, n.º 2, e o artigo 114 do Tra</w:t>
      </w:r>
      <w:r w:rsidRPr="00473D4F">
        <w:t>tado sobre o Funcionamento da União Europeia, nos termos dos quais a proposta lhe foi apresentada pela Comissão (C9</w:t>
      </w:r>
      <w:r w:rsidRPr="00473D4F">
        <w:noBreakHyphen/>
        <w:t>0134/2023),</w:t>
      </w:r>
    </w:p>
    <w:p w:rsidR="00A26F46" w:rsidRPr="00473D4F" w:rsidRDefault="003B3846" w:rsidP="00A26F46">
      <w:pPr>
        <w:pStyle w:val="NormalHanging12a"/>
      </w:pPr>
      <w:r w:rsidRPr="00473D4F">
        <w:t>–</w:t>
      </w:r>
      <w:r w:rsidRPr="00473D4F">
        <w:tab/>
        <w:t>Tendo em conta o artigo 294.º, n.º 3 do Tratado sobre o Funcionamento da União Europeia,</w:t>
      </w:r>
    </w:p>
    <w:p w:rsidR="006F1136" w:rsidRPr="00473D4F" w:rsidRDefault="003B3846" w:rsidP="00AD7FA6">
      <w:pPr>
        <w:pStyle w:val="NormalHanging12a"/>
      </w:pPr>
      <w:r w:rsidRPr="00473D4F">
        <w:t>–</w:t>
      </w:r>
      <w:r w:rsidRPr="00473D4F">
        <w:tab/>
        <w:t>Tendo em conta o parecer do Banco C</w:t>
      </w:r>
      <w:r w:rsidRPr="00473D4F">
        <w:t>entral Europeu, de 5 de julho de 2023</w:t>
      </w:r>
      <w:r w:rsidRPr="00473D4F">
        <w:rPr>
          <w:rStyle w:val="FootnoteReference"/>
        </w:rPr>
        <w:footnoteReference w:id="1"/>
      </w:r>
      <w:r w:rsidRPr="00473D4F">
        <w:t>,</w:t>
      </w:r>
    </w:p>
    <w:p w:rsidR="00D73518" w:rsidRPr="00473D4F" w:rsidRDefault="003B3846" w:rsidP="00AD7FA6">
      <w:pPr>
        <w:pStyle w:val="NormalHanging12a"/>
      </w:pPr>
      <w:r w:rsidRPr="00473D4F">
        <w:t>–</w:t>
      </w:r>
      <w:r w:rsidRPr="00473D4F">
        <w:tab/>
        <w:t>Tendo em conta o parecer do Comité Económico e Social Europeu de 13 de julho de 2023</w:t>
      </w:r>
      <w:r w:rsidRPr="00473D4F">
        <w:rPr>
          <w:rStyle w:val="FootnoteReference"/>
          <w:szCs w:val="24"/>
        </w:rPr>
        <w:footnoteReference w:id="2"/>
      </w:r>
      <w:r w:rsidRPr="00473D4F">
        <w:t>,</w:t>
      </w:r>
    </w:p>
    <w:p w:rsidR="00793EA9" w:rsidRPr="00473D4F" w:rsidRDefault="003B3846">
      <w:pPr>
        <w:pStyle w:val="NormalHanging12a"/>
      </w:pPr>
      <w:r w:rsidRPr="00473D4F">
        <w:t>–</w:t>
      </w:r>
      <w:r w:rsidRPr="00473D4F">
        <w:tab/>
        <w:t>Tendo em conta o artigo 59.º do seu Regimento,</w:t>
      </w:r>
    </w:p>
    <w:p w:rsidR="006A2F5D" w:rsidRPr="00473D4F" w:rsidRDefault="003B3846" w:rsidP="006A2F5D">
      <w:pPr>
        <w:pStyle w:val="NormalHanging12a"/>
      </w:pPr>
      <w:r w:rsidRPr="00473D4F">
        <w:t>–</w:t>
      </w:r>
      <w:r w:rsidRPr="00473D4F">
        <w:tab/>
        <w:t xml:space="preserve">Tendo em conta o relatório da Comissão dos Assuntos Económicos e Monetários </w:t>
      </w:r>
      <w:r w:rsidRPr="00473D4F">
        <w:t>(A9</w:t>
      </w:r>
      <w:r w:rsidRPr="00473D4F">
        <w:noBreakHyphen/>
        <w:t>0000/2023),</w:t>
      </w:r>
    </w:p>
    <w:p w:rsidR="009F6C2F" w:rsidRPr="00473D4F" w:rsidRDefault="003B3846" w:rsidP="00B17848">
      <w:pPr>
        <w:pStyle w:val="NormalHanging12a"/>
      </w:pPr>
      <w:r w:rsidRPr="00473D4F">
        <w:t>1.</w:t>
      </w:r>
      <w:r w:rsidRPr="00473D4F">
        <w:tab/>
        <w:t>Aprova a posição em primeira leitura que se segue;</w:t>
      </w:r>
    </w:p>
    <w:p w:rsidR="009F6C2F" w:rsidRPr="00473D4F" w:rsidRDefault="003B3846" w:rsidP="009F6C2F">
      <w:pPr>
        <w:pStyle w:val="NormalHanging12a"/>
      </w:pPr>
      <w:r w:rsidRPr="00473D4F">
        <w:t>2.</w:t>
      </w:r>
      <w:r w:rsidRPr="00473D4F">
        <w:tab/>
        <w:t>Requer à Comissão que lhe submeta de novo a sua proposta, se a substituir, se a alterar substancialmente ou se pretender alterá-la substancialmente;</w:t>
      </w:r>
    </w:p>
    <w:p w:rsidR="009F6C2F" w:rsidRPr="00473D4F" w:rsidRDefault="003B3846" w:rsidP="009F6C2F">
      <w:pPr>
        <w:pStyle w:val="NormalHanging12a"/>
      </w:pPr>
      <w:r w:rsidRPr="00473D4F">
        <w:t>3.</w:t>
      </w:r>
      <w:r w:rsidRPr="00473D4F">
        <w:tab/>
        <w:t>Encarrega a sua Presidente de t</w:t>
      </w:r>
      <w:r w:rsidRPr="00473D4F">
        <w:t>ransmitir a posição do Parlamento ao Conselho e à Comissão, bem como aos parlamentos nacionais.</w:t>
      </w:r>
    </w:p>
    <w:p w:rsidR="00D30DE2" w:rsidRPr="00473D4F" w:rsidRDefault="00D30DE2" w:rsidP="00D30DE2"/>
    <w:p w:rsidR="008C37B3" w:rsidRPr="00473D4F" w:rsidRDefault="008C37B3" w:rsidP="00D30DE2"/>
    <w:p w:rsidR="008C37B3" w:rsidRPr="00473D4F" w:rsidRDefault="008C37B3" w:rsidP="00D30DE2"/>
    <w:p w:rsidR="008C37B3" w:rsidRPr="00473D4F" w:rsidRDefault="008C37B3" w:rsidP="00D30DE2"/>
    <w:p w:rsidR="008C37B3" w:rsidRPr="00473D4F" w:rsidRDefault="008C37B3" w:rsidP="00D30DE2"/>
    <w:p w:rsidR="002669B6" w:rsidRPr="00473D4F" w:rsidRDefault="003B3846" w:rsidP="00212B84">
      <w:pPr>
        <w:pStyle w:val="AmNumberTabs"/>
        <w:keepNext/>
      </w:pPr>
      <w:r w:rsidRPr="00473D4F">
        <w:rPr>
          <w:rStyle w:val="HideTWBExt"/>
          <w:b w:val="0"/>
        </w:rPr>
        <w:t>&lt;RepeatBlock-Amend&gt;</w:t>
      </w:r>
      <w:bookmarkStart w:id="1" w:name="restart"/>
      <w:r w:rsidRPr="00473D4F">
        <w:rPr>
          <w:rStyle w:val="HideTWBExt"/>
          <w:b w:val="0"/>
        </w:rPr>
        <w:t>&lt;Amend&gt;</w:t>
      </w:r>
      <w:r w:rsidRPr="00473D4F">
        <w:t>Alteração</w:t>
      </w:r>
      <w:r w:rsidRPr="00473D4F">
        <w:tab/>
      </w:r>
      <w:r w:rsidRPr="00473D4F">
        <w:tab/>
      </w:r>
      <w:r w:rsidRPr="00473D4F">
        <w:rPr>
          <w:rStyle w:val="HideTWBExt"/>
          <w:b w:val="0"/>
        </w:rPr>
        <w:t>&lt;NumAm&gt;</w:t>
      </w:r>
      <w:r w:rsidRPr="00473D4F">
        <w:t>1</w:t>
      </w:r>
      <w:r w:rsidRPr="00473D4F">
        <w:rPr>
          <w:rStyle w:val="HideTWBExt"/>
          <w:b w:val="0"/>
        </w:rPr>
        <w:t>&lt;/NumAm&gt;</w:t>
      </w:r>
    </w:p>
    <w:p w:rsidR="002669B6" w:rsidRPr="00473D4F" w:rsidRDefault="003B3846" w:rsidP="00212B84">
      <w:pPr>
        <w:pStyle w:val="NormalBold12b"/>
        <w:keepNext/>
      </w:pPr>
      <w:r w:rsidRPr="00473D4F">
        <w:rPr>
          <w:rStyle w:val="HideTWBExt"/>
          <w:b w:val="0"/>
        </w:rPr>
        <w:t>&lt;DocAmend&gt;</w:t>
      </w:r>
      <w:r w:rsidRPr="00473D4F">
        <w:t>Proposta de diretiva</w:t>
      </w:r>
      <w:r w:rsidRPr="00473D4F">
        <w:rPr>
          <w:rStyle w:val="HideTWBExt"/>
          <w:b w:val="0"/>
        </w:rPr>
        <w:t>&lt;/DocAmend&gt;</w:t>
      </w:r>
    </w:p>
    <w:p w:rsidR="00932D06" w:rsidRPr="00473D4F" w:rsidRDefault="003B3846" w:rsidP="00932D06">
      <w:pPr>
        <w:pStyle w:val="NormalBold"/>
      </w:pPr>
      <w:r w:rsidRPr="00473D4F">
        <w:rPr>
          <w:rStyle w:val="HideTWBExt"/>
          <w:b w:val="0"/>
        </w:rPr>
        <w:t>&lt;Article&gt;</w:t>
      </w:r>
      <w:r w:rsidRPr="00473D4F">
        <w:t>Considerando 1</w:t>
      </w:r>
      <w:r w:rsidRPr="00473D4F">
        <w:rPr>
          <w:rStyle w:val="HideTWBExt"/>
          <w:b w:val="0"/>
        </w:rPr>
        <w:t>&lt;/Article&gt;</w:t>
      </w:r>
      <w:bookmarkEnd w:id="1"/>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042" w:rsidRPr="00473D4F" w:rsidTr="00932D06">
        <w:trPr>
          <w:jc w:val="center"/>
        </w:trPr>
        <w:tc>
          <w:tcPr>
            <w:tcW w:w="9752" w:type="dxa"/>
            <w:gridSpan w:val="2"/>
          </w:tcPr>
          <w:p w:rsidR="00932D06" w:rsidRPr="00473D4F" w:rsidRDefault="00932D06">
            <w:pPr>
              <w:keepNext/>
            </w:pPr>
          </w:p>
        </w:tc>
      </w:tr>
      <w:tr w:rsidR="00E35042" w:rsidRPr="00473D4F" w:rsidTr="00932D06">
        <w:trPr>
          <w:jc w:val="center"/>
        </w:trPr>
        <w:tc>
          <w:tcPr>
            <w:tcW w:w="4876" w:type="dxa"/>
            <w:hideMark/>
          </w:tcPr>
          <w:p w:rsidR="00932D06" w:rsidRPr="00473D4F" w:rsidRDefault="003B3846">
            <w:pPr>
              <w:pStyle w:val="ColumnHeading"/>
              <w:keepNext/>
            </w:pPr>
            <w:r w:rsidRPr="00473D4F">
              <w:t>Texto da Comissão</w:t>
            </w:r>
          </w:p>
        </w:tc>
        <w:tc>
          <w:tcPr>
            <w:tcW w:w="4876" w:type="dxa"/>
            <w:hideMark/>
          </w:tcPr>
          <w:p w:rsidR="00932D06" w:rsidRPr="00473D4F" w:rsidRDefault="003B3846">
            <w:pPr>
              <w:pStyle w:val="ColumnHeading"/>
              <w:keepNext/>
            </w:pPr>
            <w:r w:rsidRPr="00473D4F">
              <w:t>Alteração</w:t>
            </w:r>
          </w:p>
        </w:tc>
      </w:tr>
      <w:tr w:rsidR="00E35042" w:rsidRPr="00473D4F" w:rsidTr="00932D06">
        <w:trPr>
          <w:jc w:val="center"/>
        </w:trPr>
        <w:tc>
          <w:tcPr>
            <w:tcW w:w="4876" w:type="dxa"/>
            <w:hideMark/>
          </w:tcPr>
          <w:p w:rsidR="00932D06" w:rsidRPr="00473D4F" w:rsidRDefault="003B3846">
            <w:pPr>
              <w:pStyle w:val="Normal6"/>
            </w:pPr>
            <w:r w:rsidRPr="00473D4F">
              <w:t>(1)</w:t>
            </w:r>
            <w:r w:rsidRPr="00473D4F">
              <w:tab/>
              <w:t>A Diretiva (UE) 2019/879 do Parlamento Europeu e do Conselho</w:t>
            </w:r>
            <w:r w:rsidRPr="00473D4F">
              <w:rPr>
                <w:vertAlign w:val="superscript"/>
              </w:rPr>
              <w:t>16</w:t>
            </w:r>
            <w:r w:rsidRPr="00473D4F">
              <w:t xml:space="preserve"> e o Regulamento (UE) 2019/877 do Parlamento Europeu e do Conselho</w:t>
            </w:r>
            <w:r w:rsidRPr="00473D4F">
              <w:rPr>
                <w:vertAlign w:val="superscript"/>
              </w:rPr>
              <w:t>17</w:t>
            </w:r>
            <w:r w:rsidRPr="00473D4F">
              <w:t xml:space="preserve"> alteraram o requisito mínimo de fundos próprios e passivos elegíveis («MREL») estabelecido na Diretiva 2014/59</w:t>
            </w:r>
            <w:r w:rsidRPr="00473D4F">
              <w:t>/UE do Parlamento Europeu e do Conselho</w:t>
            </w:r>
            <w:r w:rsidRPr="00473D4F">
              <w:rPr>
                <w:vertAlign w:val="superscript"/>
              </w:rPr>
              <w:t>18</w:t>
            </w:r>
            <w:r w:rsidRPr="00473D4F">
              <w:t xml:space="preserve"> e no Regulamento (UE) n.º 806/2014 do Parlamento Europeu e do Conselho</w:t>
            </w:r>
            <w:r w:rsidRPr="00473D4F">
              <w:rPr>
                <w:vertAlign w:val="superscript"/>
              </w:rPr>
              <w:t>19</w:t>
            </w:r>
            <w:r w:rsidRPr="00473D4F">
              <w:t>, que se aplica às instituições de crédito e às empresas de investimento («instituições») estabelecidas na União, bem como a qualquer outra en</w:t>
            </w:r>
            <w:r w:rsidRPr="00473D4F">
              <w:t>tidade abrangida pelo âmbito de aplicação da Diretiva 2014/59/UE ou do Regulamento (UE) n.º 806/2014 («entidades»). Essas alterações determinaram que o MREL interno, ou seja, o MREL aplicável às instituições e entidades que sejam filiais de entidades de re</w:t>
            </w:r>
            <w:r w:rsidRPr="00473D4F">
              <w:t xml:space="preserve">solução, mas que não sejam, elas próprias, entidades de resolução, pode ser cumprido por essas entidades utilizando instrumentos emitidos para a entidade de resolução e por ela comprados, direta ou indiretamente, através de outras entidades do mesmo grupo </w:t>
            </w:r>
            <w:r w:rsidRPr="00473D4F">
              <w:t>de resolução.</w:t>
            </w:r>
          </w:p>
        </w:tc>
        <w:tc>
          <w:tcPr>
            <w:tcW w:w="4876" w:type="dxa"/>
            <w:hideMark/>
          </w:tcPr>
          <w:p w:rsidR="00932D06" w:rsidRPr="00473D4F" w:rsidRDefault="003B3846">
            <w:pPr>
              <w:pStyle w:val="Normal6"/>
              <w:rPr>
                <w:szCs w:val="24"/>
              </w:rPr>
            </w:pPr>
            <w:r w:rsidRPr="00473D4F">
              <w:t>(1)</w:t>
            </w:r>
            <w:r w:rsidRPr="00473D4F">
              <w:tab/>
              <w:t>A Diretiva (UE) 2019/879 do Parlamento Europeu e do Conselho</w:t>
            </w:r>
            <w:r w:rsidRPr="00473D4F">
              <w:rPr>
                <w:vertAlign w:val="superscript"/>
              </w:rPr>
              <w:t>16</w:t>
            </w:r>
            <w:r w:rsidRPr="00473D4F">
              <w:t xml:space="preserve"> e o Regulamento (UE) 2019/877 do Parlamento Europeu e do Conselho</w:t>
            </w:r>
            <w:r w:rsidRPr="00473D4F">
              <w:rPr>
                <w:vertAlign w:val="superscript"/>
              </w:rPr>
              <w:t>17</w:t>
            </w:r>
            <w:r w:rsidRPr="00473D4F">
              <w:t xml:space="preserve"> alteraram o requisito mínimo de fundos próprios e passivos elegíveis («MREL») estabelecido na Diretiva 2014</w:t>
            </w:r>
            <w:r w:rsidRPr="00473D4F">
              <w:t>/59/UE do Parlamento Europeu e do Conselho</w:t>
            </w:r>
            <w:r w:rsidRPr="00473D4F">
              <w:rPr>
                <w:vertAlign w:val="superscript"/>
              </w:rPr>
              <w:t>18</w:t>
            </w:r>
            <w:r w:rsidRPr="00473D4F">
              <w:t xml:space="preserve"> e no Regulamento (UE) n.º 806/2014 do Parlamento Europeu e do Conselho</w:t>
            </w:r>
            <w:r w:rsidRPr="00473D4F">
              <w:rPr>
                <w:vertAlign w:val="superscript"/>
              </w:rPr>
              <w:t>19</w:t>
            </w:r>
            <w:r w:rsidRPr="00473D4F">
              <w:t>, que se aplica às instituições de crédito e às empresas de investimento («instituições») estabelecidas na União, bem como a qualquer outra</w:t>
            </w:r>
            <w:r w:rsidRPr="00473D4F">
              <w:t xml:space="preserve"> entidade abrangida pelo âmbito de aplicação da Diretiva 2014/59/UE ou do Regulamento (UE) n.º 806/2014 («entidades»). Essas alterações determinaram que o MREL interno, ou seja, o MREL aplicável às instituições e entidades que sejam filiais de entidades de</w:t>
            </w:r>
            <w:r w:rsidRPr="00473D4F">
              <w:t xml:space="preserve"> resolução, mas que não sejam, elas próprias, entidades de resolução, pode ser cumprido por essas </w:t>
            </w:r>
            <w:r w:rsidRPr="00473D4F">
              <w:rPr>
                <w:b/>
                <w:bCs/>
                <w:i/>
                <w:iCs/>
              </w:rPr>
              <w:t xml:space="preserve">instituições e </w:t>
            </w:r>
            <w:r w:rsidRPr="00473D4F">
              <w:t>entidades utilizando instrumentos emitidos para a entidade de resolução e por ela comprados, direta ou indiretamente, através de outras entidad</w:t>
            </w:r>
            <w:r w:rsidRPr="00473D4F">
              <w:t>es do mesmo grupo de resolução.</w:t>
            </w:r>
          </w:p>
        </w:tc>
      </w:tr>
      <w:tr w:rsidR="00E35042" w:rsidRPr="00473D4F" w:rsidTr="00932D06">
        <w:trPr>
          <w:jc w:val="center"/>
        </w:trPr>
        <w:tc>
          <w:tcPr>
            <w:tcW w:w="4876" w:type="dxa"/>
            <w:hideMark/>
          </w:tcPr>
          <w:p w:rsidR="00932D06" w:rsidRPr="00473D4F" w:rsidRDefault="003B3846">
            <w:pPr>
              <w:pStyle w:val="Normal6"/>
            </w:pPr>
            <w:r w:rsidRPr="00473D4F">
              <w:t>__________________</w:t>
            </w:r>
          </w:p>
        </w:tc>
        <w:tc>
          <w:tcPr>
            <w:tcW w:w="4876" w:type="dxa"/>
            <w:hideMark/>
          </w:tcPr>
          <w:p w:rsidR="00932D06" w:rsidRPr="00473D4F" w:rsidRDefault="003B3846">
            <w:pPr>
              <w:pStyle w:val="Normal6"/>
              <w:rPr>
                <w:szCs w:val="24"/>
              </w:rPr>
            </w:pPr>
            <w:r w:rsidRPr="00473D4F">
              <w:t>__________________</w:t>
            </w:r>
          </w:p>
        </w:tc>
      </w:tr>
      <w:tr w:rsidR="00E35042" w:rsidRPr="00473D4F" w:rsidTr="00932D06">
        <w:trPr>
          <w:jc w:val="center"/>
        </w:trPr>
        <w:tc>
          <w:tcPr>
            <w:tcW w:w="4876" w:type="dxa"/>
            <w:hideMark/>
          </w:tcPr>
          <w:p w:rsidR="00932D06" w:rsidRPr="00473D4F" w:rsidRDefault="003B3846">
            <w:pPr>
              <w:pStyle w:val="Normal6"/>
            </w:pPr>
            <w:r w:rsidRPr="00473D4F">
              <w:rPr>
                <w:vertAlign w:val="superscript"/>
              </w:rPr>
              <w:t>16</w:t>
            </w:r>
            <w:r w:rsidRPr="00473D4F">
              <w:t xml:space="preserve"> Diretiva (UE) 2019/879 do Parlamento Europeu e do Conselho, de 20 de maio de 2019, que altera a Diretiva 2014/59/UE no respeitante à capacidade de absorção de perdas e de recapitali</w:t>
            </w:r>
            <w:r w:rsidRPr="00473D4F">
              <w:t>zação das instituições de crédito e empresas de investimento, e a Diretiva 98/26/CE (JO L 150 de 7.6.2019, p. 296).</w:t>
            </w:r>
          </w:p>
        </w:tc>
        <w:tc>
          <w:tcPr>
            <w:tcW w:w="4876" w:type="dxa"/>
            <w:hideMark/>
          </w:tcPr>
          <w:p w:rsidR="00932D06" w:rsidRPr="00473D4F" w:rsidRDefault="003B3846">
            <w:pPr>
              <w:pStyle w:val="Normal6"/>
              <w:rPr>
                <w:szCs w:val="24"/>
              </w:rPr>
            </w:pPr>
            <w:r w:rsidRPr="00473D4F">
              <w:rPr>
                <w:vertAlign w:val="superscript"/>
              </w:rPr>
              <w:t>16</w:t>
            </w:r>
            <w:r w:rsidRPr="00473D4F">
              <w:t xml:space="preserve"> Diretiva (UE) 2019/879 do Parlamento Europeu e do Conselho, de 20 de maio de 2019, que altera a Diretiva 2014/59/UE no respeitante à capa</w:t>
            </w:r>
            <w:r w:rsidRPr="00473D4F">
              <w:t>cidade de absorção de perdas e de recapitalização das instituições de crédito e empresas de investimento, e a Diretiva 98/26/CE (JO L 150 de 7.6.2019, p. 296).</w:t>
            </w:r>
          </w:p>
        </w:tc>
      </w:tr>
      <w:tr w:rsidR="00E35042" w:rsidRPr="00473D4F" w:rsidTr="00932D06">
        <w:trPr>
          <w:jc w:val="center"/>
        </w:trPr>
        <w:tc>
          <w:tcPr>
            <w:tcW w:w="4876" w:type="dxa"/>
            <w:hideMark/>
          </w:tcPr>
          <w:p w:rsidR="00932D06" w:rsidRPr="00473D4F" w:rsidRDefault="003B3846">
            <w:pPr>
              <w:pStyle w:val="Normal6"/>
            </w:pPr>
            <w:r w:rsidRPr="00473D4F">
              <w:rPr>
                <w:vertAlign w:val="superscript"/>
              </w:rPr>
              <w:t>17</w:t>
            </w:r>
            <w:r w:rsidRPr="00473D4F">
              <w:t xml:space="preserve"> Regulamento (UE) 2019/877 do Parlamento Europeu e do Conselho, de 20 de maio de 2019, que al</w:t>
            </w:r>
            <w:r w:rsidRPr="00473D4F">
              <w:t>tera o Regulamento (UE) n.º 806/2014 no que diz respeito à capacidade de absorção de perdas e de recapitalização das instituições de crédito e das empresas de investimento (JO L 150 de 7.6.2019, p. 226).</w:t>
            </w:r>
          </w:p>
        </w:tc>
        <w:tc>
          <w:tcPr>
            <w:tcW w:w="4876" w:type="dxa"/>
            <w:hideMark/>
          </w:tcPr>
          <w:p w:rsidR="00932D06" w:rsidRPr="00473D4F" w:rsidRDefault="003B3846">
            <w:pPr>
              <w:pStyle w:val="Normal6"/>
              <w:rPr>
                <w:szCs w:val="24"/>
              </w:rPr>
            </w:pPr>
            <w:r w:rsidRPr="00473D4F">
              <w:rPr>
                <w:vertAlign w:val="superscript"/>
              </w:rPr>
              <w:t>17</w:t>
            </w:r>
            <w:r w:rsidRPr="00473D4F">
              <w:t xml:space="preserve"> Regulamento (UE) 2019/877 do Parlamento Europeu e do Conselho, de 20 de maio de 2019, que altera o Regulamento (UE) n.º 806/2014 no que diz respeito à capacidade de absorção de perdas e de recapitalização das instituições de crédito e das empresas de inve</w:t>
            </w:r>
            <w:r w:rsidRPr="00473D4F">
              <w:t>stimento (JO L 150 de 7.6.2019, p. 226).</w:t>
            </w:r>
          </w:p>
        </w:tc>
      </w:tr>
      <w:tr w:rsidR="00E35042" w:rsidRPr="00473D4F" w:rsidTr="00932D06">
        <w:trPr>
          <w:jc w:val="center"/>
        </w:trPr>
        <w:tc>
          <w:tcPr>
            <w:tcW w:w="4876" w:type="dxa"/>
            <w:hideMark/>
          </w:tcPr>
          <w:p w:rsidR="00932D06" w:rsidRPr="00473D4F" w:rsidRDefault="003B3846">
            <w:pPr>
              <w:pStyle w:val="Normal6"/>
            </w:pPr>
            <w:r w:rsidRPr="00473D4F">
              <w:rPr>
                <w:vertAlign w:val="superscript"/>
              </w:rPr>
              <w:t>18</w:t>
            </w:r>
            <w:r w:rsidRPr="00473D4F">
              <w:t xml:space="preserve"> Diretiva 2014/59/UE do Parlamento Europeu e do Conselho, de 15 de maio de 2014, que estabelece um enquadramento para a recuperação e a resolução de instituições de crédito e de empresas de investimento e que alt</w:t>
            </w:r>
            <w:r w:rsidRPr="00473D4F">
              <w:t xml:space="preserve">era a Diretiva 82/891/CEE do Conselho, e as Diretivas 2001/24/CE, 2002/47/CE, 2004/25/CE, 2005/56/CE, 2007/36/CE, 2011/35/UE, 2012/30/UE e 2013/36/UE e os Regulamentos (UE) n.º 1093/2010 e (UE) n.º 648/2012 do Parlamento Europeu e do Conselho (JO L 173 de </w:t>
            </w:r>
            <w:r w:rsidRPr="00473D4F">
              <w:t>12.6.2014, p. 190).</w:t>
            </w:r>
          </w:p>
        </w:tc>
        <w:tc>
          <w:tcPr>
            <w:tcW w:w="4876" w:type="dxa"/>
            <w:hideMark/>
          </w:tcPr>
          <w:p w:rsidR="00932D06" w:rsidRPr="00473D4F" w:rsidRDefault="003B3846">
            <w:pPr>
              <w:pStyle w:val="Normal6"/>
              <w:rPr>
                <w:szCs w:val="24"/>
              </w:rPr>
            </w:pPr>
            <w:r w:rsidRPr="00473D4F">
              <w:rPr>
                <w:vertAlign w:val="superscript"/>
              </w:rPr>
              <w:t>18</w:t>
            </w:r>
            <w:r w:rsidRPr="00473D4F">
              <w:t xml:space="preserve"> Diretiva 2014/59/UE do Parlamento Europeu e do Conselho, de 15 de maio de 2014, que estabelece um enquadramento para a recuperação e a resolução de instituições de crédito e de empresas de investimento e que altera a Diretiva 82/891/</w:t>
            </w:r>
            <w:r w:rsidRPr="00473D4F">
              <w:t>CEE do Conselho, e as Diretivas 2001/24/CE, 2002/47/CE, 2004/25/CE, 2005/56/CE, 2007/36/CE, 2011/35/UE, 2012/30/UE e 2013/36/UE e os Regulamentos (UE) n.º 1093/2010 e (UE) n.º 648/2012 do Parlamento Europeu e do Conselho (JO L 173 de 12.6.2014, p. 190).</w:t>
            </w:r>
          </w:p>
        </w:tc>
      </w:tr>
      <w:tr w:rsidR="00E35042" w:rsidRPr="00473D4F" w:rsidTr="00932D06">
        <w:trPr>
          <w:jc w:val="center"/>
        </w:trPr>
        <w:tc>
          <w:tcPr>
            <w:tcW w:w="4876" w:type="dxa"/>
            <w:hideMark/>
          </w:tcPr>
          <w:p w:rsidR="00932D06" w:rsidRPr="00473D4F" w:rsidRDefault="003B3846">
            <w:pPr>
              <w:pStyle w:val="Normal6"/>
            </w:pPr>
            <w:r w:rsidRPr="00473D4F">
              <w:rPr>
                <w:vertAlign w:val="superscript"/>
              </w:rPr>
              <w:t>1</w:t>
            </w:r>
            <w:r w:rsidRPr="00473D4F">
              <w:rPr>
                <w:vertAlign w:val="superscript"/>
              </w:rPr>
              <w:t>9</w:t>
            </w:r>
            <w:r w:rsidRPr="00473D4F">
              <w:t xml:space="preserve"> Regulamento (UE) n.º 806/2014 do Parlamento Europeu e do Conselho, de 15 de julho de 2014, que estabelece regras e um procedimento uniformes para a resolução de instituições de crédito e de certas empresas de investimento no quadro de um Mecanismo Único </w:t>
            </w:r>
            <w:r w:rsidRPr="00473D4F">
              <w:t>de Resolução e de um Fundo Único de Resolução bancária e que altera o Regulamento (UE) n.º 1093/2010 (JO L 225 de 30.7.2014, p. 1).</w:t>
            </w:r>
          </w:p>
        </w:tc>
        <w:tc>
          <w:tcPr>
            <w:tcW w:w="4876" w:type="dxa"/>
            <w:hideMark/>
          </w:tcPr>
          <w:p w:rsidR="00932D06" w:rsidRPr="00473D4F" w:rsidRDefault="003B3846">
            <w:pPr>
              <w:pStyle w:val="Normal6"/>
              <w:rPr>
                <w:szCs w:val="24"/>
              </w:rPr>
            </w:pPr>
            <w:r w:rsidRPr="00473D4F">
              <w:rPr>
                <w:vertAlign w:val="superscript"/>
              </w:rPr>
              <w:t>19</w:t>
            </w:r>
            <w:r w:rsidRPr="00473D4F">
              <w:t xml:space="preserve"> Regulamento (UE) n.º 806/2014 do Parlamento Europeu e do Conselho, de 15 de julho de 2014, que estabelece regras e um pro</w:t>
            </w:r>
            <w:r w:rsidRPr="00473D4F">
              <w:t>cedimento uniformes para a resolução de instituições de crédito e de certas empresas de investimento no quadro de um Mecanismo Único de Resolução e de um Fundo Único de Resolução bancária e que altera o Regulamento (UE) n.º 1093/2010 (JO L 225 de 30.7.2014</w:t>
            </w:r>
            <w:r w:rsidRPr="00473D4F">
              <w:t>, p. 1).</w:t>
            </w:r>
          </w:p>
        </w:tc>
      </w:tr>
    </w:tbl>
    <w:p w:rsidR="00932D06" w:rsidRPr="00473D4F" w:rsidRDefault="003B3846" w:rsidP="00932D06">
      <w:pPr>
        <w:pStyle w:val="Olang"/>
        <w:rPr>
          <w:sz w:val="24"/>
          <w:szCs w:val="24"/>
        </w:rPr>
      </w:pPr>
      <w:r w:rsidRPr="00473D4F">
        <w:rPr>
          <w:sz w:val="24"/>
          <w:szCs w:val="24"/>
        </w:rPr>
        <w:t xml:space="preserve">Or. </w:t>
      </w:r>
      <w:r w:rsidRPr="00473D4F">
        <w:rPr>
          <w:rStyle w:val="HideTWBExt"/>
        </w:rPr>
        <w:t>&lt;Original&gt;</w:t>
      </w:r>
      <w:r w:rsidRPr="00473D4F">
        <w:rPr>
          <w:rStyle w:val="HideTWBInt"/>
          <w:sz w:val="24"/>
          <w:szCs w:val="24"/>
        </w:rPr>
        <w:t>{EN}</w:t>
      </w:r>
      <w:r w:rsidRPr="00473D4F">
        <w:rPr>
          <w:sz w:val="24"/>
          <w:szCs w:val="24"/>
        </w:rPr>
        <w:t>en</w:t>
      </w:r>
      <w:r w:rsidRPr="00473D4F">
        <w:rPr>
          <w:rStyle w:val="HideTWBExt"/>
        </w:rPr>
        <w:t>&lt;/Original&gt;</w:t>
      </w:r>
    </w:p>
    <w:p w:rsidR="00932D06" w:rsidRPr="00473D4F" w:rsidRDefault="003B3846" w:rsidP="00932D06">
      <w:pPr>
        <w:rPr>
          <w:szCs w:val="24"/>
        </w:rPr>
      </w:pPr>
      <w:r w:rsidRPr="00473D4F">
        <w:rPr>
          <w:rStyle w:val="HideTWBExt"/>
        </w:rPr>
        <w:t>&lt;/Amend&gt;</w:t>
      </w:r>
    </w:p>
    <w:p w:rsidR="00932D06" w:rsidRPr="00473D4F" w:rsidRDefault="003B3846" w:rsidP="00932D06">
      <w:pPr>
        <w:pStyle w:val="AMNumberTabs0"/>
        <w:keepNext/>
      </w:pPr>
      <w:r w:rsidRPr="00473D4F">
        <w:rPr>
          <w:rStyle w:val="HideTWBExt"/>
          <w:b w:val="0"/>
        </w:rPr>
        <w:t>&lt;Amend&gt;</w:t>
      </w:r>
      <w:r w:rsidRPr="00473D4F">
        <w:t>Alteração</w:t>
      </w:r>
      <w:r w:rsidRPr="00473D4F">
        <w:tab/>
      </w:r>
      <w:r w:rsidRPr="00473D4F">
        <w:tab/>
      </w:r>
      <w:r w:rsidRPr="00473D4F">
        <w:rPr>
          <w:rStyle w:val="HideTWBExt"/>
          <w:b w:val="0"/>
        </w:rPr>
        <w:t>&lt;NumAm&gt;</w:t>
      </w:r>
      <w:r w:rsidRPr="00473D4F">
        <w:t>2</w:t>
      </w:r>
      <w:r w:rsidRPr="00473D4F">
        <w:rPr>
          <w:rStyle w:val="HideTWBExt"/>
          <w:b w:val="0"/>
        </w:rPr>
        <w:t>&lt;/NumAm&gt;</w:t>
      </w:r>
    </w:p>
    <w:p w:rsidR="00932D06" w:rsidRPr="00473D4F" w:rsidRDefault="003B3846" w:rsidP="00932D06">
      <w:pPr>
        <w:pStyle w:val="NormalBold12b"/>
        <w:keepNext/>
      </w:pPr>
      <w:r w:rsidRPr="00473D4F">
        <w:rPr>
          <w:rStyle w:val="HideTWBExt"/>
          <w:b w:val="0"/>
        </w:rPr>
        <w:t>&lt;DocAmend&gt;</w:t>
      </w:r>
      <w:r w:rsidRPr="00473D4F">
        <w:t>Proposta de diretiva</w:t>
      </w:r>
      <w:r w:rsidRPr="00473D4F">
        <w:rPr>
          <w:rStyle w:val="HideTWBExt"/>
          <w:b w:val="0"/>
        </w:rPr>
        <w:t>&lt;/DocAmend&gt;</w:t>
      </w:r>
    </w:p>
    <w:p w:rsidR="00932D06" w:rsidRPr="00473D4F" w:rsidRDefault="003B3846" w:rsidP="00932D06">
      <w:pPr>
        <w:pStyle w:val="NormalBold"/>
      </w:pPr>
      <w:r w:rsidRPr="00473D4F">
        <w:rPr>
          <w:rStyle w:val="HideTWBExt"/>
          <w:b w:val="0"/>
        </w:rPr>
        <w:t>&lt;Article&gt;</w:t>
      </w:r>
      <w:r w:rsidRPr="00473D4F">
        <w:t>Considerando 3</w:t>
      </w:r>
      <w:r w:rsidRPr="00473D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042" w:rsidRPr="00473D4F" w:rsidTr="00932D06">
        <w:trPr>
          <w:jc w:val="center"/>
        </w:trPr>
        <w:tc>
          <w:tcPr>
            <w:tcW w:w="9752" w:type="dxa"/>
            <w:gridSpan w:val="2"/>
          </w:tcPr>
          <w:p w:rsidR="00932D06" w:rsidRPr="00473D4F" w:rsidRDefault="00932D06">
            <w:pPr>
              <w:keepNext/>
            </w:pPr>
          </w:p>
        </w:tc>
      </w:tr>
      <w:tr w:rsidR="00E35042" w:rsidRPr="00473D4F" w:rsidTr="00932D06">
        <w:trPr>
          <w:jc w:val="center"/>
        </w:trPr>
        <w:tc>
          <w:tcPr>
            <w:tcW w:w="4876" w:type="dxa"/>
            <w:hideMark/>
          </w:tcPr>
          <w:p w:rsidR="00932D06" w:rsidRPr="00473D4F" w:rsidRDefault="003B3846">
            <w:pPr>
              <w:pStyle w:val="ColumnHeading"/>
              <w:keepNext/>
            </w:pPr>
            <w:r w:rsidRPr="00473D4F">
              <w:t>Texto da Comissão</w:t>
            </w:r>
          </w:p>
        </w:tc>
        <w:tc>
          <w:tcPr>
            <w:tcW w:w="4876" w:type="dxa"/>
            <w:hideMark/>
          </w:tcPr>
          <w:p w:rsidR="00932D06" w:rsidRPr="00473D4F" w:rsidRDefault="003B3846">
            <w:pPr>
              <w:pStyle w:val="ColumnHeading"/>
              <w:keepNext/>
            </w:pPr>
            <w:r w:rsidRPr="00473D4F">
              <w:t>Alteração</w:t>
            </w:r>
          </w:p>
        </w:tc>
      </w:tr>
      <w:tr w:rsidR="00E35042" w:rsidRPr="00473D4F" w:rsidTr="00932D06">
        <w:trPr>
          <w:jc w:val="center"/>
        </w:trPr>
        <w:tc>
          <w:tcPr>
            <w:tcW w:w="4876" w:type="dxa"/>
            <w:hideMark/>
          </w:tcPr>
          <w:p w:rsidR="00932D06" w:rsidRPr="00473D4F" w:rsidRDefault="003B3846">
            <w:pPr>
              <w:pStyle w:val="Normal6"/>
            </w:pPr>
            <w:r w:rsidRPr="00473D4F">
              <w:t>(3)</w:t>
            </w:r>
            <w:r w:rsidRPr="00473D4F">
              <w:tab/>
            </w:r>
            <w:r w:rsidRPr="00473D4F">
              <w:t>O exame da Comissão concluiu que seria adequado e proporcionado em relação aos objetivos perseguidos pelas regras relativas ao MREL interno permitir que as autoridades de resolução fixem o MREL interno em base consolidada para um conjunto de entidades mais</w:t>
            </w:r>
            <w:r w:rsidRPr="00473D4F">
              <w:t xml:space="preserve"> vasto do que o resultante da aplicação da Diretiva 2014/59/UE e do Regulamento (UE) n.º 806/2014, sempre que esse conjunto mais vasto abranja instituições e entidades que não sejam, elas próprias, entidades de resolução, mas que sejam filiais de entidades</w:t>
            </w:r>
            <w:r w:rsidRPr="00473D4F">
              <w:t xml:space="preserve"> de resolução e que controlem, elas próprias, filiais </w:t>
            </w:r>
            <w:r w:rsidRPr="00473D4F">
              <w:rPr>
                <w:b/>
                <w:bCs/>
                <w:i/>
                <w:iCs/>
              </w:rPr>
              <w:t>sujeitas ao MREL</w:t>
            </w:r>
            <w:r w:rsidRPr="00473D4F">
              <w:t xml:space="preserve"> («entidades intermédias»). Seria especialmente o caso dos grupos bancários liderados por uma empresa-mãe. Nesses casos, as entidades intermédias centralizam naturalmente as exposições i</w:t>
            </w:r>
            <w:r w:rsidRPr="00473D4F">
              <w:t xml:space="preserve">ntragrupo e canalizam os recursos elegíveis para o MREL interno previamente posicionados pela entidade de resolução. Devido a essa estrutura, essas entidades intermédias </w:t>
            </w:r>
            <w:r w:rsidRPr="00473D4F">
              <w:rPr>
                <w:b/>
                <w:bCs/>
                <w:i/>
                <w:iCs/>
              </w:rPr>
              <w:t>seriam</w:t>
            </w:r>
            <w:r w:rsidRPr="00473D4F">
              <w:t xml:space="preserve"> desproporcionadamente afetadas pelas regras de dedução. A Comissão concluiu igu</w:t>
            </w:r>
            <w:r w:rsidRPr="00473D4F">
              <w:t xml:space="preserve">almente que a proporcionalidade do quadro MREL </w:t>
            </w:r>
            <w:r w:rsidRPr="00473D4F">
              <w:rPr>
                <w:b/>
                <w:bCs/>
                <w:i/>
                <w:iCs/>
              </w:rPr>
              <w:t>beneficiaria</w:t>
            </w:r>
            <w:r w:rsidRPr="00473D4F">
              <w:t xml:space="preserve"> com </w:t>
            </w:r>
            <w:r w:rsidRPr="00473D4F">
              <w:rPr>
                <w:b/>
                <w:bCs/>
                <w:i/>
                <w:iCs/>
              </w:rPr>
              <w:t>a exclusão das emissões de entidades de liquidação do</w:t>
            </w:r>
            <w:r w:rsidRPr="00473D4F">
              <w:t xml:space="preserve"> âmbito das exposições que uma entidade intermédia é obrigada a deduzir </w:t>
            </w:r>
            <w:r w:rsidRPr="00473D4F">
              <w:rPr>
                <w:b/>
                <w:bCs/>
                <w:i/>
                <w:iCs/>
              </w:rPr>
              <w:t>nos termos do mecanismo de dedução para a subscrição indireta de re</w:t>
            </w:r>
            <w:r w:rsidRPr="00473D4F">
              <w:rPr>
                <w:b/>
                <w:bCs/>
                <w:i/>
                <w:iCs/>
              </w:rPr>
              <w:t>cursos elegíveis para o</w:t>
            </w:r>
            <w:r w:rsidRPr="00473D4F">
              <w:t xml:space="preserve"> MREL </w:t>
            </w:r>
            <w:r w:rsidRPr="00473D4F">
              <w:rPr>
                <w:b/>
                <w:bCs/>
                <w:i/>
                <w:iCs/>
              </w:rPr>
              <w:t>interno</w:t>
            </w:r>
            <w:r w:rsidRPr="00473D4F">
              <w:t xml:space="preserve">. </w:t>
            </w:r>
            <w:r w:rsidRPr="00473D4F">
              <w:rPr>
                <w:b/>
                <w:bCs/>
                <w:i/>
                <w:iCs/>
              </w:rPr>
              <w:t>Uma entidade</w:t>
            </w:r>
            <w:r w:rsidRPr="00473D4F">
              <w:t xml:space="preserve"> de liquidação </w:t>
            </w:r>
            <w:r w:rsidRPr="00473D4F">
              <w:rPr>
                <w:b/>
                <w:bCs/>
                <w:i/>
                <w:iCs/>
              </w:rPr>
              <w:t>não terá de ser apoiada pela entidade de resolução em caso de insolvência</w:t>
            </w:r>
            <w:r w:rsidRPr="00473D4F">
              <w:t xml:space="preserve">, eliminando assim a necessidade de salvaguardar </w:t>
            </w:r>
            <w:r w:rsidRPr="00473D4F">
              <w:rPr>
                <w:b/>
                <w:bCs/>
                <w:i/>
                <w:iCs/>
              </w:rPr>
              <w:t>quaisquer</w:t>
            </w:r>
            <w:r w:rsidRPr="00473D4F">
              <w:t xml:space="preserve"> mecanismos de perda e de transferência de capital dentro do</w:t>
            </w:r>
            <w:r w:rsidRPr="00473D4F">
              <w:t>s grupos de resolução, que era o objetivo das regras de dedução introduzidas pelo Regulamento (UE) 2022/2036. Em contrapartida, as restantes entidades do grupo de resolução terão de ser apoiadas pela entidade de resolução em caso de dificuldades ou de inso</w:t>
            </w:r>
            <w:r w:rsidRPr="00473D4F">
              <w:t>lvência. Por conseguinte, os recursos necessários para o MREL devem estar presentes em todos os níveis do grupo de resolução e a sua disponibilidade para absorção das perdas e recapitalização deve ser assegurada através do mecanismo de dedução. Assim, o ex</w:t>
            </w:r>
            <w:r w:rsidRPr="00473D4F">
              <w:t>ame da Comissão concluiu que as entidades intermédias devem continuar a deduzir o montante total das suas participações em recursos elegíveis para o MREL interno emitidos por outras entidades que não sejam de liquidação no mesmo grupo de resolução.</w:t>
            </w:r>
          </w:p>
        </w:tc>
        <w:tc>
          <w:tcPr>
            <w:tcW w:w="4876" w:type="dxa"/>
            <w:hideMark/>
          </w:tcPr>
          <w:p w:rsidR="00932D06" w:rsidRPr="00473D4F" w:rsidRDefault="003B3846" w:rsidP="006A17A3">
            <w:pPr>
              <w:pStyle w:val="Normal6"/>
              <w:rPr>
                <w:szCs w:val="24"/>
              </w:rPr>
            </w:pPr>
            <w:r w:rsidRPr="00473D4F">
              <w:t>(3)</w:t>
            </w:r>
            <w:r w:rsidRPr="00473D4F">
              <w:tab/>
              <w:t>O e</w:t>
            </w:r>
            <w:r w:rsidRPr="00473D4F">
              <w:t>xame da Comissão concluiu que seria adequado e proporcionado em relação aos objetivos perseguidos pelas regras relativas ao MREL interno permitir que as autoridades de resolução fixem o MREL interno em base consolidada para um conjunto de entidades mais va</w:t>
            </w:r>
            <w:r w:rsidRPr="00473D4F">
              <w:t>sto do que o resultante da aplicação da Diretiva 2014/59/UE e do Regulamento (UE) n.º 806/2014, sempre que esse conjunto mais vasto abranja instituições e entidades que não sejam, elas próprias, entidades de resolução, mas que sejam filiais de entidades de</w:t>
            </w:r>
            <w:r w:rsidRPr="00473D4F">
              <w:t xml:space="preserve"> resolução e que controlem, elas próprias, </w:t>
            </w:r>
            <w:r w:rsidRPr="00473D4F">
              <w:rPr>
                <w:b/>
                <w:bCs/>
                <w:i/>
                <w:iCs/>
              </w:rPr>
              <w:t>outras</w:t>
            </w:r>
            <w:r w:rsidRPr="00473D4F">
              <w:t xml:space="preserve"> filiais («entidades intermédias») </w:t>
            </w:r>
            <w:r w:rsidRPr="00473D4F">
              <w:rPr>
                <w:b/>
                <w:bCs/>
                <w:i/>
                <w:iCs/>
              </w:rPr>
              <w:t>no mesmo grupo de resolução</w:t>
            </w:r>
            <w:r w:rsidRPr="00473D4F">
              <w:t xml:space="preserve">. Seria especialmente o caso dos grupos bancários liderados por uma empresa-mãe. Nesses casos, as entidades intermédias centralizam naturalmente </w:t>
            </w:r>
            <w:r w:rsidRPr="00473D4F">
              <w:t xml:space="preserve">as exposições intragrupo e canalizam os recursos elegíveis para o MREL interno previamente posicionados pela entidade de resolução. Devido a essa estrutura, essas entidades intermédias </w:t>
            </w:r>
            <w:r w:rsidRPr="00473D4F">
              <w:rPr>
                <w:b/>
                <w:bCs/>
                <w:i/>
                <w:iCs/>
              </w:rPr>
              <w:t>poderiam ser</w:t>
            </w:r>
            <w:r w:rsidRPr="00473D4F">
              <w:t xml:space="preserve"> desproporcionadamente afetadas pelas regras de dedução. A </w:t>
            </w:r>
            <w:r w:rsidRPr="00473D4F">
              <w:t xml:space="preserve">Comissão concluiu igualmente que a proporcionalidade do quadro MREL </w:t>
            </w:r>
            <w:r w:rsidRPr="00473D4F">
              <w:rPr>
                <w:b/>
                <w:bCs/>
                <w:i/>
                <w:iCs/>
              </w:rPr>
              <w:t xml:space="preserve">aumentaria com o ajustamento das regras relativas ao </w:t>
            </w:r>
            <w:r w:rsidRPr="00473D4F">
              <w:t>âmbito das exposições que uma entidade intermédia é obrigada a deduzir</w:t>
            </w:r>
            <w:r w:rsidRPr="00473D4F">
              <w:rPr>
                <w:b/>
                <w:bCs/>
                <w:i/>
                <w:iCs/>
              </w:rPr>
              <w:t>, se a entidade emitente for uma entidade de liquidação</w:t>
            </w:r>
            <w:r w:rsidRPr="00473D4F">
              <w:t xml:space="preserve"> </w:t>
            </w:r>
            <w:r w:rsidRPr="00473D4F">
              <w:rPr>
                <w:b/>
                <w:bCs/>
                <w:i/>
                <w:iCs/>
              </w:rPr>
              <w:t>não sujei</w:t>
            </w:r>
            <w:r w:rsidRPr="00473D4F">
              <w:rPr>
                <w:b/>
                <w:bCs/>
                <w:i/>
                <w:iCs/>
              </w:rPr>
              <w:t xml:space="preserve">ta a uma decisão do </w:t>
            </w:r>
            <w:r w:rsidRPr="00473D4F">
              <w:t>MREL</w:t>
            </w:r>
            <w:r w:rsidRPr="00473D4F">
              <w:rPr>
                <w:b/>
                <w:bCs/>
                <w:i/>
                <w:iCs/>
              </w:rPr>
              <w:t>.</w:t>
            </w:r>
            <w:r w:rsidRPr="00473D4F">
              <w:rPr>
                <w:b/>
                <w:i/>
              </w:rPr>
              <w:t xml:space="preserve"> </w:t>
            </w:r>
            <w:r w:rsidRPr="00473D4F">
              <w:rPr>
                <w:b/>
                <w:bCs/>
                <w:i/>
                <w:iCs/>
              </w:rPr>
              <w:t>Em tais casos, não se espera que seja necessário exercer poderes de redução e de conversão relativamente a essas entidades</w:t>
            </w:r>
            <w:r w:rsidRPr="00473D4F">
              <w:t xml:space="preserve"> de liquidação, eliminando assim a necessidade de salvaguardar </w:t>
            </w:r>
            <w:r w:rsidRPr="00473D4F">
              <w:rPr>
                <w:b/>
                <w:bCs/>
                <w:i/>
                <w:iCs/>
              </w:rPr>
              <w:t>os</w:t>
            </w:r>
            <w:r w:rsidRPr="00473D4F">
              <w:t xml:space="preserve"> mecanismos de perda e de transferência de </w:t>
            </w:r>
            <w:r w:rsidRPr="00473D4F">
              <w:t>capital dentro dos grupos de resolução, que era o objetivo das regras de dedução introduzidas pelo Regulamento (UE) 2022/2036. Em contrapartida, as restantes entidades do grupo de resolução terão de ser apoiadas pela entidade de resolução em caso de dificu</w:t>
            </w:r>
            <w:r w:rsidRPr="00473D4F">
              <w:t>ldades ou de insolvência. Por conseguinte, os recursos necessários para o MREL devem estar presentes em todos os níveis do grupo de resolução e a sua disponibilidade para absorção das perdas e recapitalização deve ser assegurada através do mecanismo de ded</w:t>
            </w:r>
            <w:r w:rsidRPr="00473D4F">
              <w:t>ução. Assim, o exame da Comissão concluiu que as entidades intermédias devem continuar a deduzir o montante total das suas participações em recursos elegíveis para o MREL interno emitidos por outras entidades que não sejam de liquidação no mesmo grupo de r</w:t>
            </w:r>
            <w:r w:rsidRPr="00473D4F">
              <w:t>esolução.</w:t>
            </w:r>
          </w:p>
        </w:tc>
      </w:tr>
    </w:tbl>
    <w:p w:rsidR="00932D06" w:rsidRPr="00473D4F" w:rsidRDefault="003B3846" w:rsidP="00932D06">
      <w:pPr>
        <w:pStyle w:val="Olang"/>
        <w:rPr>
          <w:sz w:val="24"/>
          <w:szCs w:val="24"/>
        </w:rPr>
      </w:pPr>
      <w:r w:rsidRPr="00473D4F">
        <w:rPr>
          <w:sz w:val="24"/>
          <w:szCs w:val="24"/>
        </w:rPr>
        <w:t xml:space="preserve">Or. </w:t>
      </w:r>
      <w:r w:rsidRPr="00473D4F">
        <w:rPr>
          <w:rStyle w:val="HideTWBExt"/>
        </w:rPr>
        <w:t>&lt;Original&gt;</w:t>
      </w:r>
      <w:r w:rsidRPr="00473D4F">
        <w:rPr>
          <w:rStyle w:val="HideTWBInt"/>
          <w:sz w:val="24"/>
          <w:szCs w:val="24"/>
        </w:rPr>
        <w:t>{EN}</w:t>
      </w:r>
      <w:r w:rsidRPr="00473D4F">
        <w:rPr>
          <w:sz w:val="24"/>
          <w:szCs w:val="24"/>
        </w:rPr>
        <w:t>en</w:t>
      </w:r>
      <w:r w:rsidRPr="00473D4F">
        <w:rPr>
          <w:rStyle w:val="HideTWBExt"/>
        </w:rPr>
        <w:t>&lt;/Original&gt;</w:t>
      </w:r>
    </w:p>
    <w:p w:rsidR="00932D06" w:rsidRPr="00473D4F" w:rsidRDefault="003B3846" w:rsidP="00932D06">
      <w:pPr>
        <w:rPr>
          <w:szCs w:val="24"/>
        </w:rPr>
      </w:pPr>
      <w:r w:rsidRPr="00473D4F">
        <w:rPr>
          <w:rStyle w:val="HideTWBExt"/>
        </w:rPr>
        <w:t>&lt;/Amend&gt;</w:t>
      </w:r>
    </w:p>
    <w:p w:rsidR="00932D06" w:rsidRPr="00473D4F" w:rsidRDefault="003B3846" w:rsidP="00932D06">
      <w:pPr>
        <w:pStyle w:val="AMNumberTabs0"/>
        <w:keepNext/>
      </w:pPr>
      <w:r w:rsidRPr="00473D4F">
        <w:rPr>
          <w:rStyle w:val="HideTWBExt"/>
          <w:b w:val="0"/>
        </w:rPr>
        <w:t>&lt;Amend&gt;</w:t>
      </w:r>
      <w:r w:rsidRPr="00473D4F">
        <w:t>Alteração</w:t>
      </w:r>
      <w:r w:rsidRPr="00473D4F">
        <w:tab/>
      </w:r>
      <w:r w:rsidRPr="00473D4F">
        <w:tab/>
      </w:r>
      <w:r w:rsidRPr="00473D4F">
        <w:rPr>
          <w:rStyle w:val="HideTWBExt"/>
          <w:b w:val="0"/>
        </w:rPr>
        <w:t>&lt;NumAm&gt;</w:t>
      </w:r>
      <w:r w:rsidRPr="00473D4F">
        <w:t>3</w:t>
      </w:r>
      <w:r w:rsidRPr="00473D4F">
        <w:rPr>
          <w:rStyle w:val="HideTWBExt"/>
          <w:b w:val="0"/>
        </w:rPr>
        <w:t>&lt;/NumAm&gt;</w:t>
      </w:r>
    </w:p>
    <w:p w:rsidR="00932D06" w:rsidRPr="00473D4F" w:rsidRDefault="003B3846" w:rsidP="00932D06">
      <w:pPr>
        <w:pStyle w:val="NormalBold12b"/>
        <w:keepNext/>
      </w:pPr>
      <w:r w:rsidRPr="00473D4F">
        <w:rPr>
          <w:rStyle w:val="HideTWBExt"/>
          <w:b w:val="0"/>
        </w:rPr>
        <w:t>&lt;DocAmend&gt;</w:t>
      </w:r>
      <w:r w:rsidRPr="00473D4F">
        <w:t>Proposta de diretiva</w:t>
      </w:r>
      <w:r w:rsidRPr="00473D4F">
        <w:rPr>
          <w:rStyle w:val="HideTWBExt"/>
          <w:b w:val="0"/>
        </w:rPr>
        <w:t>&lt;/DocAmend&gt;</w:t>
      </w:r>
    </w:p>
    <w:p w:rsidR="00932D06" w:rsidRPr="00473D4F" w:rsidRDefault="003B3846" w:rsidP="00932D06">
      <w:pPr>
        <w:pStyle w:val="NormalBold"/>
      </w:pPr>
      <w:r w:rsidRPr="00473D4F">
        <w:rPr>
          <w:rStyle w:val="HideTWBExt"/>
          <w:b w:val="0"/>
        </w:rPr>
        <w:t>&lt;Article&gt;</w:t>
      </w:r>
      <w:r w:rsidRPr="00473D4F">
        <w:t>Considerando 5</w:t>
      </w:r>
      <w:r w:rsidRPr="00473D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042" w:rsidRPr="00473D4F" w:rsidTr="00932D06">
        <w:trPr>
          <w:jc w:val="center"/>
        </w:trPr>
        <w:tc>
          <w:tcPr>
            <w:tcW w:w="9752" w:type="dxa"/>
            <w:gridSpan w:val="2"/>
          </w:tcPr>
          <w:p w:rsidR="00932D06" w:rsidRPr="00473D4F" w:rsidRDefault="00932D06">
            <w:pPr>
              <w:keepNext/>
            </w:pPr>
          </w:p>
        </w:tc>
      </w:tr>
      <w:tr w:rsidR="00E35042" w:rsidRPr="00473D4F" w:rsidTr="00932D06">
        <w:trPr>
          <w:jc w:val="center"/>
        </w:trPr>
        <w:tc>
          <w:tcPr>
            <w:tcW w:w="4876" w:type="dxa"/>
            <w:hideMark/>
          </w:tcPr>
          <w:p w:rsidR="00932D06" w:rsidRPr="00473D4F" w:rsidRDefault="003B3846">
            <w:pPr>
              <w:pStyle w:val="ColumnHeading"/>
              <w:keepNext/>
            </w:pPr>
            <w:r w:rsidRPr="00473D4F">
              <w:t>Texto da Comissão</w:t>
            </w:r>
          </w:p>
        </w:tc>
        <w:tc>
          <w:tcPr>
            <w:tcW w:w="4876" w:type="dxa"/>
            <w:hideMark/>
          </w:tcPr>
          <w:p w:rsidR="00932D06" w:rsidRPr="00473D4F" w:rsidRDefault="003B3846">
            <w:pPr>
              <w:pStyle w:val="ColumnHeading"/>
              <w:keepNext/>
            </w:pPr>
            <w:r w:rsidRPr="00473D4F">
              <w:t>Alteração</w:t>
            </w:r>
          </w:p>
        </w:tc>
      </w:tr>
      <w:tr w:rsidR="00E35042" w:rsidRPr="00473D4F" w:rsidTr="00932D06">
        <w:trPr>
          <w:jc w:val="center"/>
        </w:trPr>
        <w:tc>
          <w:tcPr>
            <w:tcW w:w="4876" w:type="dxa"/>
            <w:hideMark/>
          </w:tcPr>
          <w:p w:rsidR="00932D06" w:rsidRPr="00473D4F" w:rsidRDefault="003B3846">
            <w:pPr>
              <w:pStyle w:val="Normal6"/>
            </w:pPr>
            <w:r w:rsidRPr="00473D4F">
              <w:t>(5)</w:t>
            </w:r>
            <w:r w:rsidRPr="00473D4F">
              <w:tab/>
              <w:t xml:space="preserve">Para assegurar que a possibilidade de cumprir o MREL em </w:t>
            </w:r>
            <w:r w:rsidRPr="00473D4F">
              <w:t xml:space="preserve">base consolidada só está disponível nos casos pertinentes identificados no exame da Comissão e não conduz a uma escassez de recursos elegíveis para o MREL interno em todo o grupo de resolução, o poder de estabelecer o MREL interno em base consolidada para </w:t>
            </w:r>
            <w:r w:rsidRPr="00473D4F">
              <w:t xml:space="preserve">as entidades intermédias deve ser um poder discricionário da autoridade de resolução e estar sujeito a determinadas condições. A entidade intermédia deve ser a única filial direta, ou seja, uma instituição ou uma entidade, de uma entidade de resolução que </w:t>
            </w:r>
            <w:r w:rsidRPr="00473D4F">
              <w:t>seja uma companhia financeira-mãe na União ou uma companhia financeira mista-mãe na União, estabelecida no mesmo Estado-Membro e que faça parte do mesmo grupo de resolução. Em alternativa, a entidade intermédia em causa deve cumprir o requisito de fundos p</w:t>
            </w:r>
            <w:r w:rsidRPr="00473D4F">
              <w:t>róprios adicionais ou o requisito combinado de reservas de fundos próprios com base na sua situação consolidada. No entanto, em ambos os casos, o cumprimento do MREL interno em base consolidada não deve, na avaliação da autoridade de resolução, afetar nega</w:t>
            </w:r>
            <w:r w:rsidRPr="00473D4F">
              <w:t>tivamente</w:t>
            </w:r>
            <w:r w:rsidRPr="00473D4F">
              <w:rPr>
                <w:b/>
                <w:bCs/>
                <w:i/>
                <w:iCs/>
              </w:rPr>
              <w:t>, de forma significativa,</w:t>
            </w:r>
            <w:r w:rsidRPr="00473D4F">
              <w:t xml:space="preserve"> a resolubilidade do grupo de resolução em causa nem a aplicação, pela autoridade de resolução, do poder de redução ou de conversão dos instrumentos de capital relevantes e dos passivos elegíveis da entidade intermédia em </w:t>
            </w:r>
            <w:r w:rsidRPr="00473D4F">
              <w:t>causa ou de outras entidades do seu grupo de resolução.</w:t>
            </w:r>
          </w:p>
        </w:tc>
        <w:tc>
          <w:tcPr>
            <w:tcW w:w="4876" w:type="dxa"/>
            <w:hideMark/>
          </w:tcPr>
          <w:p w:rsidR="00932D06" w:rsidRPr="00473D4F" w:rsidRDefault="003B3846" w:rsidP="001C63AC">
            <w:pPr>
              <w:pStyle w:val="Normal6"/>
              <w:rPr>
                <w:szCs w:val="24"/>
              </w:rPr>
            </w:pPr>
            <w:r w:rsidRPr="00473D4F">
              <w:t>(5)</w:t>
            </w:r>
            <w:r w:rsidRPr="00473D4F">
              <w:tab/>
              <w:t>Para assegurar que a possibilidade de cumprir o MREL em base consolidada só está disponível nos casos pertinentes identificados no exame da Comissão e não conduz a uma escassez de recursos elegíve</w:t>
            </w:r>
            <w:r w:rsidRPr="00473D4F">
              <w:t>is para o MREL interno em todo o grupo de resolução, o poder de estabelecer o MREL interno em base consolidada para as entidades intermédias deve ser um poder discricionário da autoridade de resolução e estar sujeito a determinadas condições. A entidade in</w:t>
            </w:r>
            <w:r w:rsidRPr="00473D4F">
              <w:t>termédia deve ser a única filial direta, ou seja, uma instituição ou uma entidade, de uma entidade de resolução que seja uma companhia financeira-mãe na União ou uma companhia financeira mista-mãe na União, estabelecida no mesmo Estado-Membro e que faça pa</w:t>
            </w:r>
            <w:r w:rsidRPr="00473D4F">
              <w:t>rte do mesmo grupo de resolução. Em alternativa, a entidade intermédia em causa deve cumprir o requisito de fundos próprios adicionais ou o requisito combinado de reservas de fundos próprios com base na sua situação consolidada. No entanto, em ambos os cas</w:t>
            </w:r>
            <w:r w:rsidRPr="00473D4F">
              <w:t>os, o cumprimento do MREL interno em base consolidada não deve, na avaliação da autoridade de resolução, afetar negativamente a resolubilidade do grupo de resolução em causa nem a aplicação, pela autoridade de resolução, do poder de redução ou de conversão</w:t>
            </w:r>
            <w:r w:rsidRPr="00473D4F">
              <w:t xml:space="preserve"> dos instrumentos de capital relevantes e dos passivos elegíveis da entidade intermédia em causa ou de outras entidades do seu grupo de resolução. </w:t>
            </w:r>
            <w:r w:rsidRPr="00473D4F">
              <w:rPr>
                <w:b/>
                <w:i/>
              </w:rPr>
              <w:t xml:space="preserve">Uma situação em que a fixação do MREL interno em base consolidada seria prejudicial para a resolubilidade do </w:t>
            </w:r>
            <w:r w:rsidRPr="00473D4F">
              <w:rPr>
                <w:b/>
                <w:i/>
              </w:rPr>
              <w:t>grupo de resolução é quando o montante desse MREL não garante o cumprimento dos requisitos de fundos próprios individuais aplicáveis após o exercício do poder de redução e de conversão.</w:t>
            </w:r>
          </w:p>
        </w:tc>
      </w:tr>
    </w:tbl>
    <w:p w:rsidR="00932D06" w:rsidRPr="00473D4F" w:rsidRDefault="003B3846" w:rsidP="00932D06">
      <w:pPr>
        <w:pStyle w:val="Olang"/>
        <w:rPr>
          <w:sz w:val="24"/>
          <w:szCs w:val="24"/>
        </w:rPr>
      </w:pPr>
      <w:r w:rsidRPr="00473D4F">
        <w:rPr>
          <w:sz w:val="24"/>
          <w:szCs w:val="24"/>
        </w:rPr>
        <w:t xml:space="preserve">Or. </w:t>
      </w:r>
      <w:r w:rsidRPr="00473D4F">
        <w:rPr>
          <w:rStyle w:val="HideTWBExt"/>
        </w:rPr>
        <w:t>&lt;Original&gt;</w:t>
      </w:r>
      <w:r w:rsidRPr="00473D4F">
        <w:rPr>
          <w:rStyle w:val="HideTWBInt"/>
          <w:sz w:val="24"/>
          <w:szCs w:val="24"/>
        </w:rPr>
        <w:t>{EN}</w:t>
      </w:r>
      <w:r w:rsidRPr="00473D4F">
        <w:rPr>
          <w:sz w:val="24"/>
          <w:szCs w:val="24"/>
        </w:rPr>
        <w:t>en</w:t>
      </w:r>
      <w:r w:rsidRPr="00473D4F">
        <w:rPr>
          <w:rStyle w:val="HideTWBExt"/>
        </w:rPr>
        <w:t>&lt;/Original&gt;</w:t>
      </w:r>
    </w:p>
    <w:p w:rsidR="00932D06" w:rsidRPr="00473D4F" w:rsidRDefault="003B3846" w:rsidP="00932D06">
      <w:pPr>
        <w:rPr>
          <w:szCs w:val="24"/>
        </w:rPr>
      </w:pPr>
      <w:r w:rsidRPr="00473D4F">
        <w:rPr>
          <w:rStyle w:val="HideTWBExt"/>
        </w:rPr>
        <w:t>&lt;/Amend&gt;</w:t>
      </w:r>
    </w:p>
    <w:p w:rsidR="00932D06" w:rsidRPr="00473D4F" w:rsidRDefault="003B3846" w:rsidP="00932D06">
      <w:pPr>
        <w:pStyle w:val="AMNumberTabs0"/>
        <w:keepNext/>
      </w:pPr>
      <w:r w:rsidRPr="00473D4F">
        <w:rPr>
          <w:rStyle w:val="HideTWBExt"/>
          <w:b w:val="0"/>
        </w:rPr>
        <w:t>&lt;Amend&gt;</w:t>
      </w:r>
      <w:r w:rsidRPr="00473D4F">
        <w:t>Alteração</w:t>
      </w:r>
      <w:r w:rsidRPr="00473D4F">
        <w:tab/>
      </w:r>
      <w:r w:rsidRPr="00473D4F">
        <w:tab/>
      </w:r>
      <w:r w:rsidRPr="00473D4F">
        <w:rPr>
          <w:rStyle w:val="HideTWBExt"/>
          <w:b w:val="0"/>
        </w:rPr>
        <w:t>&lt;NumAm&gt;</w:t>
      </w:r>
      <w:r w:rsidRPr="00473D4F">
        <w:t>4</w:t>
      </w:r>
      <w:r w:rsidRPr="00473D4F">
        <w:rPr>
          <w:rStyle w:val="HideTWBExt"/>
          <w:b w:val="0"/>
        </w:rPr>
        <w:t>&lt;/</w:t>
      </w:r>
      <w:r w:rsidRPr="00473D4F">
        <w:rPr>
          <w:rStyle w:val="HideTWBExt"/>
          <w:b w:val="0"/>
        </w:rPr>
        <w:t>NumAm&gt;</w:t>
      </w:r>
    </w:p>
    <w:p w:rsidR="00932D06" w:rsidRPr="00473D4F" w:rsidRDefault="003B3846" w:rsidP="00932D06">
      <w:pPr>
        <w:pStyle w:val="NormalBold12b"/>
        <w:keepNext/>
      </w:pPr>
      <w:r w:rsidRPr="00473D4F">
        <w:rPr>
          <w:rStyle w:val="HideTWBExt"/>
          <w:b w:val="0"/>
        </w:rPr>
        <w:t>&lt;DocAmend&gt;</w:t>
      </w:r>
      <w:r w:rsidRPr="00473D4F">
        <w:t>Proposta de diretiva</w:t>
      </w:r>
      <w:r w:rsidRPr="00473D4F">
        <w:rPr>
          <w:rStyle w:val="HideTWBExt"/>
          <w:b w:val="0"/>
        </w:rPr>
        <w:t>&lt;/DocAmend&gt;</w:t>
      </w:r>
    </w:p>
    <w:p w:rsidR="00932D06" w:rsidRPr="00473D4F" w:rsidRDefault="003B3846" w:rsidP="00932D06">
      <w:pPr>
        <w:pStyle w:val="NormalBold"/>
      </w:pPr>
      <w:r w:rsidRPr="00473D4F">
        <w:rPr>
          <w:rStyle w:val="HideTWBExt"/>
          <w:b w:val="0"/>
        </w:rPr>
        <w:t>&lt;Article&gt;</w:t>
      </w:r>
      <w:r w:rsidRPr="00473D4F">
        <w:t>Considerando 6</w:t>
      </w:r>
      <w:r w:rsidRPr="00473D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042" w:rsidRPr="00473D4F" w:rsidTr="00932D06">
        <w:trPr>
          <w:jc w:val="center"/>
        </w:trPr>
        <w:tc>
          <w:tcPr>
            <w:tcW w:w="9752" w:type="dxa"/>
            <w:gridSpan w:val="2"/>
          </w:tcPr>
          <w:p w:rsidR="00932D06" w:rsidRPr="00473D4F" w:rsidRDefault="00932D06">
            <w:pPr>
              <w:keepNext/>
            </w:pPr>
          </w:p>
        </w:tc>
      </w:tr>
      <w:tr w:rsidR="00E35042" w:rsidRPr="00473D4F" w:rsidTr="00932D06">
        <w:trPr>
          <w:jc w:val="center"/>
        </w:trPr>
        <w:tc>
          <w:tcPr>
            <w:tcW w:w="4876" w:type="dxa"/>
            <w:hideMark/>
          </w:tcPr>
          <w:p w:rsidR="00932D06" w:rsidRPr="00473D4F" w:rsidRDefault="003B3846">
            <w:pPr>
              <w:pStyle w:val="ColumnHeading"/>
              <w:keepNext/>
            </w:pPr>
            <w:r w:rsidRPr="00473D4F">
              <w:t>Texto da Comissão</w:t>
            </w:r>
          </w:p>
        </w:tc>
        <w:tc>
          <w:tcPr>
            <w:tcW w:w="4876" w:type="dxa"/>
            <w:hideMark/>
          </w:tcPr>
          <w:p w:rsidR="00932D06" w:rsidRPr="00473D4F" w:rsidRDefault="003B3846">
            <w:pPr>
              <w:pStyle w:val="ColumnHeading"/>
              <w:keepNext/>
            </w:pPr>
            <w:r w:rsidRPr="00473D4F">
              <w:t>Alteração</w:t>
            </w:r>
          </w:p>
        </w:tc>
      </w:tr>
      <w:tr w:rsidR="00E35042" w:rsidRPr="00473D4F" w:rsidTr="00932D06">
        <w:trPr>
          <w:jc w:val="center"/>
        </w:trPr>
        <w:tc>
          <w:tcPr>
            <w:tcW w:w="4876" w:type="dxa"/>
            <w:hideMark/>
          </w:tcPr>
          <w:p w:rsidR="00932D06" w:rsidRPr="00473D4F" w:rsidRDefault="003B3846">
            <w:pPr>
              <w:pStyle w:val="Normal6"/>
            </w:pPr>
            <w:r w:rsidRPr="00473D4F">
              <w:t>(6)</w:t>
            </w:r>
            <w:r w:rsidRPr="00473D4F">
              <w:tab/>
              <w:t xml:space="preserve">Nos termos do artigo 45.º-F, n.º 2, da Diretiva 2014/59/UE e do artigo 12.º-G, n.º 2, do Regulamento (UE) n.º 806/2014, as entidades </w:t>
            </w:r>
            <w:r w:rsidRPr="00473D4F">
              <w:t>intermédias podem cumprir o MREL interno consolidado utilizando fundos próprios e passivos elegíveis. Para concretizar plenamente a possibilidade de cumprir o MREL em base consolidada, é necessário assegurar que os passivos elegíveis das entidades interméd</w:t>
            </w:r>
            <w:r w:rsidRPr="00473D4F">
              <w:t>ias sejam calculados de forma semelhante ao cálculo dos fundos próprios. Por conseguinte, os critérios de elegibilidade dos passivos elegíveis que podem ser utilizados para cumprir o MREL interno em base consolidada devem estar em consonância com as regras</w:t>
            </w:r>
            <w:r w:rsidRPr="00473D4F">
              <w:t xml:space="preserve"> relativas ao cálculo dos fundos próprios consolidados estabelecidas no Regulamento (UE) n.º 575/2013. Para assegurar a coerência com as regras em vigor em matéria de MREL externo, esse alinhamento deve também refletir as regras em vigor estabelecidas no a</w:t>
            </w:r>
            <w:r w:rsidRPr="00473D4F">
              <w:t>rtigo 45.º-B, n.º 3, da Diretiva 2014/59/UE e no artigo 12.º-D, n.º 3, do Regulamento (UE) n.º 806/2014 para o cálculo dos passivos elegíveis que as entidades de resolução podem utilizar para cumprir o seu MREL consolidado. Em especial, é necessário assegu</w:t>
            </w:r>
            <w:r w:rsidRPr="00473D4F">
              <w:t xml:space="preserve">rar que os passivos elegíveis emitidos pelas filiais da entidade sujeita ao MREL interno consolidado e detidos </w:t>
            </w:r>
            <w:r w:rsidRPr="00473D4F">
              <w:rPr>
                <w:b/>
                <w:bCs/>
                <w:i/>
                <w:iCs/>
              </w:rPr>
              <w:t>por</w:t>
            </w:r>
            <w:r w:rsidRPr="00473D4F">
              <w:t xml:space="preserve"> outras entidades do mesmo grupo de resolução, mas fora do âmbito da consolidação</w:t>
            </w:r>
            <w:r w:rsidRPr="00473D4F">
              <w:rPr>
                <w:b/>
                <w:bCs/>
                <w:i/>
                <w:iCs/>
              </w:rPr>
              <w:t>, incluindo a entidade de resolução,</w:t>
            </w:r>
            <w:r w:rsidRPr="00473D4F">
              <w:t xml:space="preserve"> ou por acionistas existe</w:t>
            </w:r>
            <w:r w:rsidRPr="00473D4F">
              <w:t>ntes que não pertençam ao mesmo grupo de resolução, são contabilizados para efeitos dos fundos próprios e passivos elegíveis da entidade sujeita ao MREL interno consolidado.</w:t>
            </w:r>
          </w:p>
        </w:tc>
        <w:tc>
          <w:tcPr>
            <w:tcW w:w="4876" w:type="dxa"/>
            <w:hideMark/>
          </w:tcPr>
          <w:p w:rsidR="00932D06" w:rsidRPr="00473D4F" w:rsidRDefault="003B3846">
            <w:pPr>
              <w:pStyle w:val="Normal6"/>
              <w:rPr>
                <w:szCs w:val="24"/>
              </w:rPr>
            </w:pPr>
            <w:r w:rsidRPr="00473D4F">
              <w:t>(6)</w:t>
            </w:r>
            <w:r w:rsidRPr="00473D4F">
              <w:tab/>
              <w:t>Nos termos do artigo 45.º-F, n.º 2, da Diretiva 2014/59/UE e do artigo 12.º-G,</w:t>
            </w:r>
            <w:r w:rsidRPr="00473D4F">
              <w:t xml:space="preserve"> n.º 2, do Regulamento (UE) n.º 806/2014, as entidades intermédias podem cumprir o MREL interno consolidado utilizando fundos próprios e passivos elegíveis. Para concretizar plenamente a possibilidade de cumprir o MREL em base consolidada, é necessário ass</w:t>
            </w:r>
            <w:r w:rsidRPr="00473D4F">
              <w:t>egurar que os passivos elegíveis das entidades intermédias sejam calculados de forma semelhante ao cálculo dos fundos próprios. Por conseguinte, os critérios de elegibilidade dos passivos elegíveis que podem ser utilizados para cumprir o MREL interno em ba</w:t>
            </w:r>
            <w:r w:rsidRPr="00473D4F">
              <w:t>se consolidada devem estar em consonância com as regras relativas ao cálculo dos fundos próprios consolidados estabelecidas no Regulamento (UE) n.º 575/2013. Para assegurar a coerência com as regras em vigor em matéria de MREL externo, esse alinhamento dev</w:t>
            </w:r>
            <w:r w:rsidRPr="00473D4F">
              <w:t>e também refletir as regras em vigor estabelecidas no artigo 45.º-B, n.º 3, da Diretiva 2014/59/UE e no artigo 12.º-D, n.º 3, do Regulamento (UE) n.º 806/2014 para o cálculo dos passivos elegíveis que as entidades de resolução podem utilizar para cumprir o</w:t>
            </w:r>
            <w:r w:rsidRPr="00473D4F">
              <w:t xml:space="preserve"> seu MREL consolidado. Em especial, é necessário assegurar que os passivos elegíveis emitidos pelas filiais da entidade sujeita ao MREL interno consolidado e detidos </w:t>
            </w:r>
            <w:r w:rsidRPr="00473D4F">
              <w:rPr>
                <w:b/>
                <w:bCs/>
                <w:i/>
                <w:iCs/>
              </w:rPr>
              <w:t>pela entidade de resolução, direta ou indiretamente através de</w:t>
            </w:r>
            <w:r w:rsidRPr="00473D4F">
              <w:t xml:space="preserve"> outras entidades do mesmo g</w:t>
            </w:r>
            <w:r w:rsidRPr="00473D4F">
              <w:t>rupo de resolução, mas fora do âmbito da consolidação ou por acionistas existentes que não pertençam ao mesmo grupo de resolução, são contabilizados para efeitos dos fundos próprios e passivos elegíveis da entidade sujeita ao MREL interno consolidado.</w:t>
            </w:r>
          </w:p>
        </w:tc>
      </w:tr>
    </w:tbl>
    <w:p w:rsidR="00932D06" w:rsidRPr="00473D4F" w:rsidRDefault="003B3846" w:rsidP="00932D06">
      <w:pPr>
        <w:pStyle w:val="Olang"/>
        <w:rPr>
          <w:sz w:val="24"/>
          <w:szCs w:val="24"/>
        </w:rPr>
      </w:pPr>
      <w:r w:rsidRPr="00473D4F">
        <w:rPr>
          <w:sz w:val="24"/>
          <w:szCs w:val="24"/>
        </w:rPr>
        <w:t>Or.</w:t>
      </w:r>
      <w:r w:rsidRPr="00473D4F">
        <w:rPr>
          <w:sz w:val="24"/>
          <w:szCs w:val="24"/>
        </w:rPr>
        <w:t xml:space="preserve"> </w:t>
      </w:r>
      <w:r w:rsidRPr="00473D4F">
        <w:rPr>
          <w:rStyle w:val="HideTWBExt"/>
        </w:rPr>
        <w:t>&lt;Original&gt;</w:t>
      </w:r>
      <w:r w:rsidRPr="00473D4F">
        <w:rPr>
          <w:rStyle w:val="HideTWBInt"/>
          <w:sz w:val="24"/>
          <w:szCs w:val="24"/>
        </w:rPr>
        <w:t>{EN}</w:t>
      </w:r>
      <w:r w:rsidRPr="00473D4F">
        <w:rPr>
          <w:sz w:val="24"/>
          <w:szCs w:val="24"/>
        </w:rPr>
        <w:t>en</w:t>
      </w:r>
      <w:r w:rsidRPr="00473D4F">
        <w:rPr>
          <w:rStyle w:val="HideTWBExt"/>
        </w:rPr>
        <w:t>&lt;/Original&gt;</w:t>
      </w:r>
    </w:p>
    <w:p w:rsidR="00932D06" w:rsidRPr="00473D4F" w:rsidRDefault="003B3846" w:rsidP="00932D06">
      <w:pPr>
        <w:rPr>
          <w:szCs w:val="24"/>
        </w:rPr>
      </w:pPr>
      <w:r w:rsidRPr="00473D4F">
        <w:rPr>
          <w:rStyle w:val="HideTWBExt"/>
        </w:rPr>
        <w:t>&lt;/Amend&gt;</w:t>
      </w:r>
    </w:p>
    <w:p w:rsidR="00932D06" w:rsidRPr="00473D4F" w:rsidRDefault="003B3846" w:rsidP="00932D06">
      <w:pPr>
        <w:pStyle w:val="AMNumberTabs0"/>
        <w:keepNext/>
      </w:pPr>
      <w:r w:rsidRPr="00473D4F">
        <w:rPr>
          <w:rStyle w:val="HideTWBExt"/>
          <w:b w:val="0"/>
        </w:rPr>
        <w:t>&lt;Amend&gt;</w:t>
      </w:r>
      <w:r w:rsidRPr="00473D4F">
        <w:t>Alteração</w:t>
      </w:r>
      <w:r w:rsidRPr="00473D4F">
        <w:tab/>
      </w:r>
      <w:r w:rsidRPr="00473D4F">
        <w:tab/>
      </w:r>
      <w:r w:rsidRPr="00473D4F">
        <w:rPr>
          <w:rStyle w:val="HideTWBExt"/>
          <w:b w:val="0"/>
        </w:rPr>
        <w:t>&lt;NumAm&gt;</w:t>
      </w:r>
      <w:r w:rsidRPr="00473D4F">
        <w:t>5</w:t>
      </w:r>
      <w:r w:rsidRPr="00473D4F">
        <w:rPr>
          <w:rStyle w:val="HideTWBExt"/>
          <w:b w:val="0"/>
        </w:rPr>
        <w:t>&lt;/NumAm&gt;</w:t>
      </w:r>
    </w:p>
    <w:p w:rsidR="00932D06" w:rsidRPr="00473D4F" w:rsidRDefault="003B3846" w:rsidP="00932D06">
      <w:pPr>
        <w:pStyle w:val="NormalBold12b"/>
        <w:keepNext/>
      </w:pPr>
      <w:r w:rsidRPr="00473D4F">
        <w:rPr>
          <w:rStyle w:val="HideTWBExt"/>
          <w:b w:val="0"/>
        </w:rPr>
        <w:t>&lt;DocAmend&gt;</w:t>
      </w:r>
      <w:r w:rsidRPr="00473D4F">
        <w:t>Proposta de diretiva</w:t>
      </w:r>
      <w:r w:rsidRPr="00473D4F">
        <w:rPr>
          <w:rStyle w:val="HideTWBExt"/>
          <w:b w:val="0"/>
        </w:rPr>
        <w:t>&lt;/DocAmend&gt;</w:t>
      </w:r>
    </w:p>
    <w:p w:rsidR="00932D06" w:rsidRPr="00473D4F" w:rsidRDefault="003B3846" w:rsidP="00932D06">
      <w:pPr>
        <w:pStyle w:val="NormalBold"/>
      </w:pPr>
      <w:r w:rsidRPr="00473D4F">
        <w:rPr>
          <w:rStyle w:val="HideTWBExt"/>
          <w:b w:val="0"/>
        </w:rPr>
        <w:t>&lt;Article&gt;</w:t>
      </w:r>
      <w:r w:rsidRPr="00473D4F">
        <w:t>Considerando 7</w:t>
      </w:r>
      <w:r w:rsidRPr="00473D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042" w:rsidRPr="00473D4F" w:rsidTr="00932D06">
        <w:trPr>
          <w:jc w:val="center"/>
        </w:trPr>
        <w:tc>
          <w:tcPr>
            <w:tcW w:w="9752" w:type="dxa"/>
            <w:gridSpan w:val="2"/>
          </w:tcPr>
          <w:p w:rsidR="00932D06" w:rsidRPr="00473D4F" w:rsidRDefault="00932D06">
            <w:pPr>
              <w:keepNext/>
            </w:pPr>
          </w:p>
        </w:tc>
      </w:tr>
      <w:tr w:rsidR="00E35042" w:rsidRPr="00473D4F" w:rsidTr="00932D06">
        <w:trPr>
          <w:jc w:val="center"/>
        </w:trPr>
        <w:tc>
          <w:tcPr>
            <w:tcW w:w="4876" w:type="dxa"/>
            <w:hideMark/>
          </w:tcPr>
          <w:p w:rsidR="00932D06" w:rsidRPr="00473D4F" w:rsidRDefault="003B3846">
            <w:pPr>
              <w:pStyle w:val="ColumnHeading"/>
              <w:keepNext/>
            </w:pPr>
            <w:r w:rsidRPr="00473D4F">
              <w:t>Texto da Comissão</w:t>
            </w:r>
          </w:p>
        </w:tc>
        <w:tc>
          <w:tcPr>
            <w:tcW w:w="4876" w:type="dxa"/>
            <w:hideMark/>
          </w:tcPr>
          <w:p w:rsidR="00932D06" w:rsidRPr="00473D4F" w:rsidRDefault="003B3846">
            <w:pPr>
              <w:pStyle w:val="ColumnHeading"/>
              <w:keepNext/>
            </w:pPr>
            <w:r w:rsidRPr="00473D4F">
              <w:t>Alteração</w:t>
            </w:r>
          </w:p>
        </w:tc>
      </w:tr>
      <w:tr w:rsidR="00E35042" w:rsidRPr="00473D4F" w:rsidTr="00932D06">
        <w:trPr>
          <w:jc w:val="center"/>
        </w:trPr>
        <w:tc>
          <w:tcPr>
            <w:tcW w:w="4876" w:type="dxa"/>
            <w:hideMark/>
          </w:tcPr>
          <w:p w:rsidR="00932D06" w:rsidRPr="00473D4F" w:rsidRDefault="003B3846">
            <w:pPr>
              <w:pStyle w:val="Normal6"/>
            </w:pPr>
            <w:r w:rsidRPr="00473D4F">
              <w:t>(7)</w:t>
            </w:r>
            <w:r w:rsidRPr="00473D4F">
              <w:tab/>
            </w:r>
            <w:r w:rsidRPr="00473D4F">
              <w:rPr>
                <w:b/>
                <w:bCs/>
                <w:i/>
                <w:iCs/>
              </w:rPr>
              <w:t>Para as entidades de liquidação,</w:t>
            </w:r>
            <w:r w:rsidRPr="00473D4F">
              <w:t xml:space="preserve"> o MREL é </w:t>
            </w:r>
            <w:r w:rsidRPr="00473D4F">
              <w:rPr>
                <w:b/>
                <w:bCs/>
                <w:i/>
                <w:iCs/>
              </w:rPr>
              <w:t>normalmente limitado ao</w:t>
            </w:r>
            <w:r w:rsidRPr="00473D4F">
              <w:t xml:space="preserve"> montante necessário para a absorção das perdas, que corresponde aos requisitos de fundos próprios. Nesses casos, o MREL não implica, para a entidade de liquidação, qualquer requisito adicional diretamente relacionado com o quadro de resolução, o que signi</w:t>
            </w:r>
            <w:r w:rsidRPr="00473D4F">
              <w:t>fica que uma entidade de liquidação pode cumprir plenamente o MREL cumprindo os requisitos de fundos próprios e que uma decisão específica da autoridade de resolução que determina o MREL não contribui de forma significativa para a resolubilidade das entida</w:t>
            </w:r>
            <w:r w:rsidRPr="00473D4F">
              <w:t>des de liquidação. Esta decisão implica muitas obrigações processuais para as autoridades de resolução e para as entidades de liquidação, sem representar um benefício correspondente em termos de melhoria da resolubilidade. Por esse motivo, as autoridades d</w:t>
            </w:r>
            <w:r w:rsidRPr="00473D4F">
              <w:t>e resolução não devem estabelecer um MREL para as entidades de liquidação.</w:t>
            </w:r>
          </w:p>
        </w:tc>
        <w:tc>
          <w:tcPr>
            <w:tcW w:w="4876" w:type="dxa"/>
            <w:hideMark/>
          </w:tcPr>
          <w:p w:rsidR="00932D06" w:rsidRPr="00473D4F" w:rsidRDefault="003B3846" w:rsidP="006A17A3">
            <w:pPr>
              <w:pStyle w:val="Normal6"/>
              <w:rPr>
                <w:szCs w:val="24"/>
              </w:rPr>
            </w:pPr>
            <w:r w:rsidRPr="00473D4F">
              <w:t>(7)</w:t>
            </w:r>
            <w:r w:rsidRPr="00473D4F">
              <w:tab/>
            </w:r>
            <w:r w:rsidRPr="00473D4F">
              <w:rPr>
                <w:b/>
                <w:bCs/>
                <w:i/>
                <w:iCs/>
              </w:rPr>
              <w:t>De acordo com o atual quadro MREL,</w:t>
            </w:r>
            <w:r w:rsidRPr="00473D4F">
              <w:t xml:space="preserve"> o MREL </w:t>
            </w:r>
            <w:r w:rsidRPr="00473D4F">
              <w:rPr>
                <w:b/>
                <w:bCs/>
                <w:i/>
                <w:iCs/>
              </w:rPr>
              <w:t>para as entidades previstas para liquidação</w:t>
            </w:r>
            <w:r w:rsidRPr="00473D4F">
              <w:t xml:space="preserve"> é </w:t>
            </w:r>
            <w:r w:rsidRPr="00473D4F">
              <w:rPr>
                <w:b/>
                <w:bCs/>
                <w:i/>
                <w:iCs/>
              </w:rPr>
              <w:t>fixado, na maioria dos casos, no</w:t>
            </w:r>
            <w:r w:rsidRPr="00473D4F">
              <w:t xml:space="preserve"> montante necessário para a absorção das perdas, que corr</w:t>
            </w:r>
            <w:r w:rsidRPr="00473D4F">
              <w:t>esponde aos requisitos de fundos próprios. Nesses casos, o MREL não implica, para a entidade de liquidação, qualquer requisito adicional diretamente relacionado com o quadro de resolução, o que significa que uma entidade de liquidação pode cumprir plenamen</w:t>
            </w:r>
            <w:r w:rsidRPr="00473D4F">
              <w:t>te o MREL cumprindo os requisitos de fundos próprios e que uma decisão específica da autoridade de resolução que determina o MREL não contribui de forma significativa para a resolubilidade das entidades de liquidação. Esta decisão implica muitas obrigações</w:t>
            </w:r>
            <w:r w:rsidRPr="00473D4F">
              <w:t xml:space="preserve"> processuais para as autoridades de resolução e para as entidades de liquidação, sem representar um benefício correspondente em termos de melhoria da resolubilidade. Por esse motivo, as autoridades de resolução não devem estabelecer um MREL para as entidad</w:t>
            </w:r>
            <w:r w:rsidRPr="00473D4F">
              <w:t>es de liquidação.</w:t>
            </w:r>
          </w:p>
        </w:tc>
      </w:tr>
    </w:tbl>
    <w:p w:rsidR="00932D06" w:rsidRPr="00473D4F" w:rsidRDefault="003B3846" w:rsidP="00932D06">
      <w:pPr>
        <w:pStyle w:val="Olang"/>
        <w:rPr>
          <w:sz w:val="24"/>
          <w:szCs w:val="24"/>
        </w:rPr>
      </w:pPr>
      <w:r w:rsidRPr="00473D4F">
        <w:rPr>
          <w:sz w:val="24"/>
          <w:szCs w:val="24"/>
        </w:rPr>
        <w:t xml:space="preserve">Or. </w:t>
      </w:r>
      <w:r w:rsidRPr="00473D4F">
        <w:rPr>
          <w:rStyle w:val="HideTWBExt"/>
        </w:rPr>
        <w:t>&lt;Original&gt;</w:t>
      </w:r>
      <w:r w:rsidRPr="00473D4F">
        <w:rPr>
          <w:rStyle w:val="HideTWBInt"/>
          <w:sz w:val="24"/>
          <w:szCs w:val="24"/>
        </w:rPr>
        <w:t>{EN}</w:t>
      </w:r>
      <w:r w:rsidRPr="00473D4F">
        <w:rPr>
          <w:sz w:val="24"/>
          <w:szCs w:val="24"/>
        </w:rPr>
        <w:t>en</w:t>
      </w:r>
      <w:r w:rsidRPr="00473D4F">
        <w:rPr>
          <w:rStyle w:val="HideTWBExt"/>
        </w:rPr>
        <w:t>&lt;/Original&gt;</w:t>
      </w:r>
    </w:p>
    <w:p w:rsidR="00932D06" w:rsidRPr="00473D4F" w:rsidRDefault="003B3846" w:rsidP="00932D06">
      <w:pPr>
        <w:rPr>
          <w:szCs w:val="24"/>
        </w:rPr>
      </w:pPr>
      <w:r w:rsidRPr="00473D4F">
        <w:rPr>
          <w:rStyle w:val="HideTWBExt"/>
        </w:rPr>
        <w:t>&lt;/Amend&gt;</w:t>
      </w:r>
    </w:p>
    <w:p w:rsidR="00932D06" w:rsidRPr="00473D4F" w:rsidRDefault="003B3846" w:rsidP="00932D06">
      <w:pPr>
        <w:pStyle w:val="AMNumberTabs0"/>
        <w:keepNext/>
      </w:pPr>
      <w:r w:rsidRPr="00473D4F">
        <w:rPr>
          <w:rStyle w:val="HideTWBExt"/>
          <w:b w:val="0"/>
        </w:rPr>
        <w:t>&lt;Amend&gt;</w:t>
      </w:r>
      <w:r w:rsidRPr="00473D4F">
        <w:t>Alteração</w:t>
      </w:r>
      <w:r w:rsidRPr="00473D4F">
        <w:tab/>
      </w:r>
      <w:r w:rsidRPr="00473D4F">
        <w:tab/>
      </w:r>
      <w:r w:rsidRPr="00473D4F">
        <w:rPr>
          <w:rStyle w:val="HideTWBExt"/>
          <w:b w:val="0"/>
        </w:rPr>
        <w:t>&lt;NumAm&gt;</w:t>
      </w:r>
      <w:r w:rsidRPr="00473D4F">
        <w:t>6</w:t>
      </w:r>
      <w:r w:rsidRPr="00473D4F">
        <w:rPr>
          <w:rStyle w:val="HideTWBExt"/>
          <w:b w:val="0"/>
        </w:rPr>
        <w:t>&lt;/NumAm&gt;</w:t>
      </w:r>
    </w:p>
    <w:p w:rsidR="00932D06" w:rsidRPr="00473D4F" w:rsidRDefault="003B3846" w:rsidP="00932D06">
      <w:pPr>
        <w:pStyle w:val="NormalBold12b"/>
        <w:keepNext/>
      </w:pPr>
      <w:r w:rsidRPr="00473D4F">
        <w:rPr>
          <w:rStyle w:val="HideTWBExt"/>
          <w:b w:val="0"/>
        </w:rPr>
        <w:t>&lt;DocAmend&gt;</w:t>
      </w:r>
      <w:r w:rsidRPr="00473D4F">
        <w:t>Proposta de diretiva</w:t>
      </w:r>
      <w:r w:rsidRPr="00473D4F">
        <w:rPr>
          <w:rStyle w:val="HideTWBExt"/>
          <w:b w:val="0"/>
        </w:rPr>
        <w:t>&lt;/DocAmend&gt;</w:t>
      </w:r>
    </w:p>
    <w:p w:rsidR="00932D06" w:rsidRPr="00473D4F" w:rsidRDefault="003B3846" w:rsidP="00932D06">
      <w:pPr>
        <w:pStyle w:val="NormalBold"/>
      </w:pPr>
      <w:r w:rsidRPr="00473D4F">
        <w:rPr>
          <w:rStyle w:val="HideTWBExt"/>
          <w:b w:val="0"/>
        </w:rPr>
        <w:t>&lt;Article&gt;</w:t>
      </w:r>
      <w:r w:rsidRPr="00473D4F">
        <w:t>Considerando 8</w:t>
      </w:r>
      <w:r w:rsidRPr="00473D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042" w:rsidRPr="00473D4F" w:rsidTr="00932D06">
        <w:trPr>
          <w:jc w:val="center"/>
        </w:trPr>
        <w:tc>
          <w:tcPr>
            <w:tcW w:w="9752" w:type="dxa"/>
            <w:gridSpan w:val="2"/>
          </w:tcPr>
          <w:p w:rsidR="00932D06" w:rsidRPr="00473D4F" w:rsidRDefault="00932D06">
            <w:pPr>
              <w:keepNext/>
            </w:pPr>
          </w:p>
        </w:tc>
      </w:tr>
      <w:tr w:rsidR="00E35042" w:rsidRPr="00473D4F" w:rsidTr="00932D06">
        <w:trPr>
          <w:jc w:val="center"/>
        </w:trPr>
        <w:tc>
          <w:tcPr>
            <w:tcW w:w="4876" w:type="dxa"/>
            <w:hideMark/>
          </w:tcPr>
          <w:p w:rsidR="00932D06" w:rsidRPr="00473D4F" w:rsidRDefault="003B3846">
            <w:pPr>
              <w:pStyle w:val="ColumnHeading"/>
              <w:keepNext/>
            </w:pPr>
            <w:r w:rsidRPr="00473D4F">
              <w:t>Texto da Comissão</w:t>
            </w:r>
          </w:p>
        </w:tc>
        <w:tc>
          <w:tcPr>
            <w:tcW w:w="4876" w:type="dxa"/>
            <w:hideMark/>
          </w:tcPr>
          <w:p w:rsidR="00932D06" w:rsidRPr="00473D4F" w:rsidRDefault="003B3846">
            <w:pPr>
              <w:pStyle w:val="ColumnHeading"/>
              <w:keepNext/>
            </w:pPr>
            <w:r w:rsidRPr="00473D4F">
              <w:t>Alteração</w:t>
            </w:r>
          </w:p>
        </w:tc>
      </w:tr>
      <w:tr w:rsidR="00E35042" w:rsidRPr="00473D4F" w:rsidTr="00932D06">
        <w:trPr>
          <w:jc w:val="center"/>
        </w:trPr>
        <w:tc>
          <w:tcPr>
            <w:tcW w:w="4876" w:type="dxa"/>
            <w:hideMark/>
          </w:tcPr>
          <w:p w:rsidR="00932D06" w:rsidRPr="00473D4F" w:rsidRDefault="003B3846">
            <w:pPr>
              <w:pStyle w:val="Normal6"/>
            </w:pPr>
            <w:r w:rsidRPr="00473D4F">
              <w:t>(8)</w:t>
            </w:r>
            <w:r w:rsidRPr="00473D4F">
              <w:tab/>
            </w:r>
            <w:r w:rsidRPr="00473D4F">
              <w:rPr>
                <w:b/>
                <w:bCs/>
                <w:i/>
                <w:iCs/>
              </w:rPr>
              <w:t>Se a autoridade</w:t>
            </w:r>
            <w:r w:rsidRPr="00473D4F">
              <w:t xml:space="preserve"> de resolução considerar que uma entidade </w:t>
            </w:r>
            <w:r w:rsidRPr="00473D4F">
              <w:rPr>
                <w:b/>
                <w:bCs/>
                <w:i/>
                <w:iCs/>
              </w:rPr>
              <w:t>que faz parte de um grupo de resolução</w:t>
            </w:r>
            <w:r w:rsidRPr="00473D4F">
              <w:t xml:space="preserve"> pode ser considerada uma entidade de liquidação, as entidades intermédias não devem ser obrigadas a deduzir da sua capacidade de MREL interno as suas participações em fundos p</w:t>
            </w:r>
            <w:r w:rsidRPr="00473D4F">
              <w:t>róprios</w:t>
            </w:r>
            <w:r w:rsidRPr="00473D4F">
              <w:rPr>
                <w:b/>
                <w:bCs/>
                <w:i/>
                <w:iCs/>
              </w:rPr>
              <w:t xml:space="preserve"> ou outros </w:t>
            </w:r>
            <w:r w:rsidRPr="00473D4F">
              <w:t>passivos que satisfaçam as condições de conformidade com o MREL interno</w:t>
            </w:r>
            <w:r w:rsidRPr="00473D4F">
              <w:rPr>
                <w:b/>
                <w:bCs/>
                <w:i/>
                <w:iCs/>
              </w:rPr>
              <w:t xml:space="preserve"> e que sejam emitidos por entidades de liquidação</w:t>
            </w:r>
            <w:r w:rsidRPr="00473D4F">
              <w:t>.</w:t>
            </w:r>
            <w:r w:rsidRPr="00473D4F">
              <w:rPr>
                <w:b/>
                <w:i/>
              </w:rPr>
              <w:t xml:space="preserve"> </w:t>
            </w:r>
            <w:r w:rsidRPr="00473D4F">
              <w:rPr>
                <w:b/>
                <w:bCs/>
                <w:i/>
                <w:iCs/>
              </w:rPr>
              <w:t>Nesse caso, a entidade de liquidação já não é obrigada a cumprir o MREL, pelo que não há subscrição indireta de recu</w:t>
            </w:r>
            <w:r w:rsidRPr="00473D4F">
              <w:rPr>
                <w:b/>
                <w:bCs/>
                <w:i/>
                <w:iCs/>
              </w:rPr>
              <w:t>rsos elegíveis para o MREL interno através da cadeia constituída pela entidade de resolução, a entidade intermédia e a entidade de liquidação.</w:t>
            </w:r>
            <w:r w:rsidRPr="00473D4F">
              <w:t xml:space="preserve"> Em caso de insolvência, a estratégia de resolução não prevê que a entidade de liquidação seja </w:t>
            </w:r>
            <w:r w:rsidRPr="00473D4F">
              <w:rPr>
                <w:b/>
                <w:bCs/>
                <w:i/>
                <w:iCs/>
              </w:rPr>
              <w:t>apoiada</w:t>
            </w:r>
            <w:r w:rsidRPr="00473D4F">
              <w:t xml:space="preserve"> pela entida</w:t>
            </w:r>
            <w:r w:rsidRPr="00473D4F">
              <w:t>de de resolução, pelo que não se prevê a transferência ascendente das perdas da entidade de liquidação para a entidade de resolução através da entidade intermédia nem a transferência descendente de capital na direção oposta. Consequentemente, esse ajustame</w:t>
            </w:r>
            <w:r w:rsidRPr="00473D4F">
              <w:t>nto do âmbito das participações a deduzir no contexto da subscrição indireta de recursos elegíveis para o MREL interno não afeta a solidez prudencial do quadro.</w:t>
            </w:r>
          </w:p>
        </w:tc>
        <w:tc>
          <w:tcPr>
            <w:tcW w:w="4876" w:type="dxa"/>
            <w:hideMark/>
          </w:tcPr>
          <w:p w:rsidR="00932D06" w:rsidRPr="00473D4F" w:rsidRDefault="003B3846">
            <w:pPr>
              <w:pStyle w:val="Normal6"/>
              <w:rPr>
                <w:szCs w:val="24"/>
              </w:rPr>
            </w:pPr>
            <w:r w:rsidRPr="00473D4F">
              <w:t>(8)</w:t>
            </w:r>
            <w:r w:rsidRPr="00473D4F">
              <w:tab/>
            </w:r>
            <w:r w:rsidRPr="00473D4F">
              <w:rPr>
                <w:b/>
                <w:bCs/>
                <w:i/>
                <w:iCs/>
              </w:rPr>
              <w:t>Ao elaborarem planos</w:t>
            </w:r>
            <w:r w:rsidRPr="00473D4F">
              <w:t xml:space="preserve"> de resolução </w:t>
            </w:r>
            <w:r w:rsidRPr="00473D4F">
              <w:rPr>
                <w:b/>
                <w:bCs/>
                <w:i/>
                <w:iCs/>
              </w:rPr>
              <w:t xml:space="preserve">e ao avaliarem a resolubilidade dos grupos de resolução, </w:t>
            </w:r>
            <w:r w:rsidRPr="00473D4F">
              <w:rPr>
                <w:b/>
                <w:bCs/>
                <w:i/>
                <w:iCs/>
              </w:rPr>
              <w:t>as autoridades de resolução podem</w:t>
            </w:r>
            <w:r w:rsidRPr="00473D4F">
              <w:t xml:space="preserve"> considerar que uma entidade </w:t>
            </w:r>
            <w:r w:rsidRPr="00473D4F">
              <w:rPr>
                <w:b/>
                <w:bCs/>
                <w:i/>
                <w:iCs/>
              </w:rPr>
              <w:t>do grupo</w:t>
            </w:r>
            <w:r w:rsidRPr="00473D4F">
              <w:t xml:space="preserve"> pode ser considerada uma entidade de liquidação, </w:t>
            </w:r>
            <w:r w:rsidRPr="00473D4F">
              <w:rPr>
                <w:b/>
                <w:bCs/>
                <w:i/>
                <w:iCs/>
              </w:rPr>
              <w:t>uma vez que o exercício dos poderes de redução e de conversão não está previsto em relação a essa entidade</w:t>
            </w:r>
            <w:r w:rsidRPr="00473D4F">
              <w:t>.</w:t>
            </w:r>
            <w:r w:rsidRPr="00473D4F">
              <w:rPr>
                <w:b/>
                <w:i/>
              </w:rPr>
              <w:t xml:space="preserve"> Se tal for o caso, a entidad</w:t>
            </w:r>
            <w:r w:rsidRPr="00473D4F">
              <w:rPr>
                <w:b/>
                <w:i/>
              </w:rPr>
              <w:t xml:space="preserve">e do grupo pode não ter que deter fundos próprios e passivos elegíveis para além dos seus requisitos de fundos próprios. </w:t>
            </w:r>
            <w:r w:rsidRPr="00473D4F">
              <w:rPr>
                <w:b/>
                <w:bCs/>
                <w:i/>
                <w:iCs/>
              </w:rPr>
              <w:t>Nessas circunstâncias,</w:t>
            </w:r>
            <w:r w:rsidRPr="00473D4F">
              <w:t xml:space="preserve"> as entidades intermédias não devem ser obrigadas a deduzir da sua capacidade de MREL interno as suas participaçõ</w:t>
            </w:r>
            <w:r w:rsidRPr="00473D4F">
              <w:t xml:space="preserve">es em fundos próprios </w:t>
            </w:r>
            <w:r w:rsidRPr="00473D4F">
              <w:rPr>
                <w:b/>
                <w:bCs/>
                <w:i/>
                <w:iCs/>
              </w:rPr>
              <w:t>emitidos por entidades de liquidação que não estejam sujeitas a uma decisão MREL.</w:t>
            </w:r>
            <w:r w:rsidRPr="00473D4F">
              <w:rPr>
                <w:b/>
                <w:i/>
              </w:rPr>
              <w:t xml:space="preserve"> </w:t>
            </w:r>
            <w:r w:rsidRPr="00473D4F">
              <w:rPr>
                <w:b/>
                <w:bCs/>
                <w:i/>
                <w:iCs/>
              </w:rPr>
              <w:t>No entanto, não devem ser obrigadas a deduzir</w:t>
            </w:r>
            <w:r w:rsidRPr="00473D4F">
              <w:t xml:space="preserve"> passivos que satisfaçam as condições de conformidade com o MREL interno. Em caso de insolvência, a estraté</w:t>
            </w:r>
            <w:r w:rsidRPr="00473D4F">
              <w:t xml:space="preserve">gia de resolução não prevê que a entidade de liquidação seja </w:t>
            </w:r>
            <w:r w:rsidRPr="00473D4F">
              <w:rPr>
                <w:b/>
                <w:bCs/>
                <w:i/>
                <w:iCs/>
              </w:rPr>
              <w:t>recapitalizada</w:t>
            </w:r>
            <w:r w:rsidRPr="00473D4F">
              <w:t xml:space="preserve"> pela entidade de resolução, pelo que não se prevê a transferência ascendente das perdas </w:t>
            </w:r>
            <w:r w:rsidRPr="00473D4F">
              <w:rPr>
                <w:b/>
                <w:bCs/>
                <w:i/>
                <w:iCs/>
              </w:rPr>
              <w:t>para além dos requisitos de fundos próprios existentes</w:t>
            </w:r>
            <w:r w:rsidRPr="00473D4F">
              <w:rPr>
                <w:i/>
                <w:iCs/>
              </w:rPr>
              <w:t xml:space="preserve"> </w:t>
            </w:r>
            <w:r w:rsidRPr="00473D4F">
              <w:t>da entidade de liquidação para a enti</w:t>
            </w:r>
            <w:r w:rsidRPr="00473D4F">
              <w:t>dade de resolução através da entidade intermédia nem a transferência descendente de capital na direção oposta. Consequentemente, esse ajustamento do âmbito das participações a deduzir no contexto da subscrição indireta de recursos elegíveis para o MREL int</w:t>
            </w:r>
            <w:r w:rsidRPr="00473D4F">
              <w:t>erno não afeta a solidez prudencial do quadro.</w:t>
            </w:r>
          </w:p>
        </w:tc>
      </w:tr>
    </w:tbl>
    <w:p w:rsidR="00932D06" w:rsidRPr="00473D4F" w:rsidRDefault="003B3846" w:rsidP="00932D06">
      <w:pPr>
        <w:pStyle w:val="Olang"/>
        <w:rPr>
          <w:sz w:val="24"/>
          <w:szCs w:val="24"/>
        </w:rPr>
      </w:pPr>
      <w:r w:rsidRPr="00473D4F">
        <w:rPr>
          <w:sz w:val="24"/>
          <w:szCs w:val="24"/>
        </w:rPr>
        <w:t xml:space="preserve">Or. </w:t>
      </w:r>
      <w:r w:rsidRPr="00473D4F">
        <w:rPr>
          <w:rStyle w:val="HideTWBExt"/>
        </w:rPr>
        <w:t>&lt;Original&gt;</w:t>
      </w:r>
      <w:r w:rsidRPr="00473D4F">
        <w:rPr>
          <w:rStyle w:val="HideTWBInt"/>
          <w:sz w:val="24"/>
          <w:szCs w:val="24"/>
        </w:rPr>
        <w:t>{EN}</w:t>
      </w:r>
      <w:r w:rsidRPr="00473D4F">
        <w:rPr>
          <w:sz w:val="24"/>
          <w:szCs w:val="24"/>
        </w:rPr>
        <w:t>en</w:t>
      </w:r>
      <w:r w:rsidRPr="00473D4F">
        <w:rPr>
          <w:rStyle w:val="HideTWBExt"/>
        </w:rPr>
        <w:t>&lt;/Original&gt;</w:t>
      </w:r>
    </w:p>
    <w:p w:rsidR="00932D06" w:rsidRPr="00473D4F" w:rsidRDefault="003B3846" w:rsidP="00932D06">
      <w:pPr>
        <w:rPr>
          <w:szCs w:val="24"/>
        </w:rPr>
      </w:pPr>
      <w:r w:rsidRPr="00473D4F">
        <w:rPr>
          <w:rStyle w:val="HideTWBExt"/>
        </w:rPr>
        <w:t>&lt;/Amend&gt;</w:t>
      </w:r>
    </w:p>
    <w:p w:rsidR="00932D06" w:rsidRPr="00473D4F" w:rsidRDefault="003B3846" w:rsidP="00932D06">
      <w:pPr>
        <w:pStyle w:val="AMNumberTabs0"/>
        <w:keepNext/>
      </w:pPr>
      <w:r w:rsidRPr="00473D4F">
        <w:rPr>
          <w:rStyle w:val="HideTWBExt"/>
          <w:b w:val="0"/>
        </w:rPr>
        <w:t>&lt;Amend&gt;</w:t>
      </w:r>
      <w:r w:rsidRPr="00473D4F">
        <w:t>Alteração</w:t>
      </w:r>
      <w:r w:rsidRPr="00473D4F">
        <w:tab/>
      </w:r>
      <w:r w:rsidRPr="00473D4F">
        <w:tab/>
      </w:r>
      <w:r w:rsidRPr="00473D4F">
        <w:rPr>
          <w:rStyle w:val="HideTWBExt"/>
          <w:b w:val="0"/>
        </w:rPr>
        <w:t>&lt;NumAm&gt;</w:t>
      </w:r>
      <w:r w:rsidRPr="00473D4F">
        <w:t>7</w:t>
      </w:r>
      <w:r w:rsidRPr="00473D4F">
        <w:rPr>
          <w:rStyle w:val="HideTWBExt"/>
          <w:b w:val="0"/>
        </w:rPr>
        <w:t>&lt;/NumAm&gt;</w:t>
      </w:r>
    </w:p>
    <w:p w:rsidR="00932D06" w:rsidRPr="00473D4F" w:rsidRDefault="003B3846" w:rsidP="00932D06">
      <w:pPr>
        <w:pStyle w:val="NormalBold12b"/>
        <w:keepNext/>
      </w:pPr>
      <w:r w:rsidRPr="00473D4F">
        <w:rPr>
          <w:rStyle w:val="HideTWBExt"/>
          <w:b w:val="0"/>
        </w:rPr>
        <w:t>&lt;DocAmend&gt;</w:t>
      </w:r>
      <w:r w:rsidRPr="00473D4F">
        <w:t>Proposta de diretiva</w:t>
      </w:r>
      <w:r w:rsidRPr="00473D4F">
        <w:rPr>
          <w:rStyle w:val="HideTWBExt"/>
          <w:b w:val="0"/>
        </w:rPr>
        <w:t>&lt;/DocAmend&gt;</w:t>
      </w:r>
    </w:p>
    <w:p w:rsidR="00932D06" w:rsidRPr="00473D4F" w:rsidRDefault="003B3846" w:rsidP="00932D06">
      <w:pPr>
        <w:pStyle w:val="NormalBold"/>
      </w:pPr>
      <w:r w:rsidRPr="00473D4F">
        <w:rPr>
          <w:rStyle w:val="HideTWBExt"/>
          <w:b w:val="0"/>
        </w:rPr>
        <w:t>&lt;Article&gt;</w:t>
      </w:r>
      <w:r w:rsidRPr="00473D4F">
        <w:t>Considerando 9</w:t>
      </w:r>
      <w:r w:rsidRPr="00473D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042" w:rsidRPr="00473D4F" w:rsidTr="00932D06">
        <w:trPr>
          <w:jc w:val="center"/>
        </w:trPr>
        <w:tc>
          <w:tcPr>
            <w:tcW w:w="9752" w:type="dxa"/>
            <w:gridSpan w:val="2"/>
          </w:tcPr>
          <w:p w:rsidR="00932D06" w:rsidRPr="00473D4F" w:rsidRDefault="00932D06">
            <w:pPr>
              <w:keepNext/>
            </w:pPr>
          </w:p>
        </w:tc>
      </w:tr>
      <w:tr w:rsidR="00E35042" w:rsidRPr="00473D4F" w:rsidTr="00932D06">
        <w:trPr>
          <w:jc w:val="center"/>
        </w:trPr>
        <w:tc>
          <w:tcPr>
            <w:tcW w:w="4876" w:type="dxa"/>
            <w:hideMark/>
          </w:tcPr>
          <w:p w:rsidR="00932D06" w:rsidRPr="00473D4F" w:rsidRDefault="003B3846">
            <w:pPr>
              <w:pStyle w:val="ColumnHeading"/>
              <w:keepNext/>
            </w:pPr>
            <w:r w:rsidRPr="00473D4F">
              <w:t>Texto da Comissão</w:t>
            </w:r>
          </w:p>
        </w:tc>
        <w:tc>
          <w:tcPr>
            <w:tcW w:w="4876" w:type="dxa"/>
            <w:hideMark/>
          </w:tcPr>
          <w:p w:rsidR="00932D06" w:rsidRPr="00473D4F" w:rsidRDefault="003B3846">
            <w:pPr>
              <w:pStyle w:val="ColumnHeading"/>
              <w:keepNext/>
            </w:pPr>
            <w:r w:rsidRPr="00473D4F">
              <w:t>Alteração</w:t>
            </w:r>
          </w:p>
        </w:tc>
      </w:tr>
      <w:tr w:rsidR="00E35042" w:rsidRPr="00473D4F" w:rsidTr="00932D06">
        <w:trPr>
          <w:jc w:val="center"/>
        </w:trPr>
        <w:tc>
          <w:tcPr>
            <w:tcW w:w="4876" w:type="dxa"/>
            <w:hideMark/>
          </w:tcPr>
          <w:p w:rsidR="00932D06" w:rsidRPr="00473D4F" w:rsidRDefault="003B3846">
            <w:pPr>
              <w:pStyle w:val="Normal6"/>
            </w:pPr>
            <w:r w:rsidRPr="00473D4F">
              <w:t>(9)</w:t>
            </w:r>
            <w:r w:rsidRPr="00473D4F">
              <w:tab/>
              <w:t xml:space="preserve">O principal objetivo </w:t>
            </w:r>
            <w:r w:rsidRPr="00473D4F">
              <w:t>do regime de autorização para a redução dos instrumentos de passivos elegíveis estabelecido no artigo 77.º, n.º 2, e no artigo 78.º-A do Regulamento (UE) n.º 575/2013, que também é aplicável às instituições e entidades sujeitas ao MREL e aos passivos emiti</w:t>
            </w:r>
            <w:r w:rsidRPr="00473D4F">
              <w:t xml:space="preserve">dos para cumprir o MREL, é permitir que as autoridades de resolução acompanhem as medidas que resultam numa redução da reserva de passivos elegíveis e proíbam qualquer medida que corresponda a uma redução para além do nível que as autoridades de resolução </w:t>
            </w:r>
            <w:r w:rsidRPr="00473D4F">
              <w:t xml:space="preserve">considerem adequado. Se a autoridade de resolução não tiver adotado uma decisão que determine o MREL relativamente a uma instituição ou entidade, esse objetivo não é relevante. </w:t>
            </w:r>
            <w:r w:rsidRPr="00473D4F">
              <w:rPr>
                <w:b/>
                <w:i/>
              </w:rPr>
              <w:t>Além disso, as instituições ou entidades que não estão sujeitas a uma decisão q</w:t>
            </w:r>
            <w:r w:rsidRPr="00473D4F">
              <w:rPr>
                <w:b/>
                <w:i/>
              </w:rPr>
              <w:t>ue determine o MREL não têm passivos elegíveis no seu balanço.</w:t>
            </w:r>
            <w:r w:rsidRPr="00473D4F">
              <w:t xml:space="preserve"> Por conseguinte, as instituições ou entidades em relação às quais não tenham sido adotadas decisões que determinem o MREL não devem ser obrigadas a obter a autorização prévia da autoridade de r</w:t>
            </w:r>
            <w:r w:rsidRPr="00473D4F">
              <w:t>esolução para efetuar a compra, o resgate, o reembolso ou a recompra de passivos que cumpram os requisitos de elegibilidade para o MREL.</w:t>
            </w:r>
          </w:p>
        </w:tc>
        <w:tc>
          <w:tcPr>
            <w:tcW w:w="4876" w:type="dxa"/>
            <w:hideMark/>
          </w:tcPr>
          <w:p w:rsidR="00932D06" w:rsidRPr="00473D4F" w:rsidRDefault="003B3846">
            <w:pPr>
              <w:pStyle w:val="Normal6"/>
              <w:rPr>
                <w:szCs w:val="24"/>
              </w:rPr>
            </w:pPr>
            <w:r w:rsidRPr="00473D4F">
              <w:t>(9)</w:t>
            </w:r>
            <w:r w:rsidRPr="00473D4F">
              <w:tab/>
              <w:t>O principal objetivo do regime de autorização para a redução dos instrumentos de passivos elegíveis estabelecido no</w:t>
            </w:r>
            <w:r w:rsidRPr="00473D4F">
              <w:t xml:space="preserve"> artigo 77.º, n.º 2, e no artigo 78.º-A do Regulamento (UE) n.º 575/2013, que também é aplicável às instituições e entidades sujeitas ao MREL e aos passivos emitidos para cumprir o MREL, é permitir que as autoridades de resolução acompanhem as medidas que </w:t>
            </w:r>
            <w:r w:rsidRPr="00473D4F">
              <w:t xml:space="preserve">resultam numa redução da reserva de passivos elegíveis e proíbam qualquer medida que corresponda a uma redução para além do nível que as autoridades de resolução considerem adequado. Se a autoridade de resolução não tiver adotado uma decisão que determine </w:t>
            </w:r>
            <w:r w:rsidRPr="00473D4F">
              <w:t>o MREL relativamente a uma instituição ou entidade, esse objetivo não é relevante. Por conseguinte, as instituições ou entidades em relação às quais não tenham sido adotadas decisões que determinem o MREL não devem ser obrigadas a obter a autorização prévi</w:t>
            </w:r>
            <w:r w:rsidRPr="00473D4F">
              <w:t>a da autoridade de resolução para efetuar a compra, o resgate, o reembolso ou a recompra de passivos que cumpram os requisitos de elegibilidade para o MREL.</w:t>
            </w:r>
          </w:p>
        </w:tc>
      </w:tr>
    </w:tbl>
    <w:p w:rsidR="00932D06" w:rsidRPr="00473D4F" w:rsidRDefault="003B3846" w:rsidP="00932D06">
      <w:pPr>
        <w:pStyle w:val="Olang"/>
        <w:rPr>
          <w:sz w:val="24"/>
          <w:szCs w:val="24"/>
        </w:rPr>
      </w:pPr>
      <w:r w:rsidRPr="00473D4F">
        <w:rPr>
          <w:sz w:val="24"/>
          <w:szCs w:val="24"/>
        </w:rPr>
        <w:t xml:space="preserve">Or. </w:t>
      </w:r>
      <w:r w:rsidRPr="00473D4F">
        <w:rPr>
          <w:rStyle w:val="HideTWBExt"/>
        </w:rPr>
        <w:t>&lt;Original&gt;</w:t>
      </w:r>
      <w:r w:rsidRPr="00473D4F">
        <w:rPr>
          <w:rStyle w:val="HideTWBInt"/>
          <w:sz w:val="24"/>
          <w:szCs w:val="24"/>
        </w:rPr>
        <w:t>{EN}</w:t>
      </w:r>
      <w:r w:rsidRPr="00473D4F">
        <w:rPr>
          <w:sz w:val="24"/>
          <w:szCs w:val="24"/>
        </w:rPr>
        <w:t>en</w:t>
      </w:r>
      <w:r w:rsidRPr="00473D4F">
        <w:rPr>
          <w:rStyle w:val="HideTWBExt"/>
        </w:rPr>
        <w:t>&lt;/Original&gt;</w:t>
      </w:r>
    </w:p>
    <w:p w:rsidR="00932D06" w:rsidRPr="00473D4F" w:rsidRDefault="003B3846" w:rsidP="00932D06">
      <w:pPr>
        <w:rPr>
          <w:szCs w:val="24"/>
        </w:rPr>
      </w:pPr>
      <w:r w:rsidRPr="00473D4F">
        <w:rPr>
          <w:rStyle w:val="HideTWBExt"/>
        </w:rPr>
        <w:t>&lt;/Amend&gt;</w:t>
      </w:r>
    </w:p>
    <w:p w:rsidR="00932D06" w:rsidRPr="00473D4F" w:rsidRDefault="003B3846" w:rsidP="00932D06">
      <w:pPr>
        <w:pStyle w:val="AMNumberTabs0"/>
        <w:keepNext/>
      </w:pPr>
      <w:r w:rsidRPr="00473D4F">
        <w:rPr>
          <w:rStyle w:val="HideTWBExt"/>
          <w:b w:val="0"/>
        </w:rPr>
        <w:t>&lt;Amend&gt;</w:t>
      </w:r>
      <w:r w:rsidRPr="00473D4F">
        <w:t>Alteração</w:t>
      </w:r>
      <w:r w:rsidRPr="00473D4F">
        <w:tab/>
      </w:r>
      <w:r w:rsidRPr="00473D4F">
        <w:tab/>
      </w:r>
      <w:r w:rsidRPr="00473D4F">
        <w:rPr>
          <w:rStyle w:val="HideTWBExt"/>
          <w:b w:val="0"/>
        </w:rPr>
        <w:t>&lt;NumAm&gt;</w:t>
      </w:r>
      <w:r w:rsidRPr="00473D4F">
        <w:t>8</w:t>
      </w:r>
      <w:r w:rsidRPr="00473D4F">
        <w:rPr>
          <w:rStyle w:val="HideTWBExt"/>
          <w:b w:val="0"/>
        </w:rPr>
        <w:t>&lt;/NumAm&gt;</w:t>
      </w:r>
    </w:p>
    <w:p w:rsidR="00932D06" w:rsidRPr="00473D4F" w:rsidRDefault="003B3846" w:rsidP="00932D06">
      <w:pPr>
        <w:pStyle w:val="NormalBold12b"/>
        <w:keepNext/>
      </w:pPr>
      <w:r w:rsidRPr="00473D4F">
        <w:rPr>
          <w:rStyle w:val="HideTWBExt"/>
          <w:b w:val="0"/>
        </w:rPr>
        <w:t>&lt;DocAmend&gt;</w:t>
      </w:r>
      <w:r w:rsidRPr="00473D4F">
        <w:t xml:space="preserve">Proposta de </w:t>
      </w:r>
      <w:r w:rsidRPr="00473D4F">
        <w:t>diretiva</w:t>
      </w:r>
      <w:r w:rsidRPr="00473D4F">
        <w:rPr>
          <w:rStyle w:val="HideTWBExt"/>
          <w:b w:val="0"/>
        </w:rPr>
        <w:t>&lt;/DocAmend&gt;</w:t>
      </w:r>
    </w:p>
    <w:p w:rsidR="00932D06" w:rsidRPr="00473D4F" w:rsidRDefault="003B3846" w:rsidP="00932D06">
      <w:pPr>
        <w:pStyle w:val="NormalBold"/>
      </w:pPr>
      <w:r w:rsidRPr="00473D4F">
        <w:rPr>
          <w:rStyle w:val="HideTWBExt"/>
          <w:b w:val="0"/>
        </w:rPr>
        <w:t>&lt;Article&gt;</w:t>
      </w:r>
      <w:r w:rsidRPr="00473D4F">
        <w:t>Considerando 10</w:t>
      </w:r>
      <w:r w:rsidRPr="00473D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042" w:rsidRPr="00473D4F" w:rsidTr="00932D06">
        <w:trPr>
          <w:jc w:val="center"/>
        </w:trPr>
        <w:tc>
          <w:tcPr>
            <w:tcW w:w="9752" w:type="dxa"/>
            <w:gridSpan w:val="2"/>
          </w:tcPr>
          <w:p w:rsidR="00932D06" w:rsidRPr="00473D4F" w:rsidRDefault="00932D06">
            <w:pPr>
              <w:keepNext/>
            </w:pPr>
          </w:p>
        </w:tc>
      </w:tr>
      <w:tr w:rsidR="00E35042" w:rsidRPr="00473D4F" w:rsidTr="00932D06">
        <w:trPr>
          <w:jc w:val="center"/>
        </w:trPr>
        <w:tc>
          <w:tcPr>
            <w:tcW w:w="4876" w:type="dxa"/>
            <w:hideMark/>
          </w:tcPr>
          <w:p w:rsidR="00932D06" w:rsidRPr="00473D4F" w:rsidRDefault="003B3846">
            <w:pPr>
              <w:pStyle w:val="ColumnHeading"/>
              <w:keepNext/>
            </w:pPr>
            <w:r w:rsidRPr="00473D4F">
              <w:t>Texto da Comissão</w:t>
            </w:r>
          </w:p>
        </w:tc>
        <w:tc>
          <w:tcPr>
            <w:tcW w:w="4876" w:type="dxa"/>
            <w:hideMark/>
          </w:tcPr>
          <w:p w:rsidR="00932D06" w:rsidRPr="00473D4F" w:rsidRDefault="003B3846">
            <w:pPr>
              <w:pStyle w:val="ColumnHeading"/>
              <w:keepNext/>
            </w:pPr>
            <w:r w:rsidRPr="00473D4F">
              <w:t>Alteração</w:t>
            </w:r>
          </w:p>
        </w:tc>
      </w:tr>
      <w:tr w:rsidR="00E35042" w:rsidRPr="00473D4F" w:rsidTr="00932D06">
        <w:trPr>
          <w:jc w:val="center"/>
        </w:trPr>
        <w:tc>
          <w:tcPr>
            <w:tcW w:w="4876" w:type="dxa"/>
            <w:hideMark/>
          </w:tcPr>
          <w:p w:rsidR="00932D06" w:rsidRPr="00473D4F" w:rsidRDefault="003B3846">
            <w:pPr>
              <w:pStyle w:val="Normal6"/>
            </w:pPr>
            <w:r w:rsidRPr="00473D4F">
              <w:t>(10)</w:t>
            </w:r>
            <w:r w:rsidRPr="00473D4F">
              <w:tab/>
              <w:t xml:space="preserve">Existem entidades de liquidação para as quais o MREL </w:t>
            </w:r>
            <w:r w:rsidRPr="00473D4F">
              <w:rPr>
                <w:b/>
                <w:bCs/>
                <w:i/>
                <w:iCs/>
              </w:rPr>
              <w:t>excede o montante dos requisitos de fundos próprios, caso em que as autoridades de resolução devem poder fixar o</w:t>
            </w:r>
            <w:r w:rsidRPr="00473D4F">
              <w:rPr>
                <w:b/>
                <w:bCs/>
                <w:i/>
                <w:iCs/>
              </w:rPr>
              <w:t xml:space="preserve"> MREL</w:t>
            </w:r>
            <w:r w:rsidRPr="00473D4F">
              <w:t>.</w:t>
            </w:r>
            <w:r w:rsidRPr="00473D4F">
              <w:rPr>
                <w:b/>
                <w:i/>
              </w:rPr>
              <w:t xml:space="preserve"> </w:t>
            </w:r>
            <w:r w:rsidRPr="00473D4F">
              <w:rPr>
                <w:b/>
                <w:bCs/>
                <w:i/>
                <w:iCs/>
              </w:rPr>
              <w:t>Esse MREL deve ser fixado num montante superior ao</w:t>
            </w:r>
            <w:r w:rsidRPr="00473D4F">
              <w:t xml:space="preserve"> </w:t>
            </w:r>
            <w:r w:rsidRPr="00473D4F">
              <w:rPr>
                <w:b/>
                <w:bCs/>
                <w:i/>
                <w:iCs/>
              </w:rPr>
              <w:t>montante para a absorção das perdas,</w:t>
            </w:r>
            <w:r w:rsidRPr="00473D4F">
              <w:t xml:space="preserve"> caso as autoridades de resolução considerem que esse montante é necessário para proteger a estabilidade financeira ou fazer face ao risco de contágio do sistema </w:t>
            </w:r>
            <w:r w:rsidRPr="00473D4F">
              <w:t>financeiro. Nessas situações, a entidade de liquidação deve cumprir o MREL e não deve ficar isenta do regime de autorização prévia estabelecido no artigo 77.º, n.º 2, e no artigo 78.º-A do Regulamento (UE) n.º 575/2013. Quaisquer entidades intermédias pert</w:t>
            </w:r>
            <w:r w:rsidRPr="00473D4F">
              <w:t>encentes ao mesmo grupo de resolução que a entidade de liquidação em causa devem continuar a ser obrigadas a deduzir da sua capacidade de MREL interno as suas participações em recursos elegíveis para o MREL interno emitidos por essa entidade de liquidação.</w:t>
            </w:r>
            <w:r w:rsidRPr="00473D4F">
              <w:t xml:space="preserve"> Além disso, uma vez que os processos de liquidação ocorrem ao nível da entidade jurídica, as entidades de liquidação ainda sujeitas ao MREL devem cumprir o requisito apenas em base individual. Por último, determinados requisitos de elegibilidade relaciona</w:t>
            </w:r>
            <w:r w:rsidRPr="00473D4F">
              <w:t xml:space="preserve">dos com a propriedade do passivo em causa não são relevantes, uma vez que não </w:t>
            </w:r>
            <w:r w:rsidRPr="00473D4F">
              <w:rPr>
                <w:b/>
                <w:bCs/>
                <w:i/>
                <w:iCs/>
              </w:rPr>
              <w:t>é</w:t>
            </w:r>
            <w:r w:rsidRPr="00473D4F">
              <w:t xml:space="preserve"> necessário </w:t>
            </w:r>
            <w:r w:rsidRPr="00473D4F">
              <w:rPr>
                <w:b/>
                <w:bCs/>
                <w:i/>
                <w:iCs/>
              </w:rPr>
              <w:t>assegurar a transferência de perdas e de capital da entidade de liquidação para uma</w:t>
            </w:r>
            <w:r w:rsidRPr="00473D4F">
              <w:t xml:space="preserve"> entidade de resolução, pelo que não devem ser aplicáveis.</w:t>
            </w:r>
          </w:p>
        </w:tc>
        <w:tc>
          <w:tcPr>
            <w:tcW w:w="4876" w:type="dxa"/>
            <w:hideMark/>
          </w:tcPr>
          <w:p w:rsidR="00932D06" w:rsidRPr="00473D4F" w:rsidRDefault="003B3846" w:rsidP="000A7B09">
            <w:pPr>
              <w:pStyle w:val="Normal6"/>
              <w:rPr>
                <w:szCs w:val="24"/>
              </w:rPr>
            </w:pPr>
            <w:r w:rsidRPr="00473D4F">
              <w:t>(10)</w:t>
            </w:r>
            <w:r w:rsidRPr="00473D4F">
              <w:tab/>
              <w:t xml:space="preserve">Existem entidades </w:t>
            </w:r>
            <w:r w:rsidRPr="00473D4F">
              <w:t xml:space="preserve">de liquidação para as quais o MREL </w:t>
            </w:r>
            <w:r w:rsidRPr="00473D4F">
              <w:rPr>
                <w:b/>
                <w:bCs/>
                <w:i/>
                <w:iCs/>
              </w:rPr>
              <w:t>deve exceder o</w:t>
            </w:r>
            <w:r w:rsidRPr="00473D4F">
              <w:t xml:space="preserve"> montante para a absorção de perdas.</w:t>
            </w:r>
            <w:r w:rsidRPr="00473D4F">
              <w:rPr>
                <w:b/>
                <w:i/>
              </w:rPr>
              <w:t xml:space="preserve"> </w:t>
            </w:r>
            <w:r w:rsidRPr="00473D4F">
              <w:rPr>
                <w:b/>
                <w:bCs/>
                <w:i/>
                <w:iCs/>
              </w:rPr>
              <w:t>Tal verifica-se caso</w:t>
            </w:r>
            <w:r w:rsidRPr="00473D4F">
              <w:t xml:space="preserve"> as autoridades de resolução considerem que esse montante </w:t>
            </w:r>
            <w:r w:rsidRPr="00473D4F">
              <w:rPr>
                <w:b/>
                <w:bCs/>
                <w:i/>
                <w:iCs/>
              </w:rPr>
              <w:t>superior</w:t>
            </w:r>
            <w:r w:rsidRPr="00473D4F">
              <w:t xml:space="preserve"> é necessário para proteger a estabilidade financeira ou fazer face ao risco de cont</w:t>
            </w:r>
            <w:r w:rsidRPr="00473D4F">
              <w:t xml:space="preserve">ágio do sistema financeiro. Nessas situações, </w:t>
            </w:r>
            <w:r w:rsidRPr="00473D4F">
              <w:rPr>
                <w:b/>
                <w:bCs/>
                <w:i/>
                <w:iCs/>
              </w:rPr>
              <w:t>as autoridades de resolução devem determinar um MREL para a entidade de liquidação que consista num montante suficiente para absorver as perdas, acrescido do montante necessário para dar uma resposta adequada a</w:t>
            </w:r>
            <w:r w:rsidRPr="00473D4F">
              <w:rPr>
                <w:b/>
                <w:bCs/>
                <w:i/>
                <w:iCs/>
              </w:rPr>
              <w:t>os potenciais riscos identificados pelas autoridades de resolução.</w:t>
            </w:r>
            <w:r w:rsidRPr="00473D4F">
              <w:t xml:space="preserve"> A entidade de liquidação deve cumprir o MREL e não deve ficar isenta do regime de autorização prévia estabelecido no artigo 77.º, n.º 2, e no artigo 78.º-A do Regulamento (UE) n.º 575/2013.</w:t>
            </w:r>
            <w:r w:rsidRPr="00473D4F">
              <w:t xml:space="preserve"> Quaisquer entidades intermédias pertencentes ao mesmo grupo de resolução que a entidade de liquidação em causa devem continuar a ser obrigadas a deduzir da sua capacidade de MREL interno as suas participações em recursos elegíveis para o MREL interno emit</w:t>
            </w:r>
            <w:r w:rsidRPr="00473D4F">
              <w:t xml:space="preserve">idos por essa entidade de liquidação. Além disso, uma vez que os processos de liquidação ocorrem ao nível da entidade jurídica, as entidades de liquidação ainda sujeitas ao MREL devem cumprir o requisito apenas em base individual. Por último, determinados </w:t>
            </w:r>
            <w:r w:rsidRPr="00473D4F">
              <w:t xml:space="preserve">requisitos de elegibilidade relacionados com a propriedade do passivo em causa não são relevantes, uma vez que, </w:t>
            </w:r>
            <w:r w:rsidRPr="00473D4F">
              <w:rPr>
                <w:b/>
                <w:bCs/>
                <w:i/>
                <w:iCs/>
              </w:rPr>
              <w:t>sem o exercício dos poderes de redução e de conversão,</w:t>
            </w:r>
            <w:r w:rsidRPr="00473D4F">
              <w:t xml:space="preserve"> não </w:t>
            </w:r>
            <w:r w:rsidRPr="00473D4F">
              <w:rPr>
                <w:b/>
                <w:bCs/>
                <w:i/>
                <w:iCs/>
              </w:rPr>
              <w:t>seria</w:t>
            </w:r>
            <w:r w:rsidRPr="00473D4F">
              <w:t xml:space="preserve"> necessário </w:t>
            </w:r>
            <w:r w:rsidRPr="00473D4F">
              <w:rPr>
                <w:b/>
                <w:bCs/>
                <w:i/>
                <w:iCs/>
              </w:rPr>
              <w:t>manter o controlo da filial por parte da</w:t>
            </w:r>
            <w:r w:rsidRPr="00473D4F">
              <w:t xml:space="preserve"> entidade de resolução, pelo</w:t>
            </w:r>
            <w:r w:rsidRPr="00473D4F">
              <w:t xml:space="preserve"> que não devem ser aplicáveis.</w:t>
            </w:r>
          </w:p>
        </w:tc>
      </w:tr>
    </w:tbl>
    <w:p w:rsidR="00932D06" w:rsidRPr="00473D4F" w:rsidRDefault="003B3846" w:rsidP="00932D06">
      <w:pPr>
        <w:pStyle w:val="Olang"/>
        <w:rPr>
          <w:sz w:val="24"/>
          <w:szCs w:val="24"/>
        </w:rPr>
      </w:pPr>
      <w:r w:rsidRPr="00473D4F">
        <w:rPr>
          <w:sz w:val="24"/>
          <w:szCs w:val="24"/>
        </w:rPr>
        <w:t xml:space="preserve">Or. </w:t>
      </w:r>
      <w:r w:rsidRPr="00473D4F">
        <w:rPr>
          <w:rStyle w:val="HideTWBExt"/>
        </w:rPr>
        <w:t>&lt;Original&gt;</w:t>
      </w:r>
      <w:r w:rsidRPr="00473D4F">
        <w:rPr>
          <w:rStyle w:val="HideTWBInt"/>
          <w:sz w:val="24"/>
          <w:szCs w:val="24"/>
        </w:rPr>
        <w:t>{EN}</w:t>
      </w:r>
      <w:r w:rsidRPr="00473D4F">
        <w:rPr>
          <w:sz w:val="24"/>
          <w:szCs w:val="24"/>
        </w:rPr>
        <w:t>en</w:t>
      </w:r>
      <w:r w:rsidRPr="00473D4F">
        <w:rPr>
          <w:rStyle w:val="HideTWBExt"/>
        </w:rPr>
        <w:t>&lt;/Original&gt;</w:t>
      </w:r>
    </w:p>
    <w:p w:rsidR="00932D06" w:rsidRPr="00473D4F" w:rsidRDefault="003B3846" w:rsidP="00932D06">
      <w:pPr>
        <w:rPr>
          <w:szCs w:val="24"/>
        </w:rPr>
      </w:pPr>
      <w:r w:rsidRPr="00473D4F">
        <w:rPr>
          <w:rStyle w:val="HideTWBExt"/>
        </w:rPr>
        <w:t>&lt;/Amend&gt;</w:t>
      </w:r>
    </w:p>
    <w:p w:rsidR="00932D06" w:rsidRPr="00473D4F" w:rsidRDefault="003B3846" w:rsidP="00932D06">
      <w:pPr>
        <w:pStyle w:val="AMNumberTabs0"/>
        <w:keepNext/>
      </w:pPr>
      <w:r w:rsidRPr="00473D4F">
        <w:rPr>
          <w:rStyle w:val="HideTWBExt"/>
          <w:b w:val="0"/>
        </w:rPr>
        <w:t>&lt;Amend&gt;</w:t>
      </w:r>
      <w:r w:rsidRPr="00473D4F">
        <w:t>Alteração</w:t>
      </w:r>
      <w:r w:rsidRPr="00473D4F">
        <w:tab/>
      </w:r>
      <w:r w:rsidRPr="00473D4F">
        <w:tab/>
      </w:r>
      <w:r w:rsidRPr="00473D4F">
        <w:rPr>
          <w:rStyle w:val="HideTWBExt"/>
          <w:b w:val="0"/>
        </w:rPr>
        <w:t>&lt;NumAm&gt;</w:t>
      </w:r>
      <w:r w:rsidRPr="00473D4F">
        <w:t>9</w:t>
      </w:r>
      <w:r w:rsidRPr="00473D4F">
        <w:rPr>
          <w:rStyle w:val="HideTWBExt"/>
          <w:b w:val="0"/>
        </w:rPr>
        <w:t>&lt;/NumAm&gt;</w:t>
      </w:r>
    </w:p>
    <w:p w:rsidR="00932D06" w:rsidRPr="00473D4F" w:rsidRDefault="003B3846" w:rsidP="00932D06">
      <w:pPr>
        <w:pStyle w:val="NormalBold12b"/>
        <w:keepNext/>
      </w:pPr>
      <w:r w:rsidRPr="00473D4F">
        <w:rPr>
          <w:rStyle w:val="HideTWBExt"/>
          <w:b w:val="0"/>
        </w:rPr>
        <w:t>&lt;DocAmend&gt;</w:t>
      </w:r>
      <w:r w:rsidRPr="00473D4F">
        <w:t>Proposta de diretiva</w:t>
      </w:r>
      <w:r w:rsidRPr="00473D4F">
        <w:rPr>
          <w:rStyle w:val="HideTWBExt"/>
          <w:b w:val="0"/>
        </w:rPr>
        <w:t>&lt;/DocAmend&gt;</w:t>
      </w:r>
    </w:p>
    <w:p w:rsidR="00932D06" w:rsidRPr="00473D4F" w:rsidRDefault="003B3846" w:rsidP="00932D06">
      <w:pPr>
        <w:pStyle w:val="NormalBold"/>
      </w:pPr>
      <w:r w:rsidRPr="00473D4F">
        <w:rPr>
          <w:rStyle w:val="HideTWBExt"/>
          <w:b w:val="0"/>
        </w:rPr>
        <w:t>&lt;Article&gt;</w:t>
      </w:r>
      <w:r w:rsidRPr="00473D4F">
        <w:t>Considerando 14</w:t>
      </w:r>
      <w:r w:rsidRPr="00473D4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042" w:rsidRPr="00473D4F" w:rsidTr="00932D06">
        <w:trPr>
          <w:jc w:val="center"/>
        </w:trPr>
        <w:tc>
          <w:tcPr>
            <w:tcW w:w="9752" w:type="dxa"/>
            <w:gridSpan w:val="2"/>
          </w:tcPr>
          <w:p w:rsidR="00932D06" w:rsidRPr="00473D4F" w:rsidRDefault="00932D06">
            <w:pPr>
              <w:keepNext/>
            </w:pPr>
          </w:p>
        </w:tc>
      </w:tr>
      <w:tr w:rsidR="00E35042" w:rsidRPr="00473D4F" w:rsidTr="00932D06">
        <w:trPr>
          <w:jc w:val="center"/>
        </w:trPr>
        <w:tc>
          <w:tcPr>
            <w:tcW w:w="4876" w:type="dxa"/>
            <w:hideMark/>
          </w:tcPr>
          <w:p w:rsidR="00932D06" w:rsidRPr="00473D4F" w:rsidRDefault="003B3846">
            <w:pPr>
              <w:pStyle w:val="ColumnHeading"/>
              <w:keepNext/>
            </w:pPr>
            <w:r w:rsidRPr="00473D4F">
              <w:t>Texto da Comissão</w:t>
            </w:r>
          </w:p>
        </w:tc>
        <w:tc>
          <w:tcPr>
            <w:tcW w:w="4876" w:type="dxa"/>
            <w:hideMark/>
          </w:tcPr>
          <w:p w:rsidR="00932D06" w:rsidRPr="00473D4F" w:rsidRDefault="003B3846">
            <w:pPr>
              <w:pStyle w:val="ColumnHeading"/>
              <w:keepNext/>
            </w:pPr>
            <w:r w:rsidRPr="00473D4F">
              <w:t>Alteração</w:t>
            </w:r>
          </w:p>
        </w:tc>
      </w:tr>
      <w:tr w:rsidR="00E35042" w:rsidRPr="00473D4F" w:rsidTr="00932D06">
        <w:trPr>
          <w:jc w:val="center"/>
        </w:trPr>
        <w:tc>
          <w:tcPr>
            <w:tcW w:w="4876" w:type="dxa"/>
            <w:hideMark/>
          </w:tcPr>
          <w:p w:rsidR="00932D06" w:rsidRPr="00473D4F" w:rsidRDefault="003B3846">
            <w:pPr>
              <w:pStyle w:val="Normal6"/>
            </w:pPr>
            <w:r w:rsidRPr="00473D4F">
              <w:t>(14)</w:t>
            </w:r>
            <w:r w:rsidRPr="00473D4F">
              <w:tab/>
            </w:r>
            <w:r w:rsidRPr="00473D4F">
              <w:t xml:space="preserve">Atendendo a que os objetivos da presente diretiva, a saber, ajustar o tratamento das entidades de liquidação ao abrigo do quadro MREL e </w:t>
            </w:r>
            <w:r w:rsidRPr="00473D4F">
              <w:rPr>
                <w:b/>
                <w:bCs/>
                <w:i/>
                <w:iCs/>
              </w:rPr>
              <w:t>as possibilidades de cumprimento do</w:t>
            </w:r>
            <w:r w:rsidRPr="00473D4F">
              <w:t xml:space="preserve"> MREL interno em base consolidada, não podem ser suficientemente alcançados pelos Est</w:t>
            </w:r>
            <w:r w:rsidRPr="00473D4F">
              <w:t>ados-Membros, mas podem, alterando regras já estabelecidas a nível da União, ser mais bem alcançados ao nível da União, esta pode tomar medidas em conformidade com o princípio da subsidiariedade consagrado no artigo 5.º do Tratado da União Europeia. Em con</w:t>
            </w:r>
            <w:r w:rsidRPr="00473D4F">
              <w:t>formidade com o princípio da proporcionalidade consagrado no mesmo artigo, a presente diretiva não excede o necessário para alcançar esses objetivos,</w:t>
            </w:r>
          </w:p>
        </w:tc>
        <w:tc>
          <w:tcPr>
            <w:tcW w:w="4876" w:type="dxa"/>
            <w:hideMark/>
          </w:tcPr>
          <w:p w:rsidR="00932D06" w:rsidRPr="00473D4F" w:rsidRDefault="003B3846">
            <w:pPr>
              <w:pStyle w:val="Normal6"/>
              <w:rPr>
                <w:szCs w:val="24"/>
              </w:rPr>
            </w:pPr>
            <w:r w:rsidRPr="00473D4F">
              <w:t>(14)</w:t>
            </w:r>
            <w:r w:rsidRPr="00473D4F">
              <w:tab/>
              <w:t>Atendendo a que os objetivos da presente diretiva, a saber, ajustar o tratamento das entidades de liq</w:t>
            </w:r>
            <w:r w:rsidRPr="00473D4F">
              <w:t xml:space="preserve">uidação ao abrigo do quadro MREL e </w:t>
            </w:r>
            <w:r w:rsidRPr="00473D4F">
              <w:rPr>
                <w:b/>
                <w:bCs/>
                <w:i/>
                <w:iCs/>
              </w:rPr>
              <w:t>a possibilidade de as entidades de resolução determinarem o</w:t>
            </w:r>
            <w:r w:rsidRPr="00473D4F">
              <w:t xml:space="preserve"> MREL interno em base consolidada, não podem ser suficientemente alcançados pelos Estados-Membros, mas podem, alterando regras já estabelecidas a nível da União, </w:t>
            </w:r>
            <w:r w:rsidRPr="00473D4F">
              <w:t xml:space="preserve">ser mais bem alcançados ao nível da União, esta pode tomar medidas em conformidade com o princípio da subsidiariedade consagrado no artigo 5.º do Tratado da União Europeia. Em conformidade com o princípio da proporcionalidade consagrado no mesmo artigo, a </w:t>
            </w:r>
            <w:r w:rsidRPr="00473D4F">
              <w:t>presente diretiva não excede o necessário para alcançar esses objetivos,</w:t>
            </w:r>
          </w:p>
        </w:tc>
      </w:tr>
    </w:tbl>
    <w:p w:rsidR="00932D06" w:rsidRPr="00473D4F" w:rsidRDefault="003B3846" w:rsidP="00932D06">
      <w:pPr>
        <w:pStyle w:val="Olang"/>
        <w:rPr>
          <w:sz w:val="24"/>
          <w:szCs w:val="24"/>
        </w:rPr>
      </w:pPr>
      <w:r w:rsidRPr="00473D4F">
        <w:rPr>
          <w:sz w:val="24"/>
          <w:szCs w:val="24"/>
        </w:rPr>
        <w:t xml:space="preserve">Or. </w:t>
      </w:r>
      <w:r w:rsidRPr="00473D4F">
        <w:rPr>
          <w:rStyle w:val="HideTWBExt"/>
        </w:rPr>
        <w:t>&lt;Original&gt;</w:t>
      </w:r>
      <w:r w:rsidRPr="00473D4F">
        <w:rPr>
          <w:rStyle w:val="HideTWBInt"/>
          <w:sz w:val="24"/>
          <w:szCs w:val="24"/>
        </w:rPr>
        <w:t>{EN}</w:t>
      </w:r>
      <w:r w:rsidRPr="00473D4F">
        <w:rPr>
          <w:sz w:val="24"/>
          <w:szCs w:val="24"/>
        </w:rPr>
        <w:t>en</w:t>
      </w:r>
      <w:r w:rsidRPr="00473D4F">
        <w:rPr>
          <w:rStyle w:val="HideTWBExt"/>
        </w:rPr>
        <w:t>&lt;/Original&gt;</w:t>
      </w:r>
    </w:p>
    <w:p w:rsidR="00932D06" w:rsidRPr="00473D4F" w:rsidRDefault="003B3846" w:rsidP="00932D06">
      <w:pPr>
        <w:rPr>
          <w:szCs w:val="24"/>
        </w:rPr>
      </w:pPr>
      <w:r w:rsidRPr="00473D4F">
        <w:rPr>
          <w:rStyle w:val="HideTWBExt"/>
        </w:rPr>
        <w:t>&lt;/Amend&gt;</w:t>
      </w:r>
    </w:p>
    <w:p w:rsidR="00932D06" w:rsidRPr="00473D4F" w:rsidRDefault="003B3846" w:rsidP="00932D06">
      <w:pPr>
        <w:pStyle w:val="AMNumberTabs0"/>
        <w:keepNext/>
      </w:pPr>
      <w:r w:rsidRPr="00473D4F">
        <w:rPr>
          <w:rStyle w:val="HideTWBExt"/>
          <w:b w:val="0"/>
        </w:rPr>
        <w:t>&lt;Amend&gt;</w:t>
      </w:r>
      <w:r w:rsidRPr="00473D4F">
        <w:t>Alteração</w:t>
      </w:r>
      <w:r w:rsidRPr="00473D4F">
        <w:tab/>
      </w:r>
      <w:r w:rsidRPr="00473D4F">
        <w:tab/>
      </w:r>
      <w:r w:rsidRPr="00473D4F">
        <w:rPr>
          <w:rStyle w:val="HideTWBExt"/>
          <w:b w:val="0"/>
        </w:rPr>
        <w:t>&lt;NumAm&gt;</w:t>
      </w:r>
      <w:r w:rsidRPr="00473D4F">
        <w:t>10</w:t>
      </w:r>
      <w:r w:rsidRPr="00473D4F">
        <w:rPr>
          <w:rStyle w:val="HideTWBExt"/>
          <w:b w:val="0"/>
        </w:rPr>
        <w:t>&lt;/NumAm&gt;</w:t>
      </w:r>
    </w:p>
    <w:p w:rsidR="00932D06" w:rsidRPr="00473D4F" w:rsidRDefault="003B3846" w:rsidP="00932D06">
      <w:pPr>
        <w:pStyle w:val="NormalBold12b"/>
        <w:keepNext/>
      </w:pPr>
      <w:r w:rsidRPr="00473D4F">
        <w:rPr>
          <w:rStyle w:val="HideTWBExt"/>
          <w:b w:val="0"/>
        </w:rPr>
        <w:t>&lt;DocAmend&gt;</w:t>
      </w:r>
      <w:r w:rsidRPr="00473D4F">
        <w:t>Proposta de diretiva</w:t>
      </w:r>
      <w:r w:rsidRPr="00473D4F">
        <w:rPr>
          <w:rStyle w:val="HideTWBExt"/>
          <w:b w:val="0"/>
        </w:rPr>
        <w:t>&lt;/DocAmend&gt;</w:t>
      </w:r>
    </w:p>
    <w:p w:rsidR="00932D06" w:rsidRPr="00473D4F" w:rsidRDefault="003B3846" w:rsidP="00932D06">
      <w:pPr>
        <w:pStyle w:val="NormalBold"/>
      </w:pPr>
      <w:r w:rsidRPr="00473D4F">
        <w:rPr>
          <w:rStyle w:val="HideTWBExt"/>
          <w:b w:val="0"/>
        </w:rPr>
        <w:t>&lt;Article&gt;</w:t>
      </w:r>
      <w:r w:rsidRPr="00473D4F">
        <w:t>Artigo 1 – parágrafo 1 – ponto 1</w:t>
      </w:r>
      <w:r w:rsidRPr="00473D4F">
        <w:rPr>
          <w:rStyle w:val="HideTWBExt"/>
          <w:b w:val="0"/>
        </w:rPr>
        <w:t>&lt;/Article&gt;</w:t>
      </w:r>
    </w:p>
    <w:p w:rsidR="00932D06" w:rsidRPr="00473D4F" w:rsidRDefault="003B3846" w:rsidP="00932D06">
      <w:pPr>
        <w:keepNext/>
      </w:pPr>
      <w:r w:rsidRPr="00473D4F">
        <w:rPr>
          <w:rStyle w:val="HideTWBExt"/>
        </w:rPr>
        <w:t>&lt;DocAmend2&gt;</w:t>
      </w:r>
      <w:r w:rsidRPr="00473D4F">
        <w:t>Diretiva 2014/59/UE</w:t>
      </w:r>
      <w:r w:rsidRPr="00473D4F">
        <w:rPr>
          <w:rStyle w:val="HideTWBExt"/>
        </w:rPr>
        <w:t>&lt;/DocAmend2&gt;</w:t>
      </w:r>
    </w:p>
    <w:p w:rsidR="00932D06" w:rsidRPr="00473D4F" w:rsidRDefault="003B3846" w:rsidP="00932D06">
      <w:r w:rsidRPr="00473D4F">
        <w:rPr>
          <w:rStyle w:val="HideTWBExt"/>
        </w:rPr>
        <w:t>&lt;Article2&gt;</w:t>
      </w:r>
      <w:r w:rsidRPr="00473D4F">
        <w:t>Artigo 2 – n.º 1 – ponto 83-AA</w:t>
      </w:r>
      <w:r w:rsidRPr="00473D4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042" w:rsidRPr="00473D4F" w:rsidTr="00932D06">
        <w:trPr>
          <w:jc w:val="center"/>
        </w:trPr>
        <w:tc>
          <w:tcPr>
            <w:tcW w:w="9752" w:type="dxa"/>
            <w:gridSpan w:val="2"/>
          </w:tcPr>
          <w:p w:rsidR="00932D06" w:rsidRPr="00473D4F" w:rsidRDefault="00932D06">
            <w:pPr>
              <w:keepNext/>
            </w:pPr>
          </w:p>
        </w:tc>
      </w:tr>
      <w:tr w:rsidR="00E35042" w:rsidRPr="00473D4F" w:rsidTr="00932D06">
        <w:trPr>
          <w:jc w:val="center"/>
        </w:trPr>
        <w:tc>
          <w:tcPr>
            <w:tcW w:w="4876" w:type="dxa"/>
            <w:hideMark/>
          </w:tcPr>
          <w:p w:rsidR="00932D06" w:rsidRPr="00473D4F" w:rsidRDefault="003B3846">
            <w:pPr>
              <w:pStyle w:val="ColumnHeading"/>
              <w:keepNext/>
            </w:pPr>
            <w:r w:rsidRPr="00473D4F">
              <w:t>Texto da Comissão</w:t>
            </w:r>
          </w:p>
        </w:tc>
        <w:tc>
          <w:tcPr>
            <w:tcW w:w="4876" w:type="dxa"/>
            <w:hideMark/>
          </w:tcPr>
          <w:p w:rsidR="00932D06" w:rsidRPr="00473D4F" w:rsidRDefault="003B3846">
            <w:pPr>
              <w:pStyle w:val="ColumnHeading"/>
              <w:keepNext/>
            </w:pPr>
            <w:r w:rsidRPr="00473D4F">
              <w:t>Alteração</w:t>
            </w:r>
          </w:p>
        </w:tc>
      </w:tr>
      <w:tr w:rsidR="00E35042" w:rsidRPr="00473D4F" w:rsidTr="00932D06">
        <w:trPr>
          <w:jc w:val="center"/>
        </w:trPr>
        <w:tc>
          <w:tcPr>
            <w:tcW w:w="4876" w:type="dxa"/>
            <w:hideMark/>
          </w:tcPr>
          <w:p w:rsidR="00932D06" w:rsidRPr="00473D4F" w:rsidRDefault="003B3846">
            <w:pPr>
              <w:pStyle w:val="Normal6"/>
            </w:pPr>
            <w:r w:rsidRPr="00473D4F">
              <w:t>«(83-AA)</w:t>
            </w:r>
            <w:r w:rsidRPr="00473D4F">
              <w:tab/>
            </w:r>
            <w:r w:rsidRPr="00473D4F">
              <w:t xml:space="preserve"> “Entidade de liquidação”, uma pessoa coletiva estabelecida na União em relação à qual o plano de resolução do grupo ou, no caso de entidades que não fazem parte de um grupo, o plano de resolução prevê que a entidade seja liquidada </w:t>
            </w:r>
            <w:r w:rsidRPr="00473D4F">
              <w:rPr>
                <w:b/>
                <w:bCs/>
                <w:i/>
                <w:iCs/>
              </w:rPr>
              <w:t>de forma ordenada, em co</w:t>
            </w:r>
            <w:r w:rsidRPr="00473D4F">
              <w:rPr>
                <w:b/>
                <w:bCs/>
                <w:i/>
                <w:iCs/>
              </w:rPr>
              <w:t>nformidade com o direito nacional aplicável</w:t>
            </w:r>
            <w:r w:rsidRPr="00473D4F">
              <w:t>;</w:t>
            </w:r>
          </w:p>
        </w:tc>
        <w:tc>
          <w:tcPr>
            <w:tcW w:w="4876" w:type="dxa"/>
            <w:hideMark/>
          </w:tcPr>
          <w:p w:rsidR="00932D06" w:rsidRPr="00473D4F" w:rsidRDefault="003B3846" w:rsidP="000A7B09">
            <w:pPr>
              <w:pStyle w:val="Normal6"/>
              <w:rPr>
                <w:szCs w:val="24"/>
              </w:rPr>
            </w:pPr>
            <w:r w:rsidRPr="00473D4F">
              <w:t>«(83-AA)</w:t>
            </w:r>
            <w:r w:rsidRPr="00473D4F">
              <w:tab/>
              <w:t>“Entidade de liquidação”, uma pessoa coletiva estabelecida na União em relação à qual o plano de resolução do grupo ou, no caso de entidades que não fazem parte de um grupo, o plano de resolução prevê q</w:t>
            </w:r>
            <w:r w:rsidRPr="00473D4F">
              <w:t xml:space="preserve">ue a entidade seja liquidada </w:t>
            </w:r>
            <w:r w:rsidRPr="00473D4F">
              <w:rPr>
                <w:b/>
                <w:bCs/>
                <w:i/>
                <w:iCs/>
              </w:rPr>
              <w:t>ao abrigo de processos normais de insolvência ou não prevê o exercício de poderes de redução e de conversão relativamente a essa entidade</w:t>
            </w:r>
            <w:r w:rsidRPr="00473D4F">
              <w:t>;</w:t>
            </w:r>
          </w:p>
        </w:tc>
      </w:tr>
    </w:tbl>
    <w:p w:rsidR="00932D06" w:rsidRPr="00473D4F" w:rsidRDefault="003B3846" w:rsidP="00932D06">
      <w:pPr>
        <w:pStyle w:val="Olang"/>
        <w:rPr>
          <w:sz w:val="24"/>
          <w:szCs w:val="24"/>
        </w:rPr>
      </w:pPr>
      <w:r w:rsidRPr="00473D4F">
        <w:rPr>
          <w:sz w:val="24"/>
          <w:szCs w:val="24"/>
        </w:rPr>
        <w:t xml:space="preserve">Or. </w:t>
      </w:r>
      <w:r w:rsidRPr="00473D4F">
        <w:rPr>
          <w:rStyle w:val="HideTWBExt"/>
        </w:rPr>
        <w:t>&lt;Original&gt;</w:t>
      </w:r>
      <w:r w:rsidRPr="00473D4F">
        <w:rPr>
          <w:rStyle w:val="HideTWBInt"/>
          <w:sz w:val="24"/>
          <w:szCs w:val="24"/>
        </w:rPr>
        <w:t>{EN}</w:t>
      </w:r>
      <w:r w:rsidRPr="00473D4F">
        <w:rPr>
          <w:sz w:val="24"/>
          <w:szCs w:val="24"/>
        </w:rPr>
        <w:t>en</w:t>
      </w:r>
      <w:r w:rsidRPr="00473D4F">
        <w:rPr>
          <w:rStyle w:val="HideTWBExt"/>
        </w:rPr>
        <w:t>&lt;/Original&gt;</w:t>
      </w:r>
    </w:p>
    <w:p w:rsidR="00932D06" w:rsidRPr="00473D4F" w:rsidRDefault="003B3846" w:rsidP="00932D06">
      <w:pPr>
        <w:rPr>
          <w:szCs w:val="24"/>
        </w:rPr>
      </w:pPr>
      <w:r w:rsidRPr="00473D4F">
        <w:rPr>
          <w:rStyle w:val="HideTWBExt"/>
        </w:rPr>
        <w:t>&lt;/Amend&gt;</w:t>
      </w:r>
    </w:p>
    <w:p w:rsidR="00932D06" w:rsidRPr="00473D4F" w:rsidRDefault="003B3846" w:rsidP="00932D06">
      <w:pPr>
        <w:pStyle w:val="AMNumberTabs0"/>
        <w:keepNext/>
      </w:pPr>
      <w:r w:rsidRPr="00473D4F">
        <w:rPr>
          <w:rStyle w:val="HideTWBExt"/>
          <w:b w:val="0"/>
        </w:rPr>
        <w:t>&lt;Amend&gt;</w:t>
      </w:r>
      <w:r w:rsidRPr="00473D4F">
        <w:t>Alteração</w:t>
      </w:r>
      <w:r w:rsidRPr="00473D4F">
        <w:tab/>
      </w:r>
      <w:r w:rsidRPr="00473D4F">
        <w:tab/>
      </w:r>
      <w:r w:rsidRPr="00473D4F">
        <w:rPr>
          <w:rStyle w:val="HideTWBExt"/>
          <w:b w:val="0"/>
        </w:rPr>
        <w:t>&lt;NumAm&gt;</w:t>
      </w:r>
      <w:r w:rsidRPr="00473D4F">
        <w:t>11</w:t>
      </w:r>
      <w:r w:rsidRPr="00473D4F">
        <w:rPr>
          <w:rStyle w:val="HideTWBExt"/>
          <w:b w:val="0"/>
        </w:rPr>
        <w:t>&lt;/NumAm&gt;</w:t>
      </w:r>
    </w:p>
    <w:p w:rsidR="00932D06" w:rsidRPr="00473D4F" w:rsidRDefault="003B3846" w:rsidP="00932D06">
      <w:pPr>
        <w:pStyle w:val="NormalBold12b"/>
        <w:keepNext/>
      </w:pPr>
      <w:r w:rsidRPr="00473D4F">
        <w:rPr>
          <w:rStyle w:val="HideTWBExt"/>
          <w:b w:val="0"/>
        </w:rPr>
        <w:t>&lt;DocAmend&gt;</w:t>
      </w:r>
      <w:r w:rsidRPr="00473D4F">
        <w:t>Proposta de diretiva</w:t>
      </w:r>
      <w:r w:rsidRPr="00473D4F">
        <w:rPr>
          <w:rStyle w:val="HideTWBExt"/>
          <w:b w:val="0"/>
        </w:rPr>
        <w:t>&lt;/DocAmend&gt;</w:t>
      </w:r>
    </w:p>
    <w:p w:rsidR="00932D06" w:rsidRPr="00473D4F" w:rsidRDefault="003B3846" w:rsidP="00932D06">
      <w:pPr>
        <w:pStyle w:val="NormalBold"/>
      </w:pPr>
      <w:r w:rsidRPr="00473D4F">
        <w:rPr>
          <w:rStyle w:val="HideTWBExt"/>
          <w:b w:val="0"/>
        </w:rPr>
        <w:t>&lt;Article&gt;</w:t>
      </w:r>
      <w:r w:rsidRPr="00473D4F">
        <w:t>Artigo 1 – parágrafo 1 – ponto 2 – alínea b)</w:t>
      </w:r>
      <w:r w:rsidRPr="00473D4F">
        <w:rPr>
          <w:rStyle w:val="HideTWBExt"/>
          <w:b w:val="0"/>
        </w:rPr>
        <w:t>&lt;/Article&gt;</w:t>
      </w:r>
    </w:p>
    <w:p w:rsidR="00932D06" w:rsidRPr="00473D4F" w:rsidRDefault="003B3846" w:rsidP="00932D06">
      <w:pPr>
        <w:keepNext/>
      </w:pPr>
      <w:r w:rsidRPr="00473D4F">
        <w:rPr>
          <w:rStyle w:val="HideTWBExt"/>
        </w:rPr>
        <w:t>&lt;DocAmend2&gt;</w:t>
      </w:r>
      <w:r w:rsidRPr="00473D4F">
        <w:t>Diretiva 2014/59/UE</w:t>
      </w:r>
      <w:r w:rsidRPr="00473D4F">
        <w:rPr>
          <w:rStyle w:val="HideTWBExt"/>
        </w:rPr>
        <w:t>&lt;/DocAmend2&gt;</w:t>
      </w:r>
    </w:p>
    <w:p w:rsidR="00932D06" w:rsidRPr="00473D4F" w:rsidRDefault="003B3846" w:rsidP="00932D06">
      <w:r w:rsidRPr="00473D4F">
        <w:rPr>
          <w:rStyle w:val="HideTWBExt"/>
        </w:rPr>
        <w:t>&lt;Article2&gt;</w:t>
      </w:r>
      <w:r w:rsidRPr="00473D4F">
        <w:t>Artigo 45-C – n.º 2-A – parágrafo 2</w:t>
      </w:r>
      <w:r w:rsidRPr="00473D4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042" w:rsidRPr="00473D4F" w:rsidTr="00932D06">
        <w:trPr>
          <w:jc w:val="center"/>
        </w:trPr>
        <w:tc>
          <w:tcPr>
            <w:tcW w:w="9752" w:type="dxa"/>
            <w:gridSpan w:val="2"/>
          </w:tcPr>
          <w:p w:rsidR="00932D06" w:rsidRPr="00473D4F" w:rsidRDefault="00932D06">
            <w:pPr>
              <w:keepNext/>
            </w:pPr>
          </w:p>
        </w:tc>
      </w:tr>
      <w:tr w:rsidR="00E35042" w:rsidRPr="00473D4F" w:rsidTr="00932D06">
        <w:trPr>
          <w:jc w:val="center"/>
        </w:trPr>
        <w:tc>
          <w:tcPr>
            <w:tcW w:w="4876" w:type="dxa"/>
            <w:hideMark/>
          </w:tcPr>
          <w:p w:rsidR="00932D06" w:rsidRPr="00473D4F" w:rsidRDefault="003B3846">
            <w:pPr>
              <w:pStyle w:val="ColumnHeading"/>
              <w:keepNext/>
            </w:pPr>
            <w:r w:rsidRPr="00473D4F">
              <w:t>Texto da Comissão</w:t>
            </w:r>
          </w:p>
        </w:tc>
        <w:tc>
          <w:tcPr>
            <w:tcW w:w="4876" w:type="dxa"/>
            <w:hideMark/>
          </w:tcPr>
          <w:p w:rsidR="00932D06" w:rsidRPr="00473D4F" w:rsidRDefault="003B3846">
            <w:pPr>
              <w:pStyle w:val="ColumnHeading"/>
              <w:keepNext/>
            </w:pPr>
            <w:r w:rsidRPr="00473D4F">
              <w:t>Alteração</w:t>
            </w:r>
          </w:p>
        </w:tc>
      </w:tr>
      <w:tr w:rsidR="00E35042" w:rsidRPr="00473D4F" w:rsidTr="00932D06">
        <w:trPr>
          <w:jc w:val="center"/>
        </w:trPr>
        <w:tc>
          <w:tcPr>
            <w:tcW w:w="4876" w:type="dxa"/>
            <w:hideMark/>
          </w:tcPr>
          <w:p w:rsidR="00932D06" w:rsidRPr="00473D4F" w:rsidRDefault="003B3846">
            <w:pPr>
              <w:pStyle w:val="Normal6"/>
            </w:pPr>
            <w:r w:rsidRPr="00473D4F">
              <w:t xml:space="preserve">Em derrogação do primeiro parágrafo, </w:t>
            </w:r>
            <w:r w:rsidRPr="00473D4F">
              <w:rPr>
                <w:b/>
                <w:bCs/>
                <w:i/>
                <w:iCs/>
              </w:rPr>
              <w:t>e se tal for necessário para os objetivos de proteção da estabilidade financeira ou de limitação do potencial contágio do sistema financeiro, as autoridades</w:t>
            </w:r>
            <w:r w:rsidRPr="00473D4F">
              <w:t xml:space="preserve"> de resolução podem, a título excecional, determinar a aplicaçã</w:t>
            </w:r>
            <w:r w:rsidRPr="00473D4F">
              <w:t xml:space="preserve">o do requisito referido no artigo 45.º, n.º 1, às entidades de liquidação em base individual, </w:t>
            </w:r>
            <w:r w:rsidRPr="00473D4F">
              <w:rPr>
                <w:b/>
                <w:bCs/>
                <w:i/>
                <w:iCs/>
              </w:rPr>
              <w:t>no</w:t>
            </w:r>
            <w:r w:rsidRPr="00473D4F">
              <w:t xml:space="preserve"> montante suficiente para absorver as perdas nos termos do n.º 2, alínea a), do presente artigo</w:t>
            </w:r>
            <w:r w:rsidRPr="00473D4F">
              <w:rPr>
                <w:b/>
                <w:bCs/>
                <w:i/>
                <w:iCs/>
              </w:rPr>
              <w:t>, aumentado para o montante necessário para a consecução desses o</w:t>
            </w:r>
            <w:r w:rsidRPr="00473D4F">
              <w:rPr>
                <w:b/>
                <w:bCs/>
                <w:i/>
                <w:iCs/>
              </w:rPr>
              <w:t>bjetivos</w:t>
            </w:r>
            <w:r w:rsidRPr="00473D4F">
              <w:t>. Nesses casos, as entidades de liquidação devem cumprir o requisito a que se refere o artigo 45.º, n.º 1, utilizando um ou mais dos seguintes elementos:</w:t>
            </w:r>
          </w:p>
        </w:tc>
        <w:tc>
          <w:tcPr>
            <w:tcW w:w="4876" w:type="dxa"/>
            <w:hideMark/>
          </w:tcPr>
          <w:p w:rsidR="00932D06" w:rsidRPr="00473D4F" w:rsidRDefault="003B3846">
            <w:pPr>
              <w:pStyle w:val="Normal6"/>
              <w:rPr>
                <w:szCs w:val="24"/>
              </w:rPr>
            </w:pPr>
            <w:r w:rsidRPr="00473D4F">
              <w:t xml:space="preserve">Em derrogação do primeiro parágrafo, </w:t>
            </w:r>
            <w:r w:rsidRPr="00473D4F">
              <w:rPr>
                <w:b/>
                <w:bCs/>
                <w:i/>
                <w:iCs/>
              </w:rPr>
              <w:t>a autoridade</w:t>
            </w:r>
            <w:r w:rsidRPr="00473D4F">
              <w:t xml:space="preserve"> de resolução </w:t>
            </w:r>
            <w:r w:rsidRPr="00473D4F">
              <w:rPr>
                <w:b/>
                <w:bCs/>
                <w:i/>
                <w:iCs/>
              </w:rPr>
              <w:t>deve avaliar se se justifica</w:t>
            </w:r>
            <w:r w:rsidRPr="00473D4F">
              <w:t xml:space="preserve"> de</w:t>
            </w:r>
            <w:r w:rsidRPr="00473D4F">
              <w:t xml:space="preserve">terminar a aplicação do requisito referido no artigo 45.º, n.º 1, às entidades de liquidação em base individual, </w:t>
            </w:r>
            <w:r w:rsidRPr="00473D4F">
              <w:rPr>
                <w:b/>
                <w:bCs/>
                <w:i/>
                <w:iCs/>
              </w:rPr>
              <w:t>num montante superior ao</w:t>
            </w:r>
            <w:r w:rsidRPr="00473D4F">
              <w:t xml:space="preserve"> montante suficiente para absorver as perdas nos termos do n.º 2, alínea a), do presente artigo.</w:t>
            </w:r>
            <w:r w:rsidRPr="00473D4F">
              <w:rPr>
                <w:b/>
                <w:i/>
              </w:rPr>
              <w:t xml:space="preserve"> </w:t>
            </w:r>
            <w:r w:rsidRPr="00473D4F">
              <w:rPr>
                <w:b/>
                <w:bCs/>
                <w:i/>
                <w:iCs/>
              </w:rPr>
              <w:t>A avaliação efetuada p</w:t>
            </w:r>
            <w:r w:rsidRPr="00473D4F">
              <w:rPr>
                <w:b/>
                <w:bCs/>
                <w:i/>
                <w:iCs/>
              </w:rPr>
              <w:t>ela autoridade de resolução deve ter em conta as possíveis consequências da insolvência da entidade de liquidação em causa e, sobretudo, o eventual impacto na estabilidade financeira e no risco de contágio do sistema financeiro.</w:t>
            </w:r>
            <w:r w:rsidRPr="00473D4F">
              <w:t xml:space="preserve"> Nesses casos, as entidades </w:t>
            </w:r>
            <w:r w:rsidRPr="00473D4F">
              <w:t>de liquidação devem cumprir o requisito a que se refere o artigo 45.º, n.º 1, utilizando um ou mais dos seguintes elementos:</w:t>
            </w:r>
          </w:p>
        </w:tc>
      </w:tr>
    </w:tbl>
    <w:p w:rsidR="00932D06" w:rsidRPr="00473D4F" w:rsidRDefault="003B3846" w:rsidP="00932D06">
      <w:pPr>
        <w:pStyle w:val="Olang"/>
        <w:rPr>
          <w:sz w:val="24"/>
          <w:szCs w:val="24"/>
        </w:rPr>
      </w:pPr>
      <w:r w:rsidRPr="00473D4F">
        <w:rPr>
          <w:sz w:val="24"/>
          <w:szCs w:val="24"/>
        </w:rPr>
        <w:t xml:space="preserve">Or. </w:t>
      </w:r>
      <w:r w:rsidRPr="00473D4F">
        <w:rPr>
          <w:rStyle w:val="HideTWBExt"/>
        </w:rPr>
        <w:t>&lt;Original&gt;</w:t>
      </w:r>
      <w:r w:rsidRPr="00473D4F">
        <w:rPr>
          <w:rStyle w:val="HideTWBInt"/>
          <w:sz w:val="24"/>
          <w:szCs w:val="24"/>
        </w:rPr>
        <w:t>{EN}</w:t>
      </w:r>
      <w:r w:rsidRPr="00473D4F">
        <w:rPr>
          <w:sz w:val="24"/>
          <w:szCs w:val="24"/>
        </w:rPr>
        <w:t>en</w:t>
      </w:r>
      <w:r w:rsidRPr="00473D4F">
        <w:rPr>
          <w:rStyle w:val="HideTWBExt"/>
        </w:rPr>
        <w:t>&lt;/Original&gt;</w:t>
      </w:r>
    </w:p>
    <w:p w:rsidR="00932D06" w:rsidRPr="00473D4F" w:rsidRDefault="003B3846" w:rsidP="00932D06">
      <w:pPr>
        <w:rPr>
          <w:szCs w:val="24"/>
        </w:rPr>
      </w:pPr>
      <w:r w:rsidRPr="00473D4F">
        <w:rPr>
          <w:rStyle w:val="HideTWBExt"/>
        </w:rPr>
        <w:t>&lt;/Amend&gt;</w:t>
      </w:r>
    </w:p>
    <w:p w:rsidR="00932D06" w:rsidRPr="00473D4F" w:rsidRDefault="003B3846" w:rsidP="00932D06">
      <w:pPr>
        <w:pStyle w:val="AMNumberTabs0"/>
        <w:keepNext/>
      </w:pPr>
      <w:r w:rsidRPr="00473D4F">
        <w:rPr>
          <w:rStyle w:val="HideTWBExt"/>
          <w:b w:val="0"/>
        </w:rPr>
        <w:t>&lt;Amend&gt;</w:t>
      </w:r>
      <w:r w:rsidRPr="00473D4F">
        <w:t>Alteração</w:t>
      </w:r>
      <w:r w:rsidRPr="00473D4F">
        <w:tab/>
      </w:r>
      <w:r w:rsidRPr="00473D4F">
        <w:tab/>
      </w:r>
      <w:r w:rsidRPr="00473D4F">
        <w:rPr>
          <w:rStyle w:val="HideTWBExt"/>
          <w:b w:val="0"/>
        </w:rPr>
        <w:t>&lt;NumAm&gt;</w:t>
      </w:r>
      <w:r w:rsidRPr="00473D4F">
        <w:t>12</w:t>
      </w:r>
      <w:r w:rsidRPr="00473D4F">
        <w:rPr>
          <w:rStyle w:val="HideTWBExt"/>
          <w:b w:val="0"/>
        </w:rPr>
        <w:t>&lt;/NumAm&gt;</w:t>
      </w:r>
    </w:p>
    <w:p w:rsidR="00932D06" w:rsidRPr="00473D4F" w:rsidRDefault="003B3846" w:rsidP="00932D06">
      <w:pPr>
        <w:pStyle w:val="NormalBold12b"/>
        <w:keepNext/>
      </w:pPr>
      <w:r w:rsidRPr="00473D4F">
        <w:rPr>
          <w:rStyle w:val="HideTWBExt"/>
          <w:b w:val="0"/>
        </w:rPr>
        <w:t>&lt;DocAmend&gt;</w:t>
      </w:r>
      <w:r w:rsidRPr="00473D4F">
        <w:t>Proposta de diretiva</w:t>
      </w:r>
      <w:r w:rsidRPr="00473D4F">
        <w:rPr>
          <w:rStyle w:val="HideTWBExt"/>
          <w:b w:val="0"/>
        </w:rPr>
        <w:t>&lt;/DocAmend&gt;</w:t>
      </w:r>
    </w:p>
    <w:p w:rsidR="00932D06" w:rsidRPr="00473D4F" w:rsidRDefault="003B3846" w:rsidP="00932D06">
      <w:pPr>
        <w:pStyle w:val="NormalBold"/>
      </w:pPr>
      <w:r w:rsidRPr="00473D4F">
        <w:rPr>
          <w:rStyle w:val="HideTWBExt"/>
          <w:b w:val="0"/>
        </w:rPr>
        <w:t>&lt;Article&gt;</w:t>
      </w:r>
      <w:r w:rsidRPr="00473D4F">
        <w:t>Artigo 1 – parágrafo 1 – ponto 2 – alínea b)</w:t>
      </w:r>
      <w:r w:rsidRPr="00473D4F">
        <w:rPr>
          <w:rStyle w:val="HideTWBExt"/>
          <w:b w:val="0"/>
        </w:rPr>
        <w:t>&lt;/Article&gt;</w:t>
      </w:r>
    </w:p>
    <w:p w:rsidR="00932D06" w:rsidRPr="00473D4F" w:rsidRDefault="003B3846" w:rsidP="00932D06">
      <w:pPr>
        <w:keepNext/>
      </w:pPr>
      <w:r w:rsidRPr="00473D4F">
        <w:rPr>
          <w:rStyle w:val="HideTWBExt"/>
        </w:rPr>
        <w:t>&lt;DocAmend2&gt;</w:t>
      </w:r>
      <w:r w:rsidRPr="00473D4F">
        <w:t>Diretiva 2014/59/UE</w:t>
      </w:r>
      <w:r w:rsidRPr="00473D4F">
        <w:rPr>
          <w:rStyle w:val="HideTWBExt"/>
        </w:rPr>
        <w:t>&lt;/DocAmend2&gt;</w:t>
      </w:r>
    </w:p>
    <w:p w:rsidR="00932D06" w:rsidRPr="00473D4F" w:rsidRDefault="003B3846" w:rsidP="00932D06">
      <w:r w:rsidRPr="00473D4F">
        <w:rPr>
          <w:rStyle w:val="HideTWBExt"/>
        </w:rPr>
        <w:t>&lt;Article2&gt;</w:t>
      </w:r>
      <w:r w:rsidRPr="00473D4F">
        <w:t>Artigo 45-C – n.º 2-A – parágrafo 4</w:t>
      </w:r>
      <w:r w:rsidRPr="00473D4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042" w:rsidRPr="00473D4F" w:rsidTr="00932D06">
        <w:trPr>
          <w:jc w:val="center"/>
        </w:trPr>
        <w:tc>
          <w:tcPr>
            <w:tcW w:w="9752" w:type="dxa"/>
            <w:gridSpan w:val="2"/>
          </w:tcPr>
          <w:p w:rsidR="00932D06" w:rsidRPr="00473D4F" w:rsidRDefault="00932D06">
            <w:pPr>
              <w:keepNext/>
            </w:pPr>
          </w:p>
        </w:tc>
      </w:tr>
      <w:tr w:rsidR="00E35042" w:rsidRPr="00473D4F" w:rsidTr="00932D06">
        <w:trPr>
          <w:jc w:val="center"/>
        </w:trPr>
        <w:tc>
          <w:tcPr>
            <w:tcW w:w="4876" w:type="dxa"/>
            <w:hideMark/>
          </w:tcPr>
          <w:p w:rsidR="00932D06" w:rsidRPr="00473D4F" w:rsidRDefault="003B3846">
            <w:pPr>
              <w:pStyle w:val="ColumnHeading"/>
              <w:keepNext/>
            </w:pPr>
            <w:r w:rsidRPr="00473D4F">
              <w:t>Texto da Comissão</w:t>
            </w:r>
          </w:p>
        </w:tc>
        <w:tc>
          <w:tcPr>
            <w:tcW w:w="4876" w:type="dxa"/>
            <w:hideMark/>
          </w:tcPr>
          <w:p w:rsidR="00932D06" w:rsidRPr="00473D4F" w:rsidRDefault="003B3846">
            <w:pPr>
              <w:pStyle w:val="ColumnHeading"/>
              <w:keepNext/>
            </w:pPr>
            <w:r w:rsidRPr="00473D4F">
              <w:t>Alteração</w:t>
            </w:r>
          </w:p>
        </w:tc>
      </w:tr>
      <w:tr w:rsidR="00E35042" w:rsidRPr="00473D4F" w:rsidTr="00932D06">
        <w:trPr>
          <w:jc w:val="center"/>
        </w:trPr>
        <w:tc>
          <w:tcPr>
            <w:tcW w:w="4876" w:type="dxa"/>
            <w:hideMark/>
          </w:tcPr>
          <w:p w:rsidR="00932D06" w:rsidRPr="00473D4F" w:rsidRDefault="003B3846">
            <w:pPr>
              <w:pStyle w:val="Normal6"/>
            </w:pPr>
            <w:r w:rsidRPr="00473D4F">
              <w:t xml:space="preserve">As participações em instrumentos de fundos próprios </w:t>
            </w:r>
            <w:r w:rsidRPr="00473D4F">
              <w:rPr>
                <w:b/>
                <w:bCs/>
                <w:i/>
                <w:iCs/>
              </w:rPr>
              <w:t>ou passivos</w:t>
            </w:r>
            <w:r w:rsidRPr="00473D4F">
              <w:t xml:space="preserve"> emitid</w:t>
            </w:r>
            <w:r w:rsidRPr="00473D4F">
              <w:t>os por filiais que sejam entidades de liquidação para as quais a autoridade de resolução não tenha determinado o requisito a que se refere o artigo 12.º-A, n.º 1, não podem ser deduzidas nos termos do artigo 72.º-E, n.º 5, do Regulamento (UE) n.º 575/2013;</w:t>
            </w:r>
          </w:p>
        </w:tc>
        <w:tc>
          <w:tcPr>
            <w:tcW w:w="4876" w:type="dxa"/>
            <w:hideMark/>
          </w:tcPr>
          <w:p w:rsidR="00932D06" w:rsidRPr="00473D4F" w:rsidRDefault="003B3846">
            <w:pPr>
              <w:pStyle w:val="Normal6"/>
              <w:rPr>
                <w:szCs w:val="24"/>
              </w:rPr>
            </w:pPr>
            <w:r w:rsidRPr="00473D4F">
              <w:t xml:space="preserve">As participações em </w:t>
            </w:r>
            <w:r w:rsidRPr="00473D4F">
              <w:rPr>
                <w:b/>
                <w:bCs/>
                <w:i/>
                <w:iCs/>
              </w:rPr>
              <w:t>passivos que não são considerados</w:t>
            </w:r>
            <w:r w:rsidRPr="00473D4F">
              <w:t xml:space="preserve"> instrumentos de fundos próprios emitidos por filiais que sejam entidades de liquidação para as quais a autoridade de resolução não tenha determinado o requisito a que se refere o artigo 12.º-A, n.º 1, </w:t>
            </w:r>
            <w:r w:rsidRPr="00473D4F">
              <w:t>não podem ser deduzidas nos termos do artigo 72.º-E, n.º 5, do Regulamento (UE) n.º 575/2013;</w:t>
            </w:r>
          </w:p>
        </w:tc>
      </w:tr>
    </w:tbl>
    <w:p w:rsidR="00932D06" w:rsidRPr="00473D4F" w:rsidRDefault="003B3846" w:rsidP="00932D06">
      <w:pPr>
        <w:pStyle w:val="Olang"/>
        <w:rPr>
          <w:sz w:val="24"/>
          <w:szCs w:val="24"/>
        </w:rPr>
      </w:pPr>
      <w:r w:rsidRPr="00473D4F">
        <w:rPr>
          <w:sz w:val="24"/>
          <w:szCs w:val="24"/>
        </w:rPr>
        <w:t xml:space="preserve">Or. </w:t>
      </w:r>
      <w:r w:rsidRPr="00473D4F">
        <w:rPr>
          <w:rStyle w:val="HideTWBExt"/>
        </w:rPr>
        <w:t>&lt;Original&gt;</w:t>
      </w:r>
      <w:r w:rsidRPr="00473D4F">
        <w:rPr>
          <w:rStyle w:val="HideTWBInt"/>
          <w:sz w:val="24"/>
          <w:szCs w:val="24"/>
        </w:rPr>
        <w:t>{EN}</w:t>
      </w:r>
      <w:r w:rsidRPr="00473D4F">
        <w:rPr>
          <w:sz w:val="24"/>
          <w:szCs w:val="24"/>
        </w:rPr>
        <w:t>en</w:t>
      </w:r>
      <w:r w:rsidRPr="00473D4F">
        <w:rPr>
          <w:rStyle w:val="HideTWBExt"/>
        </w:rPr>
        <w:t>&lt;/Original&gt;</w:t>
      </w:r>
    </w:p>
    <w:p w:rsidR="00932D06" w:rsidRPr="00473D4F" w:rsidRDefault="003B3846" w:rsidP="00932D06">
      <w:pPr>
        <w:rPr>
          <w:szCs w:val="24"/>
        </w:rPr>
      </w:pPr>
      <w:r w:rsidRPr="00473D4F">
        <w:rPr>
          <w:rStyle w:val="HideTWBExt"/>
        </w:rPr>
        <w:t>&lt;/Amend&gt;</w:t>
      </w:r>
    </w:p>
    <w:p w:rsidR="00932D06" w:rsidRPr="00473D4F" w:rsidRDefault="003B3846" w:rsidP="00932D06">
      <w:pPr>
        <w:pStyle w:val="AMNumberTabs0"/>
        <w:keepNext/>
      </w:pPr>
      <w:r w:rsidRPr="00473D4F">
        <w:rPr>
          <w:rStyle w:val="HideTWBExt"/>
          <w:b w:val="0"/>
        </w:rPr>
        <w:t>&lt;Amend&gt;</w:t>
      </w:r>
      <w:r w:rsidRPr="00473D4F">
        <w:t>Alteração</w:t>
      </w:r>
      <w:r w:rsidRPr="00473D4F">
        <w:tab/>
      </w:r>
      <w:r w:rsidRPr="00473D4F">
        <w:tab/>
      </w:r>
      <w:r w:rsidRPr="00473D4F">
        <w:rPr>
          <w:rStyle w:val="HideTWBExt"/>
          <w:b w:val="0"/>
        </w:rPr>
        <w:t>&lt;NumAm&gt;</w:t>
      </w:r>
      <w:r w:rsidRPr="00473D4F">
        <w:t>13</w:t>
      </w:r>
      <w:r w:rsidRPr="00473D4F">
        <w:rPr>
          <w:rStyle w:val="HideTWBExt"/>
          <w:b w:val="0"/>
        </w:rPr>
        <w:t>&lt;/NumAm&gt;</w:t>
      </w:r>
    </w:p>
    <w:p w:rsidR="00932D06" w:rsidRPr="00473D4F" w:rsidRDefault="003B3846" w:rsidP="00932D06">
      <w:pPr>
        <w:pStyle w:val="NormalBold12b"/>
        <w:keepNext/>
      </w:pPr>
      <w:r w:rsidRPr="00473D4F">
        <w:rPr>
          <w:rStyle w:val="HideTWBExt"/>
          <w:b w:val="0"/>
        </w:rPr>
        <w:t>&lt;DocAmend&gt;</w:t>
      </w:r>
      <w:r w:rsidRPr="00473D4F">
        <w:t>Proposta de diretiva</w:t>
      </w:r>
      <w:r w:rsidRPr="00473D4F">
        <w:rPr>
          <w:rStyle w:val="HideTWBExt"/>
          <w:b w:val="0"/>
        </w:rPr>
        <w:t>&lt;/DocAmend&gt;</w:t>
      </w:r>
    </w:p>
    <w:p w:rsidR="00932D06" w:rsidRPr="00473D4F" w:rsidRDefault="003B3846" w:rsidP="00932D06">
      <w:pPr>
        <w:pStyle w:val="NormalBold"/>
      </w:pPr>
      <w:r w:rsidRPr="00473D4F">
        <w:rPr>
          <w:rStyle w:val="HideTWBExt"/>
          <w:b w:val="0"/>
        </w:rPr>
        <w:t>&lt;Article&gt;</w:t>
      </w:r>
      <w:r w:rsidRPr="00473D4F">
        <w:t xml:space="preserve">Artigo 1 – parágrafo 1 – ponto 3 </w:t>
      </w:r>
      <w:r w:rsidRPr="00473D4F">
        <w:t>– alínea a)</w:t>
      </w:r>
      <w:r w:rsidRPr="00473D4F">
        <w:rPr>
          <w:rStyle w:val="HideTWBExt"/>
          <w:b w:val="0"/>
        </w:rPr>
        <w:t>&lt;/Article&gt;</w:t>
      </w:r>
    </w:p>
    <w:p w:rsidR="00932D06" w:rsidRPr="00473D4F" w:rsidRDefault="003B3846" w:rsidP="00932D06">
      <w:pPr>
        <w:keepNext/>
      </w:pPr>
      <w:r w:rsidRPr="00473D4F">
        <w:rPr>
          <w:rStyle w:val="HideTWBExt"/>
        </w:rPr>
        <w:t>&lt;DocAmend2&gt;</w:t>
      </w:r>
      <w:r w:rsidRPr="00473D4F">
        <w:t>Diretiva 2014/59/UE</w:t>
      </w:r>
      <w:r w:rsidRPr="00473D4F">
        <w:rPr>
          <w:rStyle w:val="HideTWBExt"/>
        </w:rPr>
        <w:t>&lt;/DocAmend2&gt;</w:t>
      </w:r>
    </w:p>
    <w:p w:rsidR="00932D06" w:rsidRPr="00473D4F" w:rsidRDefault="003B3846" w:rsidP="00932D06">
      <w:r w:rsidRPr="00473D4F">
        <w:rPr>
          <w:rStyle w:val="HideTWBExt"/>
        </w:rPr>
        <w:t>&lt;Article2&gt;</w:t>
      </w:r>
      <w:r w:rsidRPr="00473D4F">
        <w:t>Artigo 45-F – n.º 1 – parágrafo 3-A– alínea a) – subalínea ii)</w:t>
      </w:r>
      <w:r w:rsidRPr="00473D4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042" w:rsidRPr="00473D4F" w:rsidTr="00932D06">
        <w:trPr>
          <w:jc w:val="center"/>
        </w:trPr>
        <w:tc>
          <w:tcPr>
            <w:tcW w:w="9752" w:type="dxa"/>
            <w:gridSpan w:val="2"/>
          </w:tcPr>
          <w:p w:rsidR="00932D06" w:rsidRPr="00473D4F" w:rsidRDefault="00932D06">
            <w:pPr>
              <w:keepNext/>
            </w:pPr>
          </w:p>
        </w:tc>
      </w:tr>
      <w:tr w:rsidR="00E35042" w:rsidRPr="00473D4F" w:rsidTr="00932D06">
        <w:trPr>
          <w:jc w:val="center"/>
        </w:trPr>
        <w:tc>
          <w:tcPr>
            <w:tcW w:w="4876" w:type="dxa"/>
            <w:hideMark/>
          </w:tcPr>
          <w:p w:rsidR="00932D06" w:rsidRPr="00473D4F" w:rsidRDefault="003B3846">
            <w:pPr>
              <w:pStyle w:val="ColumnHeading"/>
              <w:keepNext/>
            </w:pPr>
            <w:r w:rsidRPr="00473D4F">
              <w:t>Texto da Comissão</w:t>
            </w:r>
          </w:p>
        </w:tc>
        <w:tc>
          <w:tcPr>
            <w:tcW w:w="4876" w:type="dxa"/>
            <w:hideMark/>
          </w:tcPr>
          <w:p w:rsidR="00932D06" w:rsidRPr="00473D4F" w:rsidRDefault="003B3846">
            <w:pPr>
              <w:pStyle w:val="ColumnHeading"/>
              <w:keepNext/>
            </w:pPr>
            <w:r w:rsidRPr="00473D4F">
              <w:t>Alteração</w:t>
            </w:r>
          </w:p>
        </w:tc>
      </w:tr>
      <w:tr w:rsidR="00E35042" w:rsidRPr="00473D4F" w:rsidTr="00932D06">
        <w:trPr>
          <w:jc w:val="center"/>
        </w:trPr>
        <w:tc>
          <w:tcPr>
            <w:tcW w:w="4876" w:type="dxa"/>
            <w:hideMark/>
          </w:tcPr>
          <w:p w:rsidR="00932D06" w:rsidRPr="00473D4F" w:rsidRDefault="003B3846">
            <w:pPr>
              <w:pStyle w:val="Normal6"/>
            </w:pPr>
            <w:r w:rsidRPr="00473D4F">
              <w:t>ii)</w:t>
            </w:r>
            <w:r w:rsidRPr="00473D4F">
              <w:tab/>
            </w:r>
            <w:r w:rsidRPr="00473D4F">
              <w:t xml:space="preserve">a filial está sujeita ao requisito a que se refere o artigo 104.º-A da Diretiva 2013/36/UE </w:t>
            </w:r>
            <w:r w:rsidRPr="00473D4F">
              <w:rPr>
                <w:b/>
                <w:bCs/>
                <w:i/>
                <w:iCs/>
              </w:rPr>
              <w:t>ou ao requisito combinado de reservas de fundos próprios</w:t>
            </w:r>
            <w:r w:rsidRPr="00473D4F">
              <w:t xml:space="preserve"> em base consolidada;</w:t>
            </w:r>
          </w:p>
        </w:tc>
        <w:tc>
          <w:tcPr>
            <w:tcW w:w="4876" w:type="dxa"/>
            <w:hideMark/>
          </w:tcPr>
          <w:p w:rsidR="00932D06" w:rsidRPr="00473D4F" w:rsidRDefault="003B3846">
            <w:pPr>
              <w:pStyle w:val="Normal6"/>
              <w:rPr>
                <w:szCs w:val="24"/>
              </w:rPr>
            </w:pPr>
            <w:r w:rsidRPr="00473D4F">
              <w:t>ii)</w:t>
            </w:r>
            <w:r w:rsidRPr="00473D4F">
              <w:tab/>
              <w:t>a filial está sujeita ao requisito a que se refere o artigo 104.º-A da Diretiva 201</w:t>
            </w:r>
            <w:r w:rsidRPr="00473D4F">
              <w:t xml:space="preserve">3/36/UE </w:t>
            </w:r>
            <w:r w:rsidRPr="00473D4F">
              <w:rPr>
                <w:b/>
                <w:bCs/>
                <w:i/>
                <w:iCs/>
              </w:rPr>
              <w:t>unicamente</w:t>
            </w:r>
            <w:r w:rsidRPr="00473D4F">
              <w:t xml:space="preserve"> em base consolidada;</w:t>
            </w:r>
          </w:p>
        </w:tc>
      </w:tr>
    </w:tbl>
    <w:p w:rsidR="00932D06" w:rsidRPr="00473D4F" w:rsidRDefault="003B3846" w:rsidP="00932D06">
      <w:pPr>
        <w:pStyle w:val="Olang"/>
        <w:rPr>
          <w:sz w:val="24"/>
          <w:szCs w:val="24"/>
        </w:rPr>
      </w:pPr>
      <w:r w:rsidRPr="00473D4F">
        <w:rPr>
          <w:sz w:val="24"/>
          <w:szCs w:val="24"/>
        </w:rPr>
        <w:t xml:space="preserve">Or. </w:t>
      </w:r>
      <w:r w:rsidRPr="00473D4F">
        <w:rPr>
          <w:rStyle w:val="HideTWBExt"/>
        </w:rPr>
        <w:t>&lt;Original&gt;</w:t>
      </w:r>
      <w:r w:rsidRPr="00473D4F">
        <w:rPr>
          <w:rStyle w:val="HideTWBInt"/>
          <w:sz w:val="24"/>
          <w:szCs w:val="24"/>
        </w:rPr>
        <w:t>{EN}</w:t>
      </w:r>
      <w:r w:rsidRPr="00473D4F">
        <w:rPr>
          <w:sz w:val="24"/>
          <w:szCs w:val="24"/>
        </w:rPr>
        <w:t>en</w:t>
      </w:r>
      <w:r w:rsidRPr="00473D4F">
        <w:rPr>
          <w:rStyle w:val="HideTWBExt"/>
        </w:rPr>
        <w:t>&lt;/Original&gt;</w:t>
      </w:r>
    </w:p>
    <w:p w:rsidR="00932D06" w:rsidRPr="00473D4F" w:rsidRDefault="003B3846" w:rsidP="00932D06">
      <w:pPr>
        <w:rPr>
          <w:szCs w:val="24"/>
        </w:rPr>
      </w:pPr>
      <w:r w:rsidRPr="00473D4F">
        <w:rPr>
          <w:rStyle w:val="HideTWBExt"/>
        </w:rPr>
        <w:t>&lt;/Amend&gt;</w:t>
      </w:r>
    </w:p>
    <w:p w:rsidR="00932D06" w:rsidRPr="00473D4F" w:rsidRDefault="003B3846" w:rsidP="00932D06">
      <w:pPr>
        <w:pStyle w:val="AMNumberTabs0"/>
        <w:keepNext/>
      </w:pPr>
      <w:r w:rsidRPr="00473D4F">
        <w:rPr>
          <w:rStyle w:val="HideTWBExt"/>
          <w:b w:val="0"/>
        </w:rPr>
        <w:t>&lt;Amend&gt;</w:t>
      </w:r>
      <w:r w:rsidRPr="00473D4F">
        <w:t>Alteração</w:t>
      </w:r>
      <w:r w:rsidRPr="00473D4F">
        <w:tab/>
      </w:r>
      <w:r w:rsidRPr="00473D4F">
        <w:tab/>
      </w:r>
      <w:r w:rsidRPr="00473D4F">
        <w:rPr>
          <w:rStyle w:val="HideTWBExt"/>
          <w:b w:val="0"/>
        </w:rPr>
        <w:t>&lt;NumAm&gt;</w:t>
      </w:r>
      <w:r w:rsidRPr="00473D4F">
        <w:t>14</w:t>
      </w:r>
      <w:r w:rsidRPr="00473D4F">
        <w:rPr>
          <w:rStyle w:val="HideTWBExt"/>
          <w:b w:val="0"/>
        </w:rPr>
        <w:t>&lt;/NumAm&gt;</w:t>
      </w:r>
    </w:p>
    <w:p w:rsidR="00932D06" w:rsidRPr="00473D4F" w:rsidRDefault="003B3846" w:rsidP="00932D06">
      <w:pPr>
        <w:pStyle w:val="NormalBold12b"/>
        <w:keepNext/>
      </w:pPr>
      <w:r w:rsidRPr="00473D4F">
        <w:rPr>
          <w:rStyle w:val="HideTWBExt"/>
          <w:b w:val="0"/>
        </w:rPr>
        <w:t>&lt;DocAmend&gt;</w:t>
      </w:r>
      <w:r w:rsidRPr="00473D4F">
        <w:t>Proposta de diretiva</w:t>
      </w:r>
      <w:r w:rsidRPr="00473D4F">
        <w:rPr>
          <w:rStyle w:val="HideTWBExt"/>
          <w:b w:val="0"/>
        </w:rPr>
        <w:t>&lt;/DocAmend&gt;</w:t>
      </w:r>
    </w:p>
    <w:p w:rsidR="00932D06" w:rsidRPr="00473D4F" w:rsidRDefault="003B3846" w:rsidP="00932D06">
      <w:pPr>
        <w:pStyle w:val="NormalBold"/>
      </w:pPr>
      <w:r w:rsidRPr="00473D4F">
        <w:rPr>
          <w:rStyle w:val="HideTWBExt"/>
          <w:b w:val="0"/>
        </w:rPr>
        <w:t>&lt;Article&gt;</w:t>
      </w:r>
      <w:r w:rsidRPr="00473D4F">
        <w:t>Artigo 1 – parágrafo 1 – ponto 3 – alínea a)</w:t>
      </w:r>
      <w:r w:rsidRPr="00473D4F">
        <w:rPr>
          <w:rStyle w:val="HideTWBExt"/>
          <w:b w:val="0"/>
        </w:rPr>
        <w:t>&lt;/Article&gt;</w:t>
      </w:r>
    </w:p>
    <w:p w:rsidR="00932D06" w:rsidRPr="00473D4F" w:rsidRDefault="003B3846" w:rsidP="00932D06">
      <w:pPr>
        <w:keepNext/>
      </w:pPr>
      <w:r w:rsidRPr="00473D4F">
        <w:rPr>
          <w:rStyle w:val="HideTWBExt"/>
        </w:rPr>
        <w:t>&lt;DocAmend2&gt;</w:t>
      </w:r>
      <w:r w:rsidRPr="00473D4F">
        <w:t>Diretiva 2014/59/UE</w:t>
      </w:r>
      <w:r w:rsidRPr="00473D4F">
        <w:rPr>
          <w:rStyle w:val="HideTWBExt"/>
        </w:rPr>
        <w:t>&lt;/</w:t>
      </w:r>
      <w:r w:rsidRPr="00473D4F">
        <w:rPr>
          <w:rStyle w:val="HideTWBExt"/>
        </w:rPr>
        <w:t>DocAmend2&gt;</w:t>
      </w:r>
    </w:p>
    <w:p w:rsidR="00932D06" w:rsidRPr="00473D4F" w:rsidRDefault="003B3846" w:rsidP="00932D06">
      <w:r w:rsidRPr="00473D4F">
        <w:rPr>
          <w:rStyle w:val="HideTWBExt"/>
        </w:rPr>
        <w:t>&lt;Article2&gt;</w:t>
      </w:r>
      <w:r w:rsidRPr="00473D4F">
        <w:t>Artigo 45-F – n.º 1 – parágrafo 3-A – alínea b)</w:t>
      </w:r>
      <w:r w:rsidRPr="00473D4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042" w:rsidRPr="00473D4F" w:rsidTr="00932D06">
        <w:trPr>
          <w:jc w:val="center"/>
        </w:trPr>
        <w:tc>
          <w:tcPr>
            <w:tcW w:w="9752" w:type="dxa"/>
            <w:gridSpan w:val="2"/>
          </w:tcPr>
          <w:p w:rsidR="00932D06" w:rsidRPr="00473D4F" w:rsidRDefault="00932D06">
            <w:pPr>
              <w:keepNext/>
            </w:pPr>
          </w:p>
        </w:tc>
      </w:tr>
      <w:tr w:rsidR="00E35042" w:rsidRPr="00473D4F" w:rsidTr="00932D06">
        <w:trPr>
          <w:jc w:val="center"/>
        </w:trPr>
        <w:tc>
          <w:tcPr>
            <w:tcW w:w="4876" w:type="dxa"/>
            <w:hideMark/>
          </w:tcPr>
          <w:p w:rsidR="00932D06" w:rsidRPr="00473D4F" w:rsidRDefault="003B3846">
            <w:pPr>
              <w:pStyle w:val="ColumnHeading"/>
              <w:keepNext/>
            </w:pPr>
            <w:r w:rsidRPr="00473D4F">
              <w:t>Texto da Comissão</w:t>
            </w:r>
          </w:p>
        </w:tc>
        <w:tc>
          <w:tcPr>
            <w:tcW w:w="4876" w:type="dxa"/>
            <w:hideMark/>
          </w:tcPr>
          <w:p w:rsidR="00932D06" w:rsidRPr="00473D4F" w:rsidRDefault="003B3846">
            <w:pPr>
              <w:pStyle w:val="ColumnHeading"/>
              <w:keepNext/>
            </w:pPr>
            <w:r w:rsidRPr="00473D4F">
              <w:t>Alteração</w:t>
            </w:r>
          </w:p>
        </w:tc>
      </w:tr>
      <w:tr w:rsidR="00E35042" w:rsidRPr="00473D4F" w:rsidTr="00932D06">
        <w:trPr>
          <w:jc w:val="center"/>
        </w:trPr>
        <w:tc>
          <w:tcPr>
            <w:tcW w:w="4876" w:type="dxa"/>
            <w:hideMark/>
          </w:tcPr>
          <w:p w:rsidR="00932D06" w:rsidRPr="00473D4F" w:rsidRDefault="003B3846">
            <w:pPr>
              <w:pStyle w:val="Normal6"/>
            </w:pPr>
            <w:r w:rsidRPr="00473D4F">
              <w:t>(b)</w:t>
            </w:r>
            <w:r w:rsidRPr="00473D4F">
              <w:tab/>
              <w:t>O cumprimento do requisito estabelecido no artigo 45.º-C em base consolidada não afeta negativamente</w:t>
            </w:r>
            <w:r w:rsidRPr="00473D4F">
              <w:rPr>
                <w:b/>
                <w:bCs/>
                <w:i/>
                <w:iCs/>
              </w:rPr>
              <w:t>, de forma significativa,</w:t>
            </w:r>
            <w:r w:rsidRPr="00473D4F">
              <w:t xml:space="preserve"> a resolubilidade do grupo de resolução, ou a redução ou conversão, nos termos do artigo 59.º, dos instrumentos de capital relevantes e dos passivos elegíveis da filial em causa ou de outras entidades do grupo de resolução;</w:t>
            </w:r>
          </w:p>
        </w:tc>
        <w:tc>
          <w:tcPr>
            <w:tcW w:w="4876" w:type="dxa"/>
            <w:hideMark/>
          </w:tcPr>
          <w:p w:rsidR="00932D06" w:rsidRPr="00473D4F" w:rsidRDefault="003B3846">
            <w:pPr>
              <w:pStyle w:val="Normal6"/>
              <w:rPr>
                <w:szCs w:val="24"/>
              </w:rPr>
            </w:pPr>
            <w:r w:rsidRPr="00473D4F">
              <w:t>(b)</w:t>
            </w:r>
            <w:r w:rsidRPr="00473D4F">
              <w:tab/>
              <w:t>O cumprimento do requisito e</w:t>
            </w:r>
            <w:r w:rsidRPr="00473D4F">
              <w:t xml:space="preserve">stabelecido no artigo 45.º-C em base consolidada não afeta negativamente a resolubilidade do grupo de resolução, ou a redução ou conversão, nos termos do artigo 59.º, dos instrumentos de capital relevantes e dos passivos elegíveis da filial em causa ou de </w:t>
            </w:r>
            <w:r w:rsidRPr="00473D4F">
              <w:t>outras entidades do grupo de resolução;</w:t>
            </w:r>
          </w:p>
        </w:tc>
      </w:tr>
    </w:tbl>
    <w:p w:rsidR="00932D06" w:rsidRPr="00473D4F" w:rsidRDefault="003B3846" w:rsidP="00932D06">
      <w:pPr>
        <w:pStyle w:val="Olang"/>
        <w:rPr>
          <w:sz w:val="24"/>
          <w:szCs w:val="24"/>
        </w:rPr>
      </w:pPr>
      <w:r w:rsidRPr="00473D4F">
        <w:rPr>
          <w:sz w:val="24"/>
          <w:szCs w:val="24"/>
        </w:rPr>
        <w:t xml:space="preserve">Or. </w:t>
      </w:r>
      <w:r w:rsidRPr="00473D4F">
        <w:rPr>
          <w:rStyle w:val="HideTWBExt"/>
        </w:rPr>
        <w:t>&lt;Original&gt;</w:t>
      </w:r>
      <w:r w:rsidRPr="00473D4F">
        <w:rPr>
          <w:rStyle w:val="HideTWBInt"/>
          <w:sz w:val="24"/>
          <w:szCs w:val="24"/>
        </w:rPr>
        <w:t>{EN}</w:t>
      </w:r>
      <w:r w:rsidRPr="00473D4F">
        <w:rPr>
          <w:sz w:val="24"/>
          <w:szCs w:val="24"/>
        </w:rPr>
        <w:t>en</w:t>
      </w:r>
      <w:r w:rsidRPr="00473D4F">
        <w:rPr>
          <w:rStyle w:val="HideTWBExt"/>
        </w:rPr>
        <w:t>&lt;/Original&gt;</w:t>
      </w:r>
    </w:p>
    <w:p w:rsidR="00932D06" w:rsidRPr="00473D4F" w:rsidRDefault="003B3846" w:rsidP="00932D06">
      <w:pPr>
        <w:rPr>
          <w:szCs w:val="24"/>
        </w:rPr>
      </w:pPr>
      <w:r w:rsidRPr="00473D4F">
        <w:rPr>
          <w:rStyle w:val="HideTWBExt"/>
        </w:rPr>
        <w:t>&lt;/Amend&gt;</w:t>
      </w:r>
    </w:p>
    <w:p w:rsidR="00932D06" w:rsidRPr="00473D4F" w:rsidRDefault="003B3846" w:rsidP="00932D06">
      <w:pPr>
        <w:pStyle w:val="AMNumberTabs0"/>
        <w:keepNext/>
      </w:pPr>
      <w:r w:rsidRPr="00473D4F">
        <w:rPr>
          <w:rStyle w:val="HideTWBExt"/>
          <w:b w:val="0"/>
        </w:rPr>
        <w:t>&lt;Amend&gt;</w:t>
      </w:r>
      <w:r w:rsidRPr="00473D4F">
        <w:t>Alteração</w:t>
      </w:r>
      <w:r w:rsidRPr="00473D4F">
        <w:tab/>
      </w:r>
      <w:r w:rsidRPr="00473D4F">
        <w:tab/>
      </w:r>
      <w:r w:rsidRPr="00473D4F">
        <w:rPr>
          <w:rStyle w:val="HideTWBExt"/>
          <w:b w:val="0"/>
        </w:rPr>
        <w:t>&lt;NumAm&gt;</w:t>
      </w:r>
      <w:r w:rsidRPr="00473D4F">
        <w:t>15</w:t>
      </w:r>
      <w:r w:rsidRPr="00473D4F">
        <w:rPr>
          <w:rStyle w:val="HideTWBExt"/>
          <w:b w:val="0"/>
        </w:rPr>
        <w:t>&lt;/NumAm&gt;</w:t>
      </w:r>
    </w:p>
    <w:p w:rsidR="00932D06" w:rsidRPr="00473D4F" w:rsidRDefault="003B3846" w:rsidP="00932D06">
      <w:pPr>
        <w:pStyle w:val="NormalBold12b"/>
        <w:keepNext/>
      </w:pPr>
      <w:r w:rsidRPr="00473D4F">
        <w:rPr>
          <w:rStyle w:val="HideTWBExt"/>
          <w:b w:val="0"/>
        </w:rPr>
        <w:t>&lt;DocAmend&gt;</w:t>
      </w:r>
      <w:r w:rsidRPr="00473D4F">
        <w:t>Proposta de diretiva</w:t>
      </w:r>
      <w:r w:rsidRPr="00473D4F">
        <w:rPr>
          <w:rStyle w:val="HideTWBExt"/>
          <w:b w:val="0"/>
        </w:rPr>
        <w:t>&lt;/DocAmend&gt;</w:t>
      </w:r>
    </w:p>
    <w:p w:rsidR="00932D06" w:rsidRPr="00473D4F" w:rsidRDefault="003B3846" w:rsidP="00932D06">
      <w:pPr>
        <w:pStyle w:val="NormalBold"/>
      </w:pPr>
      <w:r w:rsidRPr="00473D4F">
        <w:rPr>
          <w:rStyle w:val="HideTWBExt"/>
          <w:b w:val="0"/>
        </w:rPr>
        <w:t>&lt;Article&gt;</w:t>
      </w:r>
      <w:r w:rsidRPr="00473D4F">
        <w:t>Artigo 2 – parágrafo 1 – ponto 2 – alínea b)</w:t>
      </w:r>
      <w:r w:rsidRPr="00473D4F">
        <w:rPr>
          <w:rStyle w:val="HideTWBExt"/>
          <w:b w:val="0"/>
        </w:rPr>
        <w:t>&lt;/Article&gt;</w:t>
      </w:r>
    </w:p>
    <w:p w:rsidR="00932D06" w:rsidRPr="00473D4F" w:rsidRDefault="003B3846" w:rsidP="00932D06">
      <w:pPr>
        <w:keepNext/>
      </w:pPr>
      <w:r w:rsidRPr="00473D4F">
        <w:rPr>
          <w:rStyle w:val="HideTWBExt"/>
        </w:rPr>
        <w:t>&lt;DocAmend2&gt;</w:t>
      </w:r>
      <w:r w:rsidRPr="00473D4F">
        <w:t xml:space="preserve">Regulamento (UE) n.º </w:t>
      </w:r>
      <w:r w:rsidRPr="00473D4F">
        <w:t>806/2014</w:t>
      </w:r>
      <w:r w:rsidRPr="00473D4F">
        <w:rPr>
          <w:rStyle w:val="HideTWBExt"/>
        </w:rPr>
        <w:t>&lt;/DocAmend2&gt;</w:t>
      </w:r>
    </w:p>
    <w:p w:rsidR="00932D06" w:rsidRPr="00473D4F" w:rsidRDefault="003B3846" w:rsidP="00932D06">
      <w:r w:rsidRPr="00473D4F">
        <w:rPr>
          <w:rStyle w:val="HideTWBExt"/>
        </w:rPr>
        <w:t>&lt;Article2&gt;</w:t>
      </w:r>
      <w:r w:rsidRPr="00473D4F">
        <w:t>Artigo 12-D – n.º 2-A – parágrafo 2</w:t>
      </w:r>
      <w:r w:rsidRPr="00473D4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042" w:rsidRPr="00473D4F" w:rsidTr="00932D06">
        <w:trPr>
          <w:jc w:val="center"/>
        </w:trPr>
        <w:tc>
          <w:tcPr>
            <w:tcW w:w="9752" w:type="dxa"/>
            <w:gridSpan w:val="2"/>
          </w:tcPr>
          <w:p w:rsidR="00932D06" w:rsidRPr="00473D4F" w:rsidRDefault="00932D06">
            <w:pPr>
              <w:keepNext/>
            </w:pPr>
          </w:p>
        </w:tc>
      </w:tr>
      <w:tr w:rsidR="00E35042" w:rsidRPr="00473D4F" w:rsidTr="00932D06">
        <w:trPr>
          <w:jc w:val="center"/>
        </w:trPr>
        <w:tc>
          <w:tcPr>
            <w:tcW w:w="4876" w:type="dxa"/>
            <w:hideMark/>
          </w:tcPr>
          <w:p w:rsidR="00932D06" w:rsidRPr="00473D4F" w:rsidRDefault="003B3846">
            <w:pPr>
              <w:pStyle w:val="ColumnHeading"/>
              <w:keepNext/>
            </w:pPr>
            <w:r w:rsidRPr="00473D4F">
              <w:t>Texto da Comissão</w:t>
            </w:r>
          </w:p>
        </w:tc>
        <w:tc>
          <w:tcPr>
            <w:tcW w:w="4876" w:type="dxa"/>
            <w:hideMark/>
          </w:tcPr>
          <w:p w:rsidR="00932D06" w:rsidRPr="00473D4F" w:rsidRDefault="003B3846">
            <w:pPr>
              <w:pStyle w:val="ColumnHeading"/>
              <w:keepNext/>
            </w:pPr>
            <w:r w:rsidRPr="00473D4F">
              <w:t>Alteração</w:t>
            </w:r>
          </w:p>
        </w:tc>
      </w:tr>
      <w:tr w:rsidR="00E35042" w:rsidRPr="00473D4F" w:rsidTr="00932D06">
        <w:trPr>
          <w:jc w:val="center"/>
        </w:trPr>
        <w:tc>
          <w:tcPr>
            <w:tcW w:w="4876" w:type="dxa"/>
            <w:hideMark/>
          </w:tcPr>
          <w:p w:rsidR="00932D06" w:rsidRPr="00473D4F" w:rsidRDefault="003B3846">
            <w:pPr>
              <w:pStyle w:val="Normal6"/>
            </w:pPr>
            <w:r w:rsidRPr="00473D4F">
              <w:t xml:space="preserve">Em derrogação do primeiro parágrafo, </w:t>
            </w:r>
            <w:r w:rsidRPr="00473D4F">
              <w:rPr>
                <w:b/>
                <w:bCs/>
                <w:i/>
                <w:iCs/>
              </w:rPr>
              <w:t xml:space="preserve">e se tal for necessário para os objetivos de proteção da estabilidade financeira ou de limitação do potencial </w:t>
            </w:r>
            <w:r w:rsidRPr="00473D4F">
              <w:rPr>
                <w:b/>
                <w:bCs/>
                <w:i/>
                <w:iCs/>
              </w:rPr>
              <w:t>contágio do sistema financeiro,</w:t>
            </w:r>
            <w:r w:rsidRPr="00473D4F">
              <w:t xml:space="preserve"> o CUR </w:t>
            </w:r>
            <w:r w:rsidRPr="00473D4F">
              <w:rPr>
                <w:b/>
                <w:bCs/>
                <w:i/>
                <w:iCs/>
              </w:rPr>
              <w:t>pode, a título excecional,</w:t>
            </w:r>
            <w:r w:rsidRPr="00473D4F">
              <w:t xml:space="preserve"> determinar a aplicação do requisito a que se refere o artigo 12.º-A, n.º 1, às entidades de liquidação em base individual, </w:t>
            </w:r>
            <w:r w:rsidRPr="00473D4F">
              <w:rPr>
                <w:b/>
                <w:bCs/>
                <w:i/>
                <w:iCs/>
              </w:rPr>
              <w:t>no</w:t>
            </w:r>
            <w:r w:rsidRPr="00473D4F">
              <w:t xml:space="preserve"> montante suficiente para absorver as perdas nos termos do n.º 2, </w:t>
            </w:r>
            <w:r w:rsidRPr="00473D4F">
              <w:t>alínea a), do presente artigo</w:t>
            </w:r>
            <w:r w:rsidRPr="00473D4F">
              <w:rPr>
                <w:b/>
                <w:bCs/>
                <w:i/>
                <w:iCs/>
              </w:rPr>
              <w:t>, aumentado para o montante necessário para a consecução desses objetivos</w:t>
            </w:r>
            <w:r w:rsidRPr="00473D4F">
              <w:t>. Nesses casos, as entidades de liquidação devem cumprir o requisito a que se refere o artigo 12.º-A, n.º 1, utilizando um ou mais dos seguintes elementos</w:t>
            </w:r>
            <w:r w:rsidRPr="00473D4F">
              <w:t>:</w:t>
            </w:r>
          </w:p>
        </w:tc>
        <w:tc>
          <w:tcPr>
            <w:tcW w:w="4876" w:type="dxa"/>
            <w:hideMark/>
          </w:tcPr>
          <w:p w:rsidR="00932D06" w:rsidRPr="00473D4F" w:rsidRDefault="003B3846">
            <w:pPr>
              <w:pStyle w:val="Normal6"/>
              <w:rPr>
                <w:szCs w:val="24"/>
              </w:rPr>
            </w:pPr>
            <w:r w:rsidRPr="00473D4F">
              <w:t xml:space="preserve">Em derrogação do primeiro parágrafo, o CUR </w:t>
            </w:r>
            <w:r w:rsidRPr="00473D4F">
              <w:rPr>
                <w:b/>
                <w:bCs/>
                <w:i/>
                <w:iCs/>
              </w:rPr>
              <w:t>deve avaliar se se justifica</w:t>
            </w:r>
            <w:r w:rsidRPr="00473D4F">
              <w:t xml:space="preserve"> determinar a aplicação do requisito a que se refere o artigo 12.º-A, n.º 1, às entidades de liquidação em base individual, </w:t>
            </w:r>
            <w:r w:rsidRPr="00473D4F">
              <w:rPr>
                <w:b/>
                <w:bCs/>
                <w:i/>
                <w:iCs/>
              </w:rPr>
              <w:t>num montante superior ao</w:t>
            </w:r>
            <w:r w:rsidRPr="00473D4F">
              <w:t xml:space="preserve"> montante suficiente para absorver </w:t>
            </w:r>
            <w:r w:rsidRPr="00473D4F">
              <w:t>as perdas nos termos do n.º 2, alínea a), do presente artigo.</w:t>
            </w:r>
            <w:r w:rsidRPr="00473D4F">
              <w:rPr>
                <w:b/>
                <w:i/>
              </w:rPr>
              <w:t xml:space="preserve"> </w:t>
            </w:r>
            <w:r w:rsidRPr="00473D4F">
              <w:rPr>
                <w:b/>
                <w:bCs/>
                <w:i/>
                <w:iCs/>
              </w:rPr>
              <w:t>A avaliação do CUR deve ter em conta as possíveis consequências da insolvência da entidade de liquidação em causa e, sobretudo, o eventual impacto na estabilidade financeira e no risco de contág</w:t>
            </w:r>
            <w:r w:rsidRPr="00473D4F">
              <w:rPr>
                <w:b/>
                <w:bCs/>
                <w:i/>
                <w:iCs/>
              </w:rPr>
              <w:t>io do sistema financeiro.</w:t>
            </w:r>
            <w:r w:rsidRPr="00473D4F">
              <w:t xml:space="preserve"> Nesses casos, as entidades de liquidação devem cumprir o requisito a que se refere o artigo 12.º-A, n.º 1, utilizando um ou mais dos seguintes elementos:</w:t>
            </w:r>
          </w:p>
        </w:tc>
      </w:tr>
    </w:tbl>
    <w:p w:rsidR="00932D06" w:rsidRPr="00473D4F" w:rsidRDefault="003B3846" w:rsidP="00932D06">
      <w:pPr>
        <w:pStyle w:val="Olang"/>
        <w:rPr>
          <w:sz w:val="24"/>
          <w:szCs w:val="24"/>
        </w:rPr>
      </w:pPr>
      <w:r w:rsidRPr="00473D4F">
        <w:rPr>
          <w:sz w:val="24"/>
          <w:szCs w:val="24"/>
        </w:rPr>
        <w:t xml:space="preserve">Or. </w:t>
      </w:r>
      <w:r w:rsidRPr="00473D4F">
        <w:rPr>
          <w:rStyle w:val="HideTWBExt"/>
        </w:rPr>
        <w:t>&lt;Original&gt;</w:t>
      </w:r>
      <w:r w:rsidRPr="00473D4F">
        <w:rPr>
          <w:rStyle w:val="HideTWBInt"/>
          <w:sz w:val="24"/>
          <w:szCs w:val="24"/>
        </w:rPr>
        <w:t>{EN}</w:t>
      </w:r>
      <w:r w:rsidRPr="00473D4F">
        <w:rPr>
          <w:sz w:val="24"/>
          <w:szCs w:val="24"/>
        </w:rPr>
        <w:t>en</w:t>
      </w:r>
      <w:r w:rsidRPr="00473D4F">
        <w:rPr>
          <w:rStyle w:val="HideTWBExt"/>
        </w:rPr>
        <w:t>&lt;/Original&gt;</w:t>
      </w:r>
    </w:p>
    <w:p w:rsidR="00932D06" w:rsidRPr="00473D4F" w:rsidRDefault="003B3846" w:rsidP="00932D06">
      <w:pPr>
        <w:rPr>
          <w:szCs w:val="24"/>
        </w:rPr>
      </w:pPr>
      <w:r w:rsidRPr="00473D4F">
        <w:rPr>
          <w:rStyle w:val="HideTWBExt"/>
        </w:rPr>
        <w:t>&lt;/Amend&gt;</w:t>
      </w:r>
    </w:p>
    <w:p w:rsidR="00932D06" w:rsidRPr="00473D4F" w:rsidRDefault="003B3846" w:rsidP="00932D06">
      <w:pPr>
        <w:pStyle w:val="AMNumberTabs0"/>
        <w:keepNext/>
      </w:pPr>
      <w:r w:rsidRPr="00473D4F">
        <w:rPr>
          <w:rStyle w:val="HideTWBExt"/>
          <w:b w:val="0"/>
        </w:rPr>
        <w:t>&lt;Amend&gt;</w:t>
      </w:r>
      <w:r w:rsidRPr="00473D4F">
        <w:t>Alteração</w:t>
      </w:r>
      <w:r w:rsidRPr="00473D4F">
        <w:tab/>
      </w:r>
      <w:r w:rsidRPr="00473D4F">
        <w:tab/>
      </w:r>
      <w:r w:rsidRPr="00473D4F">
        <w:rPr>
          <w:rStyle w:val="HideTWBExt"/>
          <w:b w:val="0"/>
        </w:rPr>
        <w:t>&lt;NumAm&gt;</w:t>
      </w:r>
      <w:r w:rsidRPr="00473D4F">
        <w:t>16</w:t>
      </w:r>
      <w:r w:rsidRPr="00473D4F">
        <w:rPr>
          <w:rStyle w:val="HideTWBExt"/>
          <w:b w:val="0"/>
        </w:rPr>
        <w:t>&lt;/NumAm</w:t>
      </w:r>
      <w:r w:rsidRPr="00473D4F">
        <w:rPr>
          <w:rStyle w:val="HideTWBExt"/>
          <w:b w:val="0"/>
        </w:rPr>
        <w:t>&gt;</w:t>
      </w:r>
    </w:p>
    <w:p w:rsidR="00932D06" w:rsidRPr="00473D4F" w:rsidRDefault="003B3846" w:rsidP="00932D06">
      <w:pPr>
        <w:pStyle w:val="NormalBold12b"/>
        <w:keepNext/>
      </w:pPr>
      <w:r w:rsidRPr="00473D4F">
        <w:rPr>
          <w:rStyle w:val="HideTWBExt"/>
          <w:b w:val="0"/>
        </w:rPr>
        <w:t>&lt;DocAmend&gt;</w:t>
      </w:r>
      <w:r w:rsidRPr="00473D4F">
        <w:t>Proposta de diretiva</w:t>
      </w:r>
      <w:r w:rsidRPr="00473D4F">
        <w:rPr>
          <w:rStyle w:val="HideTWBExt"/>
          <w:b w:val="0"/>
        </w:rPr>
        <w:t>&lt;/DocAmend&gt;</w:t>
      </w:r>
    </w:p>
    <w:p w:rsidR="00932D06" w:rsidRPr="00473D4F" w:rsidRDefault="003B3846" w:rsidP="00932D06">
      <w:pPr>
        <w:pStyle w:val="NormalBold"/>
      </w:pPr>
      <w:r w:rsidRPr="00473D4F">
        <w:rPr>
          <w:rStyle w:val="HideTWBExt"/>
          <w:b w:val="0"/>
        </w:rPr>
        <w:t>&lt;Article&gt;</w:t>
      </w:r>
      <w:r w:rsidRPr="00473D4F">
        <w:t>Artigo 2 – parágrafo 1 – ponto 2 – alínea b)</w:t>
      </w:r>
      <w:r w:rsidRPr="00473D4F">
        <w:rPr>
          <w:rStyle w:val="HideTWBExt"/>
          <w:b w:val="0"/>
        </w:rPr>
        <w:t>&lt;/Article&gt;</w:t>
      </w:r>
    </w:p>
    <w:p w:rsidR="00932D06" w:rsidRPr="00473D4F" w:rsidRDefault="003B3846" w:rsidP="00932D06">
      <w:pPr>
        <w:keepNext/>
      </w:pPr>
      <w:r w:rsidRPr="00473D4F">
        <w:rPr>
          <w:rStyle w:val="HideTWBExt"/>
        </w:rPr>
        <w:t>&lt;DocAmend2&gt;</w:t>
      </w:r>
      <w:r w:rsidRPr="00473D4F">
        <w:t>Regulamento (UE) n.º 806/2014</w:t>
      </w:r>
      <w:r w:rsidRPr="00473D4F">
        <w:rPr>
          <w:rStyle w:val="HideTWBExt"/>
        </w:rPr>
        <w:t>&lt;/DocAmend2&gt;</w:t>
      </w:r>
    </w:p>
    <w:p w:rsidR="00932D06" w:rsidRPr="00473D4F" w:rsidRDefault="003B3846" w:rsidP="00932D06">
      <w:r w:rsidRPr="00473D4F">
        <w:rPr>
          <w:rStyle w:val="HideTWBExt"/>
        </w:rPr>
        <w:t>&lt;Article2&gt;</w:t>
      </w:r>
      <w:r w:rsidRPr="00473D4F">
        <w:t>Artigo 12-D – n.º 2-A – parágrafo 4</w:t>
      </w:r>
      <w:r w:rsidRPr="00473D4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042" w:rsidRPr="00473D4F" w:rsidTr="00932D06">
        <w:trPr>
          <w:jc w:val="center"/>
        </w:trPr>
        <w:tc>
          <w:tcPr>
            <w:tcW w:w="9752" w:type="dxa"/>
            <w:gridSpan w:val="2"/>
          </w:tcPr>
          <w:p w:rsidR="00932D06" w:rsidRPr="00473D4F" w:rsidRDefault="00932D06">
            <w:pPr>
              <w:keepNext/>
            </w:pPr>
          </w:p>
        </w:tc>
      </w:tr>
      <w:tr w:rsidR="00E35042" w:rsidRPr="00473D4F" w:rsidTr="00932D06">
        <w:trPr>
          <w:jc w:val="center"/>
        </w:trPr>
        <w:tc>
          <w:tcPr>
            <w:tcW w:w="4876" w:type="dxa"/>
            <w:hideMark/>
          </w:tcPr>
          <w:p w:rsidR="00932D06" w:rsidRPr="00473D4F" w:rsidRDefault="003B3846">
            <w:pPr>
              <w:pStyle w:val="ColumnHeading"/>
              <w:keepNext/>
            </w:pPr>
            <w:r w:rsidRPr="00473D4F">
              <w:t>Texto da Comissão</w:t>
            </w:r>
          </w:p>
        </w:tc>
        <w:tc>
          <w:tcPr>
            <w:tcW w:w="4876" w:type="dxa"/>
            <w:hideMark/>
          </w:tcPr>
          <w:p w:rsidR="00932D06" w:rsidRPr="00473D4F" w:rsidRDefault="003B3846">
            <w:pPr>
              <w:pStyle w:val="ColumnHeading"/>
              <w:keepNext/>
            </w:pPr>
            <w:r w:rsidRPr="00473D4F">
              <w:t>Alteração</w:t>
            </w:r>
          </w:p>
        </w:tc>
      </w:tr>
      <w:tr w:rsidR="00E35042" w:rsidRPr="00473D4F" w:rsidTr="00932D06">
        <w:trPr>
          <w:jc w:val="center"/>
        </w:trPr>
        <w:tc>
          <w:tcPr>
            <w:tcW w:w="4876" w:type="dxa"/>
            <w:hideMark/>
          </w:tcPr>
          <w:p w:rsidR="00932D06" w:rsidRPr="00473D4F" w:rsidRDefault="003B3846">
            <w:pPr>
              <w:pStyle w:val="Normal6"/>
            </w:pPr>
            <w:r w:rsidRPr="00473D4F">
              <w:t xml:space="preserve">As participações em instrumentos de fundos próprios </w:t>
            </w:r>
            <w:r w:rsidRPr="00473D4F">
              <w:rPr>
                <w:b/>
                <w:bCs/>
                <w:i/>
                <w:iCs/>
              </w:rPr>
              <w:t>ou passivos</w:t>
            </w:r>
            <w:r w:rsidRPr="00473D4F">
              <w:t xml:space="preserve"> emitidos por filiais que sejam entidades de liquidação para as quais a autoridade de resolução não tenha determinado o requisito a que se refere o artigo 12.º-A, n.º 1, não podem ser deduzidas</w:t>
            </w:r>
            <w:r w:rsidRPr="00473D4F">
              <w:t xml:space="preserve"> nos termos do artigo 72.º-E, n.º 5, do Regulamento (UE) n.º 575/2013;</w:t>
            </w:r>
          </w:p>
        </w:tc>
        <w:tc>
          <w:tcPr>
            <w:tcW w:w="4876" w:type="dxa"/>
            <w:hideMark/>
          </w:tcPr>
          <w:p w:rsidR="00932D06" w:rsidRPr="00473D4F" w:rsidRDefault="003B3846">
            <w:pPr>
              <w:pStyle w:val="Normal6"/>
              <w:rPr>
                <w:szCs w:val="24"/>
              </w:rPr>
            </w:pPr>
            <w:r w:rsidRPr="00473D4F">
              <w:t xml:space="preserve">As participações em </w:t>
            </w:r>
            <w:r w:rsidRPr="00473D4F">
              <w:rPr>
                <w:b/>
                <w:bCs/>
                <w:i/>
                <w:iCs/>
              </w:rPr>
              <w:t>passivos que não são considerados</w:t>
            </w:r>
            <w:r w:rsidRPr="00473D4F">
              <w:t xml:space="preserve"> instrumentos de fundos próprios emitidos por filiais que sejam entidades de liquidação para as quais a autoridade de resolução não </w:t>
            </w:r>
            <w:r w:rsidRPr="00473D4F">
              <w:t>tenha determinado o requisito a que se refere o artigo 12.º-A, n.º 1, não podem ser deduzidas nos termos do artigo 72.º-E, n.º 5, do Regulamento (UE) n.º 575/2013;</w:t>
            </w:r>
          </w:p>
        </w:tc>
      </w:tr>
    </w:tbl>
    <w:p w:rsidR="00932D06" w:rsidRPr="00473D4F" w:rsidRDefault="003B3846" w:rsidP="00932D06">
      <w:pPr>
        <w:pStyle w:val="Olang"/>
        <w:rPr>
          <w:sz w:val="24"/>
          <w:szCs w:val="24"/>
        </w:rPr>
      </w:pPr>
      <w:r w:rsidRPr="00473D4F">
        <w:rPr>
          <w:sz w:val="24"/>
          <w:szCs w:val="24"/>
        </w:rPr>
        <w:t xml:space="preserve">Or. </w:t>
      </w:r>
      <w:r w:rsidRPr="00473D4F">
        <w:rPr>
          <w:rStyle w:val="HideTWBExt"/>
        </w:rPr>
        <w:t>&lt;Original&gt;</w:t>
      </w:r>
      <w:r w:rsidRPr="00473D4F">
        <w:rPr>
          <w:rStyle w:val="HideTWBInt"/>
          <w:sz w:val="24"/>
          <w:szCs w:val="24"/>
        </w:rPr>
        <w:t>{EN}</w:t>
      </w:r>
      <w:r w:rsidRPr="00473D4F">
        <w:rPr>
          <w:sz w:val="24"/>
          <w:szCs w:val="24"/>
        </w:rPr>
        <w:t>en</w:t>
      </w:r>
      <w:r w:rsidRPr="00473D4F">
        <w:rPr>
          <w:rStyle w:val="HideTWBExt"/>
        </w:rPr>
        <w:t>&lt;/Original&gt;</w:t>
      </w:r>
    </w:p>
    <w:p w:rsidR="00932D06" w:rsidRPr="00473D4F" w:rsidRDefault="003B3846" w:rsidP="00932D06">
      <w:pPr>
        <w:rPr>
          <w:szCs w:val="24"/>
        </w:rPr>
      </w:pPr>
      <w:r w:rsidRPr="00473D4F">
        <w:rPr>
          <w:rStyle w:val="HideTWBExt"/>
        </w:rPr>
        <w:t>&lt;/Amend&gt;</w:t>
      </w:r>
    </w:p>
    <w:p w:rsidR="00932D06" w:rsidRPr="00473D4F" w:rsidRDefault="003B3846" w:rsidP="00932D06">
      <w:pPr>
        <w:pStyle w:val="AMNumberTabs0"/>
        <w:keepNext/>
      </w:pPr>
      <w:r w:rsidRPr="00473D4F">
        <w:rPr>
          <w:rStyle w:val="HideTWBExt"/>
          <w:b w:val="0"/>
        </w:rPr>
        <w:t>&lt;Amend&gt;</w:t>
      </w:r>
      <w:r w:rsidRPr="00473D4F">
        <w:t>Alteração</w:t>
      </w:r>
      <w:r w:rsidRPr="00473D4F">
        <w:tab/>
      </w:r>
      <w:r w:rsidRPr="00473D4F">
        <w:tab/>
      </w:r>
      <w:r w:rsidRPr="00473D4F">
        <w:rPr>
          <w:rStyle w:val="HideTWBExt"/>
          <w:b w:val="0"/>
        </w:rPr>
        <w:t>&lt;NumAm&gt;</w:t>
      </w:r>
      <w:r w:rsidRPr="00473D4F">
        <w:t>17</w:t>
      </w:r>
      <w:r w:rsidRPr="00473D4F">
        <w:rPr>
          <w:rStyle w:val="HideTWBExt"/>
          <w:b w:val="0"/>
        </w:rPr>
        <w:t>&lt;/NumAm&gt;</w:t>
      </w:r>
    </w:p>
    <w:p w:rsidR="00932D06" w:rsidRPr="00473D4F" w:rsidRDefault="003B3846" w:rsidP="00932D06">
      <w:pPr>
        <w:pStyle w:val="NormalBold12b"/>
        <w:keepNext/>
      </w:pPr>
      <w:r w:rsidRPr="00473D4F">
        <w:rPr>
          <w:rStyle w:val="HideTWBExt"/>
          <w:b w:val="0"/>
        </w:rPr>
        <w:t>&lt;DocAmend&gt;</w:t>
      </w:r>
      <w:r w:rsidRPr="00473D4F">
        <w:t>Prop</w:t>
      </w:r>
      <w:r w:rsidRPr="00473D4F">
        <w:t>osta de diretiva</w:t>
      </w:r>
      <w:r w:rsidRPr="00473D4F">
        <w:rPr>
          <w:rStyle w:val="HideTWBExt"/>
          <w:b w:val="0"/>
        </w:rPr>
        <w:t>&lt;/DocAmend&gt;</w:t>
      </w:r>
    </w:p>
    <w:p w:rsidR="00932D06" w:rsidRPr="00473D4F" w:rsidRDefault="003B3846" w:rsidP="00932D06">
      <w:pPr>
        <w:pStyle w:val="NormalBold"/>
      </w:pPr>
      <w:r w:rsidRPr="00473D4F">
        <w:rPr>
          <w:rStyle w:val="HideTWBExt"/>
          <w:b w:val="0"/>
        </w:rPr>
        <w:t>&lt;Article&gt;</w:t>
      </w:r>
      <w:r w:rsidRPr="00473D4F">
        <w:t>Artigo 2 – parágrafo 1 – ponto 3 – alínea a)</w:t>
      </w:r>
      <w:r w:rsidRPr="00473D4F">
        <w:rPr>
          <w:rStyle w:val="HideTWBExt"/>
          <w:b w:val="0"/>
        </w:rPr>
        <w:t>&lt;/Article&gt;</w:t>
      </w:r>
    </w:p>
    <w:p w:rsidR="00932D06" w:rsidRPr="00473D4F" w:rsidRDefault="003B3846" w:rsidP="00932D06">
      <w:pPr>
        <w:keepNext/>
      </w:pPr>
      <w:r w:rsidRPr="00473D4F">
        <w:rPr>
          <w:rStyle w:val="HideTWBExt"/>
        </w:rPr>
        <w:t>&lt;DocAmend2&gt;</w:t>
      </w:r>
      <w:r w:rsidRPr="00473D4F">
        <w:t>Regulamento (UE) n.º 806/2014</w:t>
      </w:r>
      <w:r w:rsidRPr="00473D4F">
        <w:rPr>
          <w:rStyle w:val="HideTWBExt"/>
        </w:rPr>
        <w:t>&lt;/DocAmend2&gt;</w:t>
      </w:r>
    </w:p>
    <w:p w:rsidR="00932D06" w:rsidRPr="00473D4F" w:rsidRDefault="003B3846" w:rsidP="00932D06">
      <w:r w:rsidRPr="00473D4F">
        <w:rPr>
          <w:rStyle w:val="HideTWBExt"/>
        </w:rPr>
        <w:t>&lt;Article2&gt;</w:t>
      </w:r>
      <w:r w:rsidRPr="00473D4F">
        <w:t>Artigo 12-G – n.º 1 – parágrafo 3-A – alínea a) – subalínea ii)</w:t>
      </w:r>
      <w:r w:rsidRPr="00473D4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042" w:rsidRPr="00473D4F" w:rsidTr="00932D06">
        <w:trPr>
          <w:jc w:val="center"/>
        </w:trPr>
        <w:tc>
          <w:tcPr>
            <w:tcW w:w="9752" w:type="dxa"/>
            <w:gridSpan w:val="2"/>
          </w:tcPr>
          <w:p w:rsidR="00932D06" w:rsidRPr="00473D4F" w:rsidRDefault="00932D06">
            <w:pPr>
              <w:keepNext/>
            </w:pPr>
          </w:p>
        </w:tc>
      </w:tr>
      <w:tr w:rsidR="00E35042" w:rsidRPr="00473D4F" w:rsidTr="00932D06">
        <w:trPr>
          <w:jc w:val="center"/>
        </w:trPr>
        <w:tc>
          <w:tcPr>
            <w:tcW w:w="4876" w:type="dxa"/>
            <w:hideMark/>
          </w:tcPr>
          <w:p w:rsidR="00932D06" w:rsidRPr="00473D4F" w:rsidRDefault="003B3846">
            <w:pPr>
              <w:pStyle w:val="ColumnHeading"/>
              <w:keepNext/>
            </w:pPr>
            <w:r w:rsidRPr="00473D4F">
              <w:t>Texto da Comissão</w:t>
            </w:r>
          </w:p>
        </w:tc>
        <w:tc>
          <w:tcPr>
            <w:tcW w:w="4876" w:type="dxa"/>
            <w:hideMark/>
          </w:tcPr>
          <w:p w:rsidR="00932D06" w:rsidRPr="00473D4F" w:rsidRDefault="003B3846">
            <w:pPr>
              <w:pStyle w:val="ColumnHeading"/>
              <w:keepNext/>
            </w:pPr>
            <w:r w:rsidRPr="00473D4F">
              <w:t>Alteração</w:t>
            </w:r>
          </w:p>
        </w:tc>
      </w:tr>
      <w:tr w:rsidR="00E35042" w:rsidRPr="00473D4F" w:rsidTr="00932D06">
        <w:trPr>
          <w:jc w:val="center"/>
        </w:trPr>
        <w:tc>
          <w:tcPr>
            <w:tcW w:w="4876" w:type="dxa"/>
            <w:hideMark/>
          </w:tcPr>
          <w:p w:rsidR="00932D06" w:rsidRPr="00473D4F" w:rsidRDefault="003B3846">
            <w:pPr>
              <w:pStyle w:val="Normal6"/>
            </w:pPr>
            <w:r w:rsidRPr="00473D4F">
              <w:t>ii)</w:t>
            </w:r>
            <w:r w:rsidRPr="00473D4F">
              <w:tab/>
              <w:t xml:space="preserve">a filial está sujeita ao requisito a que se refere o artigo 104.º-A da Diretiva 2013/36/UE </w:t>
            </w:r>
            <w:r w:rsidRPr="00473D4F">
              <w:rPr>
                <w:b/>
                <w:bCs/>
                <w:i/>
                <w:iCs/>
              </w:rPr>
              <w:t>ou ao requisito combinado de reservas de fundos próprios</w:t>
            </w:r>
            <w:r w:rsidRPr="00473D4F">
              <w:t xml:space="preserve"> em base consolidada;</w:t>
            </w:r>
          </w:p>
        </w:tc>
        <w:tc>
          <w:tcPr>
            <w:tcW w:w="4876" w:type="dxa"/>
            <w:hideMark/>
          </w:tcPr>
          <w:p w:rsidR="00932D06" w:rsidRPr="00473D4F" w:rsidRDefault="003B3846">
            <w:pPr>
              <w:pStyle w:val="Normal6"/>
              <w:rPr>
                <w:szCs w:val="24"/>
              </w:rPr>
            </w:pPr>
            <w:r w:rsidRPr="00473D4F">
              <w:t>ii)</w:t>
            </w:r>
            <w:r w:rsidRPr="00473D4F">
              <w:tab/>
            </w:r>
            <w:r w:rsidRPr="00473D4F">
              <w:t xml:space="preserve">a filial está sujeita ao requisito a que se refere o artigo 104.º-A da Diretiva 2013/36/UE </w:t>
            </w:r>
            <w:r w:rsidRPr="00473D4F">
              <w:rPr>
                <w:b/>
                <w:bCs/>
                <w:i/>
                <w:iCs/>
              </w:rPr>
              <w:t>unicamente</w:t>
            </w:r>
            <w:r w:rsidRPr="00473D4F">
              <w:t xml:space="preserve"> em base consolidada;</w:t>
            </w:r>
          </w:p>
        </w:tc>
      </w:tr>
    </w:tbl>
    <w:p w:rsidR="00932D06" w:rsidRPr="00473D4F" w:rsidRDefault="003B3846" w:rsidP="00932D06">
      <w:pPr>
        <w:pStyle w:val="Olang"/>
        <w:rPr>
          <w:sz w:val="24"/>
          <w:szCs w:val="24"/>
        </w:rPr>
      </w:pPr>
      <w:r w:rsidRPr="00473D4F">
        <w:rPr>
          <w:sz w:val="24"/>
          <w:szCs w:val="24"/>
        </w:rPr>
        <w:t xml:space="preserve">Or. </w:t>
      </w:r>
      <w:r w:rsidRPr="00473D4F">
        <w:rPr>
          <w:rStyle w:val="HideTWBExt"/>
        </w:rPr>
        <w:t>&lt;Original&gt;</w:t>
      </w:r>
      <w:r w:rsidRPr="00473D4F">
        <w:rPr>
          <w:rStyle w:val="HideTWBInt"/>
          <w:sz w:val="24"/>
          <w:szCs w:val="24"/>
        </w:rPr>
        <w:t>{EN}</w:t>
      </w:r>
      <w:r w:rsidRPr="00473D4F">
        <w:rPr>
          <w:sz w:val="24"/>
          <w:szCs w:val="24"/>
        </w:rPr>
        <w:t>en</w:t>
      </w:r>
      <w:r w:rsidRPr="00473D4F">
        <w:rPr>
          <w:rStyle w:val="HideTWBExt"/>
        </w:rPr>
        <w:t>&lt;/Original&gt;</w:t>
      </w:r>
    </w:p>
    <w:p w:rsidR="00932D06" w:rsidRPr="00473D4F" w:rsidRDefault="003B3846" w:rsidP="00932D06">
      <w:pPr>
        <w:rPr>
          <w:szCs w:val="24"/>
        </w:rPr>
      </w:pPr>
      <w:r w:rsidRPr="00473D4F">
        <w:rPr>
          <w:rStyle w:val="HideTWBExt"/>
        </w:rPr>
        <w:t>&lt;/Amend&gt;</w:t>
      </w:r>
    </w:p>
    <w:p w:rsidR="00932D06" w:rsidRPr="00473D4F" w:rsidRDefault="003B3846" w:rsidP="00932D06">
      <w:pPr>
        <w:pStyle w:val="AMNumberTabs0"/>
        <w:keepNext/>
      </w:pPr>
      <w:r w:rsidRPr="00473D4F">
        <w:rPr>
          <w:rStyle w:val="HideTWBExt"/>
          <w:b w:val="0"/>
        </w:rPr>
        <w:t>&lt;Amend&gt;</w:t>
      </w:r>
      <w:r w:rsidRPr="00473D4F">
        <w:t>Alteração</w:t>
      </w:r>
      <w:r w:rsidRPr="00473D4F">
        <w:tab/>
      </w:r>
      <w:r w:rsidRPr="00473D4F">
        <w:tab/>
      </w:r>
      <w:r w:rsidRPr="00473D4F">
        <w:rPr>
          <w:rStyle w:val="HideTWBExt"/>
          <w:b w:val="0"/>
        </w:rPr>
        <w:t>&lt;NumAm&gt;</w:t>
      </w:r>
      <w:r w:rsidRPr="00473D4F">
        <w:t>18</w:t>
      </w:r>
      <w:r w:rsidRPr="00473D4F">
        <w:rPr>
          <w:rStyle w:val="HideTWBExt"/>
          <w:b w:val="0"/>
        </w:rPr>
        <w:t>&lt;/NumAm&gt;</w:t>
      </w:r>
    </w:p>
    <w:p w:rsidR="00932D06" w:rsidRPr="00473D4F" w:rsidRDefault="003B3846" w:rsidP="00932D06">
      <w:pPr>
        <w:pStyle w:val="NormalBold12b"/>
        <w:keepNext/>
      </w:pPr>
      <w:r w:rsidRPr="00473D4F">
        <w:rPr>
          <w:rStyle w:val="HideTWBExt"/>
          <w:b w:val="0"/>
        </w:rPr>
        <w:t>&lt;DocAmend&gt;</w:t>
      </w:r>
      <w:r w:rsidRPr="00473D4F">
        <w:t>Proposta de diretiva</w:t>
      </w:r>
      <w:r w:rsidRPr="00473D4F">
        <w:rPr>
          <w:rStyle w:val="HideTWBExt"/>
          <w:b w:val="0"/>
        </w:rPr>
        <w:t>&lt;/DocAmend&gt;</w:t>
      </w:r>
    </w:p>
    <w:p w:rsidR="00932D06" w:rsidRPr="00473D4F" w:rsidRDefault="003B3846" w:rsidP="00932D06">
      <w:pPr>
        <w:pStyle w:val="NormalBold"/>
      </w:pPr>
      <w:r w:rsidRPr="00473D4F">
        <w:rPr>
          <w:rStyle w:val="HideTWBExt"/>
          <w:b w:val="0"/>
        </w:rPr>
        <w:t>&lt;Article&gt;</w:t>
      </w:r>
      <w:r w:rsidRPr="00473D4F">
        <w:t>Artigo 2 – parágrafo 1 – ponto 3 – alínea a)</w:t>
      </w:r>
      <w:r w:rsidRPr="00473D4F">
        <w:rPr>
          <w:rStyle w:val="HideTWBExt"/>
          <w:b w:val="0"/>
        </w:rPr>
        <w:t>&lt;/Article&gt;</w:t>
      </w:r>
    </w:p>
    <w:p w:rsidR="00932D06" w:rsidRPr="00473D4F" w:rsidRDefault="003B3846" w:rsidP="00932D06">
      <w:pPr>
        <w:keepNext/>
      </w:pPr>
      <w:r w:rsidRPr="00473D4F">
        <w:rPr>
          <w:rStyle w:val="HideTWBExt"/>
        </w:rPr>
        <w:t>&lt;DocAmend2&gt;</w:t>
      </w:r>
      <w:r w:rsidRPr="00473D4F">
        <w:t>Regulamento (UE) n.º 806/2014</w:t>
      </w:r>
      <w:r w:rsidRPr="00473D4F">
        <w:rPr>
          <w:rStyle w:val="HideTWBExt"/>
        </w:rPr>
        <w:t>&lt;/DocAmend2&gt;</w:t>
      </w:r>
    </w:p>
    <w:p w:rsidR="00932D06" w:rsidRPr="00473D4F" w:rsidRDefault="003B3846" w:rsidP="00932D06">
      <w:r w:rsidRPr="00473D4F">
        <w:rPr>
          <w:rStyle w:val="HideTWBExt"/>
        </w:rPr>
        <w:t>&lt;Article2&gt;</w:t>
      </w:r>
      <w:r w:rsidRPr="00473D4F">
        <w:t>Artigo 12-G– n.º 1 – parágrafo 3-A– alínea b)</w:t>
      </w:r>
      <w:r w:rsidRPr="00473D4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042" w:rsidRPr="00473D4F" w:rsidTr="00932D06">
        <w:trPr>
          <w:jc w:val="center"/>
        </w:trPr>
        <w:tc>
          <w:tcPr>
            <w:tcW w:w="9752" w:type="dxa"/>
            <w:gridSpan w:val="2"/>
          </w:tcPr>
          <w:p w:rsidR="00932D06" w:rsidRPr="00473D4F" w:rsidRDefault="00932D06">
            <w:pPr>
              <w:keepNext/>
            </w:pPr>
          </w:p>
        </w:tc>
      </w:tr>
      <w:tr w:rsidR="00E35042" w:rsidRPr="00473D4F" w:rsidTr="00932D06">
        <w:trPr>
          <w:jc w:val="center"/>
        </w:trPr>
        <w:tc>
          <w:tcPr>
            <w:tcW w:w="4876" w:type="dxa"/>
            <w:hideMark/>
          </w:tcPr>
          <w:p w:rsidR="00932D06" w:rsidRPr="00473D4F" w:rsidRDefault="003B3846">
            <w:pPr>
              <w:pStyle w:val="ColumnHeading"/>
              <w:keepNext/>
            </w:pPr>
            <w:r w:rsidRPr="00473D4F">
              <w:t>Texto da Comissão</w:t>
            </w:r>
          </w:p>
        </w:tc>
        <w:tc>
          <w:tcPr>
            <w:tcW w:w="4876" w:type="dxa"/>
            <w:hideMark/>
          </w:tcPr>
          <w:p w:rsidR="00932D06" w:rsidRPr="00473D4F" w:rsidRDefault="003B3846">
            <w:pPr>
              <w:pStyle w:val="ColumnHeading"/>
              <w:keepNext/>
            </w:pPr>
            <w:r w:rsidRPr="00473D4F">
              <w:t>Alteração</w:t>
            </w:r>
          </w:p>
        </w:tc>
      </w:tr>
      <w:tr w:rsidR="00E35042" w:rsidRPr="00473D4F" w:rsidTr="00932D06">
        <w:trPr>
          <w:jc w:val="center"/>
        </w:trPr>
        <w:tc>
          <w:tcPr>
            <w:tcW w:w="4876" w:type="dxa"/>
            <w:hideMark/>
          </w:tcPr>
          <w:p w:rsidR="00932D06" w:rsidRPr="00473D4F" w:rsidRDefault="003B3846">
            <w:pPr>
              <w:pStyle w:val="Normal6"/>
            </w:pPr>
            <w:r w:rsidRPr="00473D4F">
              <w:t>(b)</w:t>
            </w:r>
            <w:r w:rsidRPr="00473D4F">
              <w:tab/>
              <w:t>O cumprimento do requisito estabelecido no art</w:t>
            </w:r>
            <w:r w:rsidRPr="00473D4F">
              <w:t>igo 12.º-D em base consolidada não afeta negativamente</w:t>
            </w:r>
            <w:r w:rsidRPr="00473D4F">
              <w:rPr>
                <w:b/>
                <w:bCs/>
                <w:i/>
                <w:iCs/>
              </w:rPr>
              <w:t>, de forma significativa,</w:t>
            </w:r>
            <w:r w:rsidRPr="00473D4F">
              <w:t xml:space="preserve"> a resolubilidade do grupo de resolução, ou a redução ou conversão, nos termos do artigo 21.º, dos instrumentos de capital relevantes e dos passivos elegíveis da instituição ou </w:t>
            </w:r>
            <w:r w:rsidRPr="00473D4F">
              <w:t>filial em causa ou de outras entidades do grupo de resolução;</w:t>
            </w:r>
          </w:p>
        </w:tc>
        <w:tc>
          <w:tcPr>
            <w:tcW w:w="4876" w:type="dxa"/>
            <w:hideMark/>
          </w:tcPr>
          <w:p w:rsidR="00932D06" w:rsidRPr="00473D4F" w:rsidRDefault="003B3846">
            <w:pPr>
              <w:pStyle w:val="Normal6"/>
              <w:rPr>
                <w:szCs w:val="24"/>
              </w:rPr>
            </w:pPr>
            <w:r w:rsidRPr="00473D4F">
              <w:t>(b)</w:t>
            </w:r>
            <w:r w:rsidRPr="00473D4F">
              <w:tab/>
              <w:t>O cumprimento do requisito estabelecido no artigo 12.º-D em base consolidada não afeta negativamente a resolubilidade do grupo de resolução, ou a redução ou conversão, nos termos do artigo 2</w:t>
            </w:r>
            <w:r w:rsidRPr="00473D4F">
              <w:t>1.º, dos instrumentos de capital relevantes e dos passivos elegíveis da instituição ou filial em causa ou de outras entidades do grupo de resolução;</w:t>
            </w:r>
          </w:p>
        </w:tc>
      </w:tr>
    </w:tbl>
    <w:p w:rsidR="00932D06" w:rsidRPr="00473D4F" w:rsidRDefault="003B3846" w:rsidP="00932D06">
      <w:pPr>
        <w:pStyle w:val="Olang"/>
        <w:rPr>
          <w:sz w:val="24"/>
          <w:szCs w:val="24"/>
        </w:rPr>
      </w:pPr>
      <w:r w:rsidRPr="00473D4F">
        <w:rPr>
          <w:sz w:val="24"/>
          <w:szCs w:val="24"/>
        </w:rPr>
        <w:t xml:space="preserve">Or. </w:t>
      </w:r>
      <w:r w:rsidRPr="00473D4F">
        <w:rPr>
          <w:rStyle w:val="HideTWBExt"/>
        </w:rPr>
        <w:t>&lt;Original&gt;</w:t>
      </w:r>
      <w:r w:rsidRPr="00473D4F">
        <w:rPr>
          <w:rStyle w:val="HideTWBInt"/>
          <w:sz w:val="24"/>
          <w:szCs w:val="24"/>
        </w:rPr>
        <w:t>{EN}</w:t>
      </w:r>
      <w:r w:rsidRPr="00473D4F">
        <w:rPr>
          <w:sz w:val="24"/>
          <w:szCs w:val="24"/>
        </w:rPr>
        <w:t>en</w:t>
      </w:r>
      <w:r w:rsidRPr="00473D4F">
        <w:rPr>
          <w:rStyle w:val="HideTWBExt"/>
        </w:rPr>
        <w:t>&lt;/Original&gt;</w:t>
      </w:r>
    </w:p>
    <w:p w:rsidR="00932D06" w:rsidRPr="00473D4F" w:rsidRDefault="003B3846" w:rsidP="00932D06">
      <w:pPr>
        <w:rPr>
          <w:szCs w:val="24"/>
        </w:rPr>
      </w:pPr>
      <w:r w:rsidRPr="00473D4F">
        <w:rPr>
          <w:rStyle w:val="HideTWBExt"/>
        </w:rPr>
        <w:t>&lt;/Amend&gt;</w:t>
      </w:r>
    </w:p>
    <w:p w:rsidR="00932D06" w:rsidRPr="00473D4F" w:rsidRDefault="003B3846" w:rsidP="00932D06">
      <w:pPr>
        <w:pStyle w:val="AMNumberTabs0"/>
        <w:keepNext/>
      </w:pPr>
      <w:r w:rsidRPr="00473D4F">
        <w:rPr>
          <w:rStyle w:val="HideTWBExt"/>
          <w:b w:val="0"/>
        </w:rPr>
        <w:t>&lt;Amend&gt;</w:t>
      </w:r>
      <w:r w:rsidRPr="00473D4F">
        <w:t>Alteração</w:t>
      </w:r>
      <w:r w:rsidRPr="00473D4F">
        <w:tab/>
      </w:r>
      <w:r w:rsidRPr="00473D4F">
        <w:tab/>
      </w:r>
      <w:r w:rsidRPr="00473D4F">
        <w:rPr>
          <w:rStyle w:val="HideTWBExt"/>
          <w:b w:val="0"/>
        </w:rPr>
        <w:t>&lt;NumAm&gt;</w:t>
      </w:r>
      <w:r w:rsidRPr="00473D4F">
        <w:t>19</w:t>
      </w:r>
      <w:r w:rsidRPr="00473D4F">
        <w:rPr>
          <w:rStyle w:val="HideTWBExt"/>
          <w:b w:val="0"/>
        </w:rPr>
        <w:t>&lt;/NumAm&gt;</w:t>
      </w:r>
    </w:p>
    <w:p w:rsidR="00932D06" w:rsidRPr="00473D4F" w:rsidRDefault="003B3846" w:rsidP="00932D06">
      <w:pPr>
        <w:pStyle w:val="NormalBold12b"/>
        <w:keepNext/>
      </w:pPr>
      <w:r w:rsidRPr="00473D4F">
        <w:rPr>
          <w:rStyle w:val="HideTWBExt"/>
          <w:b w:val="0"/>
        </w:rPr>
        <w:t>&lt;DocAmend&gt;</w:t>
      </w:r>
      <w:r w:rsidRPr="00473D4F">
        <w:t xml:space="preserve">Proposta de </w:t>
      </w:r>
      <w:r w:rsidRPr="00473D4F">
        <w:t>diretiva</w:t>
      </w:r>
      <w:r w:rsidRPr="00473D4F">
        <w:rPr>
          <w:rStyle w:val="HideTWBExt"/>
          <w:b w:val="0"/>
        </w:rPr>
        <w:t>&lt;/DocAmend&gt;</w:t>
      </w:r>
    </w:p>
    <w:p w:rsidR="00932D06" w:rsidRPr="00473D4F" w:rsidRDefault="003B3846" w:rsidP="00932D06">
      <w:pPr>
        <w:pStyle w:val="NormalBold"/>
      </w:pPr>
      <w:r w:rsidRPr="00473D4F">
        <w:rPr>
          <w:rStyle w:val="HideTWBExt"/>
          <w:b w:val="0"/>
        </w:rPr>
        <w:t>&lt;Article&gt;</w:t>
      </w:r>
      <w:r w:rsidRPr="00473D4F">
        <w:t>Artigo 2 – parágrafo 1 – ponto 3 – alínea b)</w:t>
      </w:r>
      <w:r w:rsidRPr="00473D4F">
        <w:rPr>
          <w:rStyle w:val="HideTWBExt"/>
          <w:b w:val="0"/>
        </w:rPr>
        <w:t>&lt;/Article&gt;</w:t>
      </w:r>
    </w:p>
    <w:p w:rsidR="00932D06" w:rsidRPr="00473D4F" w:rsidRDefault="003B3846" w:rsidP="00932D06">
      <w:pPr>
        <w:keepNext/>
      </w:pPr>
      <w:r w:rsidRPr="00473D4F">
        <w:rPr>
          <w:rStyle w:val="HideTWBExt"/>
        </w:rPr>
        <w:t>&lt;DocAmend2&gt;</w:t>
      </w:r>
      <w:r w:rsidRPr="00473D4F">
        <w:t>Regulamento (UE) n.º 806/2014</w:t>
      </w:r>
      <w:r w:rsidRPr="00473D4F">
        <w:rPr>
          <w:rStyle w:val="HideTWBExt"/>
        </w:rPr>
        <w:t>&lt;/DocAmend2&gt;</w:t>
      </w:r>
    </w:p>
    <w:p w:rsidR="00932D06" w:rsidRPr="00473D4F" w:rsidRDefault="003B3846" w:rsidP="00932D06">
      <w:r w:rsidRPr="00473D4F">
        <w:rPr>
          <w:rStyle w:val="HideTWBExt"/>
        </w:rPr>
        <w:t>&lt;Article2&gt;</w:t>
      </w:r>
      <w:r w:rsidRPr="00473D4F">
        <w:t>Artigo 12-G – n.º 2-A – parágrafo 2 – parte introdutória</w:t>
      </w:r>
      <w:r w:rsidRPr="00473D4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042" w:rsidRPr="00473D4F" w:rsidTr="00932D06">
        <w:trPr>
          <w:jc w:val="center"/>
        </w:trPr>
        <w:tc>
          <w:tcPr>
            <w:tcW w:w="9752" w:type="dxa"/>
            <w:gridSpan w:val="2"/>
          </w:tcPr>
          <w:p w:rsidR="00932D06" w:rsidRPr="00473D4F" w:rsidRDefault="00932D06">
            <w:pPr>
              <w:keepNext/>
            </w:pPr>
          </w:p>
        </w:tc>
      </w:tr>
      <w:tr w:rsidR="00E35042" w:rsidRPr="00473D4F" w:rsidTr="00932D06">
        <w:trPr>
          <w:jc w:val="center"/>
        </w:trPr>
        <w:tc>
          <w:tcPr>
            <w:tcW w:w="4876" w:type="dxa"/>
            <w:hideMark/>
          </w:tcPr>
          <w:p w:rsidR="00932D06" w:rsidRPr="00473D4F" w:rsidRDefault="003B3846">
            <w:pPr>
              <w:pStyle w:val="ColumnHeading"/>
              <w:keepNext/>
            </w:pPr>
            <w:r w:rsidRPr="00473D4F">
              <w:t>Texto da Comissão</w:t>
            </w:r>
          </w:p>
        </w:tc>
        <w:tc>
          <w:tcPr>
            <w:tcW w:w="4876" w:type="dxa"/>
            <w:hideMark/>
          </w:tcPr>
          <w:p w:rsidR="00932D06" w:rsidRPr="00473D4F" w:rsidRDefault="003B3846">
            <w:pPr>
              <w:pStyle w:val="ColumnHeading"/>
              <w:keepNext/>
            </w:pPr>
            <w:r w:rsidRPr="00473D4F">
              <w:t>Alteração</w:t>
            </w:r>
          </w:p>
        </w:tc>
      </w:tr>
      <w:tr w:rsidR="00E35042" w:rsidRPr="00473D4F" w:rsidTr="00932D06">
        <w:trPr>
          <w:jc w:val="center"/>
        </w:trPr>
        <w:tc>
          <w:tcPr>
            <w:tcW w:w="4876" w:type="dxa"/>
            <w:hideMark/>
          </w:tcPr>
          <w:p w:rsidR="00932D06" w:rsidRPr="00473D4F" w:rsidRDefault="003B3846">
            <w:pPr>
              <w:pStyle w:val="Normal6"/>
            </w:pPr>
            <w:r w:rsidRPr="00473D4F">
              <w:t xml:space="preserve">Os passivos a que se refere as alíneas a) e b), primeiro parágrafo, não podem exceder o montante determinado subtraindo do montante do requisito a que se refere o </w:t>
            </w:r>
            <w:r w:rsidRPr="00473D4F">
              <w:rPr>
                <w:b/>
                <w:bCs/>
                <w:i/>
                <w:iCs/>
              </w:rPr>
              <w:t>artigo 45.º, n.º 1</w:t>
            </w:r>
            <w:r w:rsidRPr="00473D4F">
              <w:t>, aplicável à filial incluída na consolidação, a soma de todos os seguintes</w:t>
            </w:r>
            <w:r w:rsidRPr="00473D4F">
              <w:t xml:space="preserve"> elementos:</w:t>
            </w:r>
          </w:p>
        </w:tc>
        <w:tc>
          <w:tcPr>
            <w:tcW w:w="4876" w:type="dxa"/>
            <w:hideMark/>
          </w:tcPr>
          <w:p w:rsidR="00932D06" w:rsidRPr="00473D4F" w:rsidRDefault="003B3846">
            <w:pPr>
              <w:pStyle w:val="Normal6"/>
              <w:rPr>
                <w:szCs w:val="24"/>
              </w:rPr>
            </w:pPr>
            <w:r w:rsidRPr="00473D4F">
              <w:t xml:space="preserve">Os passivos a que se referem as alíneas a) e b), primeiro parágrafo, não podem exceder o montante determinado subtraindo do montante do requisito a que se refere o </w:t>
            </w:r>
            <w:r w:rsidRPr="00473D4F">
              <w:rPr>
                <w:b/>
                <w:bCs/>
                <w:i/>
                <w:iCs/>
              </w:rPr>
              <w:t>artigo 12.º, n.º 1</w:t>
            </w:r>
            <w:r w:rsidRPr="00473D4F">
              <w:t>, aplicável à filial incluída na consolidação, a soma de todos</w:t>
            </w:r>
            <w:r w:rsidRPr="00473D4F">
              <w:t xml:space="preserve"> os seguintes elementos:</w:t>
            </w:r>
          </w:p>
        </w:tc>
      </w:tr>
    </w:tbl>
    <w:p w:rsidR="00932D06" w:rsidRPr="00473D4F" w:rsidRDefault="003B3846" w:rsidP="00932D06">
      <w:pPr>
        <w:pStyle w:val="Olang"/>
        <w:rPr>
          <w:sz w:val="24"/>
          <w:szCs w:val="24"/>
        </w:rPr>
      </w:pPr>
      <w:r w:rsidRPr="00473D4F">
        <w:rPr>
          <w:sz w:val="24"/>
          <w:szCs w:val="24"/>
        </w:rPr>
        <w:t xml:space="preserve">Or. </w:t>
      </w:r>
      <w:r w:rsidRPr="00473D4F">
        <w:rPr>
          <w:rStyle w:val="HideTWBExt"/>
        </w:rPr>
        <w:t>&lt;Original&gt;</w:t>
      </w:r>
      <w:r w:rsidRPr="00473D4F">
        <w:rPr>
          <w:rStyle w:val="HideTWBInt"/>
          <w:sz w:val="24"/>
          <w:szCs w:val="24"/>
        </w:rPr>
        <w:t>{EN}</w:t>
      </w:r>
      <w:r w:rsidRPr="00473D4F">
        <w:rPr>
          <w:sz w:val="24"/>
          <w:szCs w:val="24"/>
        </w:rPr>
        <w:t>en</w:t>
      </w:r>
      <w:r w:rsidRPr="00473D4F">
        <w:rPr>
          <w:rStyle w:val="HideTWBExt"/>
        </w:rPr>
        <w:t>&lt;/Original&gt;</w:t>
      </w:r>
    </w:p>
    <w:p w:rsidR="00467F7B" w:rsidRPr="00473D4F" w:rsidRDefault="003B3846" w:rsidP="00467F7B">
      <w:r w:rsidRPr="00473D4F">
        <w:rPr>
          <w:rStyle w:val="HideTWBExt"/>
        </w:rPr>
        <w:t>&lt;/Amend&gt;</w:t>
      </w:r>
    </w:p>
    <w:p w:rsidR="002669B6" w:rsidRPr="00473D4F" w:rsidRDefault="003B3846" w:rsidP="002669B6">
      <w:r w:rsidRPr="00473D4F">
        <w:rPr>
          <w:rStyle w:val="HideTWBExt"/>
        </w:rPr>
        <w:t>&lt;/RepeatBlock-Amend&gt;</w:t>
      </w:r>
    </w:p>
    <w:p w:rsidR="002669B6" w:rsidRPr="00473D4F" w:rsidRDefault="002669B6" w:rsidP="002669B6">
      <w:bookmarkStart w:id="2" w:name="_GoBack"/>
      <w:bookmarkEnd w:id="2"/>
    </w:p>
    <w:sectPr w:rsidR="002669B6" w:rsidRPr="00473D4F" w:rsidSect="00473D4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473D4F" w:rsidRDefault="003B3846">
      <w:r w:rsidRPr="00473D4F">
        <w:separator/>
      </w:r>
    </w:p>
  </w:endnote>
  <w:endnote w:type="continuationSeparator" w:id="0">
    <w:p w:rsidR="00000000" w:rsidRPr="00473D4F" w:rsidRDefault="003B3846">
      <w:r w:rsidRPr="00473D4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3D4F" w:rsidRPr="00473D4F" w:rsidRDefault="00473D4F" w:rsidP="00473D4F">
    <w:pPr>
      <w:pStyle w:val="EPFooter"/>
    </w:pPr>
    <w:r w:rsidRPr="00473D4F">
      <w:t>PE</w:t>
    </w:r>
    <w:r w:rsidRPr="00473D4F">
      <w:rPr>
        <w:rStyle w:val="HideTWBExt"/>
      </w:rPr>
      <w:t>&lt;NoPE&gt;</w:t>
    </w:r>
    <w:r w:rsidRPr="00473D4F">
      <w:t>752.913</w:t>
    </w:r>
    <w:r w:rsidRPr="00473D4F">
      <w:rPr>
        <w:rStyle w:val="HideTWBExt"/>
      </w:rPr>
      <w:t>&lt;/NoPE&gt;&lt;Version&gt;</w:t>
    </w:r>
    <w:r w:rsidRPr="00473D4F">
      <w:t>v01-00</w:t>
    </w:r>
    <w:r w:rsidRPr="00473D4F">
      <w:rPr>
        <w:rStyle w:val="HideTWBExt"/>
      </w:rPr>
      <w:t>&lt;/Version&gt;</w:t>
    </w:r>
    <w:r w:rsidRPr="00473D4F">
      <w:tab/>
    </w:r>
    <w:r w:rsidRPr="00473D4F">
      <w:fldChar w:fldCharType="begin"/>
    </w:r>
    <w:r w:rsidRPr="00473D4F">
      <w:instrText xml:space="preserve"> PAGE  \* MERGEFORMAT </w:instrText>
    </w:r>
    <w:r w:rsidRPr="00473D4F">
      <w:fldChar w:fldCharType="separate"/>
    </w:r>
    <w:r w:rsidR="003B3846">
      <w:rPr>
        <w:noProof/>
      </w:rPr>
      <w:t>20</w:t>
    </w:r>
    <w:r w:rsidRPr="00473D4F">
      <w:fldChar w:fldCharType="end"/>
    </w:r>
    <w:r w:rsidRPr="00473D4F">
      <w:t>/</w:t>
    </w:r>
    <w:fldSimple w:instr=" NUMPAGES  \* MERGEFORMAT ">
      <w:r w:rsidR="003B3846">
        <w:rPr>
          <w:noProof/>
        </w:rPr>
        <w:t>20</w:t>
      </w:r>
    </w:fldSimple>
    <w:r w:rsidRPr="00473D4F">
      <w:tab/>
    </w:r>
    <w:r w:rsidRPr="00473D4F">
      <w:rPr>
        <w:rStyle w:val="HideTWBExt"/>
      </w:rPr>
      <w:t>&lt;PathFdR&gt;</w:t>
    </w:r>
    <w:r w:rsidRPr="00473D4F">
      <w:t>PR\1285454PT.docx</w:t>
    </w:r>
    <w:r w:rsidRPr="00473D4F">
      <w:rPr>
        <w:rStyle w:val="HideTWBExt"/>
      </w:rPr>
      <w:t>&lt;/PathFdR&gt;</w:t>
    </w:r>
  </w:p>
  <w:p w:rsidR="0048211B" w:rsidRPr="00473D4F" w:rsidRDefault="00473D4F" w:rsidP="00473D4F">
    <w:pPr>
      <w:pStyle w:val="EPFooter2"/>
    </w:pPr>
    <w:r w:rsidRPr="00473D4F">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3D4F" w:rsidRPr="00473D4F" w:rsidRDefault="00473D4F" w:rsidP="00473D4F">
    <w:pPr>
      <w:pStyle w:val="EPFooter"/>
    </w:pPr>
    <w:r w:rsidRPr="00473D4F">
      <w:rPr>
        <w:rStyle w:val="HideTWBExt"/>
      </w:rPr>
      <w:t>&lt;PathFdR&gt;</w:t>
    </w:r>
    <w:r w:rsidRPr="00473D4F">
      <w:t>PR\1285454PT.docx</w:t>
    </w:r>
    <w:r w:rsidRPr="00473D4F">
      <w:rPr>
        <w:rStyle w:val="HideTWBExt"/>
      </w:rPr>
      <w:t>&lt;/PathFdR&gt;</w:t>
    </w:r>
    <w:r w:rsidRPr="00473D4F">
      <w:tab/>
    </w:r>
    <w:r w:rsidRPr="00473D4F">
      <w:fldChar w:fldCharType="begin"/>
    </w:r>
    <w:r w:rsidRPr="00473D4F">
      <w:instrText xml:space="preserve"> PAGE  \* MERGEFORMAT </w:instrText>
    </w:r>
    <w:r w:rsidRPr="00473D4F">
      <w:fldChar w:fldCharType="separate"/>
    </w:r>
    <w:r w:rsidR="003B3846">
      <w:rPr>
        <w:noProof/>
      </w:rPr>
      <w:t>19</w:t>
    </w:r>
    <w:r w:rsidRPr="00473D4F">
      <w:fldChar w:fldCharType="end"/>
    </w:r>
    <w:r w:rsidRPr="00473D4F">
      <w:t>/</w:t>
    </w:r>
    <w:fldSimple w:instr=" NUMPAGES  \* MERGEFORMAT ">
      <w:r w:rsidR="003B3846">
        <w:rPr>
          <w:noProof/>
        </w:rPr>
        <w:t>20</w:t>
      </w:r>
    </w:fldSimple>
    <w:r w:rsidRPr="00473D4F">
      <w:tab/>
      <w:t>PE</w:t>
    </w:r>
    <w:r w:rsidRPr="00473D4F">
      <w:rPr>
        <w:rStyle w:val="HideTWBExt"/>
      </w:rPr>
      <w:t>&lt;NoPE&gt;</w:t>
    </w:r>
    <w:r w:rsidRPr="00473D4F">
      <w:t>752.913</w:t>
    </w:r>
    <w:r w:rsidRPr="00473D4F">
      <w:rPr>
        <w:rStyle w:val="HideTWBExt"/>
      </w:rPr>
      <w:t>&lt;/NoPE&gt;&lt;Version&gt;</w:t>
    </w:r>
    <w:r w:rsidRPr="00473D4F">
      <w:t>v01-00</w:t>
    </w:r>
    <w:r w:rsidRPr="00473D4F">
      <w:rPr>
        <w:rStyle w:val="HideTWBExt"/>
      </w:rPr>
      <w:t>&lt;/Version&gt;</w:t>
    </w:r>
  </w:p>
  <w:p w:rsidR="0048211B" w:rsidRPr="00473D4F" w:rsidRDefault="00473D4F" w:rsidP="00473D4F">
    <w:pPr>
      <w:pStyle w:val="EPFooter2"/>
    </w:pPr>
    <w:r w:rsidRPr="00473D4F">
      <w:tab/>
    </w:r>
    <w:r w:rsidRPr="00473D4F">
      <w:tab/>
      <w:t>PT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3D4F" w:rsidRPr="00473D4F" w:rsidRDefault="00473D4F" w:rsidP="00473D4F">
    <w:pPr>
      <w:pStyle w:val="EPFooter"/>
    </w:pPr>
    <w:r w:rsidRPr="00473D4F">
      <w:rPr>
        <w:rStyle w:val="HideTWBExt"/>
      </w:rPr>
      <w:t>&lt;PathFdR&gt;</w:t>
    </w:r>
    <w:r w:rsidRPr="00473D4F">
      <w:t>PR\1285454PT.docx</w:t>
    </w:r>
    <w:r w:rsidRPr="00473D4F">
      <w:rPr>
        <w:rStyle w:val="HideTWBExt"/>
      </w:rPr>
      <w:t>&lt;/PathFdR&gt;</w:t>
    </w:r>
    <w:r w:rsidRPr="00473D4F">
      <w:tab/>
    </w:r>
    <w:r w:rsidRPr="00473D4F">
      <w:tab/>
      <w:t>PE</w:t>
    </w:r>
    <w:r w:rsidRPr="00473D4F">
      <w:rPr>
        <w:rStyle w:val="HideTWBExt"/>
      </w:rPr>
      <w:t>&lt;NoPE&gt;</w:t>
    </w:r>
    <w:r w:rsidRPr="00473D4F">
      <w:t>752.913</w:t>
    </w:r>
    <w:r w:rsidRPr="00473D4F">
      <w:rPr>
        <w:rStyle w:val="HideTWBExt"/>
      </w:rPr>
      <w:t>&lt;/NoPE&gt;&lt;Version&gt;</w:t>
    </w:r>
    <w:r w:rsidRPr="00473D4F">
      <w:t>v01-00</w:t>
    </w:r>
    <w:r w:rsidRPr="00473D4F">
      <w:rPr>
        <w:rStyle w:val="HideTWBExt"/>
      </w:rPr>
      <w:t>&lt;/Version&gt;</w:t>
    </w:r>
  </w:p>
  <w:p w:rsidR="0048211B" w:rsidRPr="00473D4F" w:rsidRDefault="00473D4F" w:rsidP="00473D4F">
    <w:pPr>
      <w:pStyle w:val="EPFooter2"/>
    </w:pPr>
    <w:r w:rsidRPr="00473D4F">
      <w:t>PT</w:t>
    </w:r>
    <w:r w:rsidRPr="00473D4F">
      <w:tab/>
    </w:r>
    <w:r w:rsidRPr="00473D4F">
      <w:rPr>
        <w:b w:val="0"/>
        <w:i/>
        <w:color w:val="C0C0C0"/>
        <w:sz w:val="22"/>
      </w:rPr>
      <w:t>Unida na diversidade</w:t>
    </w:r>
    <w:r w:rsidRPr="00473D4F">
      <w:tab/>
      <w:t>PT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211B" w:rsidRPr="00473D4F" w:rsidRDefault="003B3846">
      <w:r w:rsidRPr="00473D4F">
        <w:separator/>
      </w:r>
    </w:p>
  </w:footnote>
  <w:footnote w:type="continuationSeparator" w:id="0">
    <w:p w:rsidR="0048211B" w:rsidRPr="00473D4F" w:rsidRDefault="003B3846">
      <w:r w:rsidRPr="00473D4F">
        <w:continuationSeparator/>
      </w:r>
    </w:p>
  </w:footnote>
  <w:footnote w:id="1">
    <w:p w:rsidR="0048211B" w:rsidRPr="00473D4F" w:rsidRDefault="003B3846">
      <w:pPr>
        <w:pStyle w:val="FootnoteText"/>
        <w:rPr>
          <w:sz w:val="24"/>
          <w:szCs w:val="24"/>
        </w:rPr>
      </w:pPr>
      <w:r w:rsidRPr="00473D4F">
        <w:rPr>
          <w:rStyle w:val="FootnoteReference"/>
          <w:sz w:val="24"/>
          <w:szCs w:val="24"/>
        </w:rPr>
        <w:footnoteRef/>
      </w:r>
      <w:r w:rsidRPr="00473D4F">
        <w:rPr>
          <w:sz w:val="24"/>
        </w:rPr>
        <w:t xml:space="preserve"> JO C 307 de 31.8.2023, p. 19.</w:t>
      </w:r>
    </w:p>
  </w:footnote>
  <w:footnote w:id="2">
    <w:p w:rsidR="0048211B" w:rsidRPr="00473D4F" w:rsidRDefault="003B3846">
      <w:pPr>
        <w:pStyle w:val="FootnoteText"/>
      </w:pPr>
      <w:r w:rsidRPr="00473D4F">
        <w:rPr>
          <w:rStyle w:val="FootnoteReference"/>
          <w:sz w:val="24"/>
          <w:szCs w:val="24"/>
        </w:rPr>
        <w:footnoteRef/>
      </w:r>
      <w:r w:rsidRPr="00473D4F">
        <w:t xml:space="preserve"> Ainda não publicado em Jornal Oficial.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3846" w:rsidRDefault="003B38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3846" w:rsidRDefault="003B384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3846" w:rsidRDefault="003B38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CJMNU" w:val="1"/>
    <w:docVar w:name="COMKEY" w:val="ECON"/>
    <w:docVar w:name="CopyToNetwork" w:val="-1"/>
    <w:docVar w:name="CVar" w:val="2"/>
    <w:docVar w:name="DOCMNU" w:val=" 2"/>
    <w:docVar w:name="EPOJMNU" w:val=" 3"/>
    <w:docVar w:name="EPSTATMNU" w:val=" 1"/>
    <w:docVar w:name="EPSTATPLURMNU" w:val=" 1"/>
    <w:docVar w:name="iNoAmend" w:val="2"/>
    <w:docVar w:name="INSTITUTIONSMNU" w:val=" 1"/>
    <w:docVar w:name="JURI1MNU" w:val=" 2"/>
    <w:docVar w:name="JURI2MNU" w:val=" 2"/>
    <w:docVar w:name="LastEditedSection" w:val=" 1"/>
    <w:docVar w:name="ORLANGKEY" w:val="EN"/>
    <w:docVar w:name="ORLANGMNU" w:val=" 1"/>
    <w:docVar w:name="OTHERSTATMNU" w:val=" 4"/>
    <w:docVar w:name="PARLIAMENTS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1\fbidi \froman\fcharset238\fprq2 Times New Roman CE;}{\f302\fbidi \froman\fcharset204\fprq2 Times New Roman Cyr;}_x000d__x000a_{\f304\fbidi \froman\fcharset161\fprq2 Times New Roman Greek;}{\f305\fbidi \froman\fcharset162\fprq2 Times New Roman Tur;}{\f306\fbidi \froman\fcharset177\fprq2 Times New Roman (Hebrew);}{\f307\fbidi \froman\fcharset178\fprq2 Times New Roman (Arabic);}_x000d__x000a_{\f308\fbidi \froman\fcharset186\fprq2 Times New Roman Baltic;}{\f309\fbidi \froman\fcharset163\fprq2 Times New Roman (Vietnamese);}{\f311\fbidi \fswiss\fcharset238\fprq2 Arial CE;}{\f312\fbidi \fswiss\fcharset204\fprq2 Arial Cyr;}_x000d__x000a_{\f314\fbidi \fswiss\fcharset161\fprq2 Arial Greek;}{\f315\fbidi \fswiss\fcharset162\fprq2 Arial Tur;}{\f316\fbidi \fswiss\fcharset177\fprq2 Arial (Hebrew);}{\f317\fbidi \fswiss\fcharset178\fprq2 Arial (Arabic);}_x000d__x000a_{\f318\fbidi \fswiss\fcharset186\fprq2 Arial Baltic;}{\f319\fbidi \fswiss\fcharset163\fprq2 Arial (Vietnamese);}{\f641\fbidi \froman\fcharset238\fprq2 Cambria Math CE;}{\f642\fbidi \froman\fcharset204\fprq2 Cambria Math Cyr;}_x000d__x000a_{\f644\fbidi \froman\fcharset161\fprq2 Cambria Math Greek;}{\f645\fbidi \froman\fcharset162\fprq2 Cambria Math Tur;}{\f648\fbidi \froman\fcharset186\fprq2 Cambria Math Baltic;}{\f64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658872 HideTWBExt;}{\*\cs18 \additive \v\f1\fs20\cf15 _x000d__x000a_\spriority0 \styrsid16658872 HideTWBInt;}{\s19\ql \li0\ri0\sa120\nowidctlpar\wrapdefault\aspalpha\aspnum\faauto\adjustright\rin0\lin0\itap0 \rtlch\fcs1 \af0\afs20\alang1025 \ltrch\fcs0 \fs24\lang2057\langfe2057\cgrid\langnp2057\langfenp2057 _x000d__x000a_\sbasedon0 \snext19 \spriority0 \styrsid16658872 Normal6a;}{\s20\ql \li0\ri0\nowidctlpar\wrapdefault\aspalpha\aspnum\faauto\adjustright\rin0\lin0\itap0 \rtlch\fcs1 \af0\afs20\alang1025 \ltrch\fcs0 \b\fs24\lang2057\langfe2057\cgrid\langnp2057\langfenp2057 _x000d__x000a_\sbasedon0 \snext20 \spriority0 \styrsid16658872 NormalBold;}{\s21\ql \li0\ri0\sa240\nowidctlpar\wrapdefault\aspalpha\aspnum\faauto\adjustright\rin0\lin0\itap0 \rtlch\fcs1 \af0\afs20\alang1025 \ltrch\fcs0 _x000d__x000a_\i\fs24\lang2057\langfe2057\cgrid\langnp2057\langfenp2057 \sbasedon0 \snext21 \spriority0 \styrsid16658872 AmJustText;}{\s22\qc \li0\ri0\sb240\sa240\nowidctlpar\wrapdefault\aspalpha\aspnum\faauto\adjustright\rin0\lin0\itap0 \rtlch\fcs1 _x000d__x000a_\af0\afs20\alang1025 \ltrch\fcs0 \i\fs24\lang2057\langfe2057\cgrid\langnp2057\langfenp2057 \sbasedon0 \snext22 \spriority0 \styrsid16658872 AmCrossRef;}{_x000d__x000a_\s23\qc \li0\ri0\sb240\sa240\keepn\nowidctlpar\wrapdefault\aspalpha\aspnum\faauto\adjustright\rin0\lin0\itap0 \rtlch\fcs1 \af0\afs20\alang1025 \ltrch\fcs0 \i\fs24\lang2057\langfe2057\cgrid\langnp2057\langfenp2057 _x000d__x000a_\sbasedon0 \snext21 \spriority0 \styrsid16658872 AmJustTitle;}{\s24\qr \li0\ri0\sb240\sa240\nowidctlpar\wrapdefault\aspalpha\aspnum\faauto\adjustright\rin0\lin0\itap0 \rtlch\fcs1 \af0\afs20\alang1025 \ltrch\fcs0 _x000d__x000a_\fs24\lang2057\langfe2057\cgrid\langnp2057\langfenp2057 \sbasedon0 \snext24 \spriority0 \styrsid16658872 AmOrLang;}{\s25\qc \li0\ri0\sa240\nowidctlpar\wrapdefault\aspalpha\aspnum\faauto\adjustright\rin0\lin0\itap0 \rtlch\fcs1 \af0\afs20\alang1025 _x000d__x000a_\ltrch\fcs0 \i\fs24\lang2057\langfe2057\cgrid\langnp2057\langfenp2057 \sbasedon0 \snext25 \spriority0 \styrsid16658872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6658872 AmNumberTabs;}{\s27\ql \li0\ri0\sb240\nowidctlpar\wrapdefault\aspalpha\aspnum\faauto\adjustright\rin0\lin0\itap0 \rtlch\fcs1 _x000d__x000a_\af0\afs20\alang1025 \ltrch\fcs0 \b\fs24\lang2057\langfe2057\cgrid\langnp2057\langfenp2057 \sbasedon0 \snext27 \spriority0 \styrsid16658872 NormalBold12b;}}{\*\rsidtbl \rsid24658\rsid223860\rsid735077\rsid1718133\rsid2892074\rsid3565327\rsid4666813_x000d__x000a_\rsid6641733\rsid7602181\rsid7823322\rsid9636012\rsid10377208\rsid11215221\rsid11549030\rsid12154954\rsid14382809\rsid14424199\rsid15204470\rsid15285974\rsid15950462\rsid16324206\rsid16658872\rsid16662270}{\mmathPr\mmathFont34\mbrkBin0\mbrkBinSub0_x000d__x000a_\msmallFrac0\mdispDef1\mlMargin0\mrMargin0\mdefJc1\mwrapIndent1440\mintLim0\mnaryLim1}{\info{\author TURLUI Emil-Gabriel}{\operator TURLUI Emil-Gabriel}{\creatim\yr2023\mo9\dy8\hr15\min57}{\revtim\yr2023\mo9\dy8\hr15\min57}{\version1}{\edmins0}_x000d__x000a_{\nofpages1}{\nofwords104}{\nofchars596}{\nofcharsws69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658872\newtblstyruls\nogrowautofit\usenormstyforlist\noindnmbrts\felnbrelev\nocxsptable\indrlsweleven\noafcnsttbl\afelev\utinl\hwelev\spltpgpar\notcvasp\notbrkcnstfrctbl\notvatxbx\krnprsnet\cachedcolbal _x000d__x000a_\nouicompat \fet0{\*\wgrffmtfilter 013f}\nofeaturethrottle1\ilfomacatclnup0{\*\template C:\\Users\\gturlui\\AppData\\Local\\Temp\\Blank1.dotx}{\*\ftnsep \ltrpar \pard\plain \ltrpar_x000d__x000a_\ql \li0\ri0\widctlpar\wrapdefault\aspalpha\aspnum\faauto\adjustright\rin0\lin0\itap0 \rtlch\fcs1 \af0\afs20\alang1025 \ltrch\fcs0 \fs24\lang2057\langfe2057\cgrid\langnp2057\langfenp2057 {\rtlch\fcs1 \af0 \ltrch\fcs0 \insrsid7602181 \chftnsep _x000d__x000a_\par }}{\*\ftnsepc \ltrpar \pard\plain \ltrpar\ql \li0\ri0\widctlpar\wrapdefault\aspalpha\aspnum\faauto\adjustright\rin0\lin0\itap0 \rtlch\fcs1 \af0\afs20\alang1025 \ltrch\fcs0 \fs24\lang2057\langfe2057\cgrid\langnp2057\langfenp2057 {\rtlch\fcs1 \af0 _x000d__x000a_\ltrch\fcs0 \insrsid7602181 \chftnsepc _x000d__x000a_\par }}{\*\aftnsep \ltrpar \pard\plain \ltrpar\ql \li0\ri0\widctlpar\wrapdefault\aspalpha\aspnum\faauto\adjustright\rin0\lin0\itap0 \rtlch\fcs1 \af0\afs20\alang1025 \ltrch\fcs0 \fs24\lang2057\langfe2057\cgrid\langnp2057\langfenp2057 {\rtlch\fcs1 \af0 _x000d__x000a_\ltrch\fcs0 \insrsid7602181 \chftnsep _x000d__x000a_\par }}{\*\aftnsepc \ltrpar \pard\plain \ltrpar\ql \li0\ri0\widctlpar\wrapdefault\aspalpha\aspnum\faauto\adjustright\rin0\lin0\itap0 \rtlch\fcs1 \af0\afs20\alang1025 \ltrch\fcs0 \fs24\lang2057\langfe2057\cgrid\langnp2057\langfenp2057 {\rtlch\fcs1 \af0 _x000d__x000a_\ltrch\fcs0 \insrsid760218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6658872 \rtlch\fcs1 _x000d__x000a_\af0\afs20\alang1025 \ltrch\fcs0 \b\fs24\lang2057\langfe2057\cgrid\langnp2057\langfenp2057 {\rtlch\fcs1 \af0 \ltrch\fcs0 \cs17\b0\v\fs20\cf9\lang1024\langfe1024\loch\af1\hich\af1\dbch\af31501\noproof\insrsid16658872\charrsid6768093 {\*\bkmkstart restart}_x000d__x000a_\hich\af1\dbch\af31501\loch\f1 &lt;Amend&gt;}{\rtlch\fcs1 \af0 \ltrch\fcs0 \insrsid16658872\charrsid6768093 Amendment\tab \tab }{\rtlch\fcs1 \af0 \ltrch\fcs0 _x000d__x000a_\cs17\b0\v\fs20\cf9\lang1024\langfe1024\loch\af1\hich\af1\dbch\af31501\noproof\insrsid16658872\charrsid6768093 \hich\af1\dbch\af31501\loch\f1 &lt;NumAm&gt;}{\rtlch\fcs1 \af0 \ltrch\fcs0 \insrsid16658872\charrsid6768093 #}{\rtlch\fcs1 \af1 \ltrch\fcs0 _x000d__x000a_\cs18\v\f1\fs20\cf15\insrsid16658872\charrsid6768093 ENMIENDA@NRAM@}{\rtlch\fcs1 \af0 \ltrch\fcs0 \insrsid16658872\charrsid6768093 #}{\rtlch\fcs1 \af0 \ltrch\fcs0 _x000d__x000a_\cs17\b0\v\fs20\cf9\lang1024\langfe1024\loch\af1\hich\af1\dbch\af31501\noproof\insrsid16658872\charrsid6768093 \hich\af1\dbch\af31501\loch\f1 &lt;/NumAm&gt;}{\rtlch\fcs1 \af0 \ltrch\fcs0 \insrsid16658872\charrsid6768093 _x000d__x000a_\par }\pard\plain \ltrpar\s27\ql \li0\ri0\sb240\keepn\nowidctlpar\wrapdefault\aspalpha\aspnum\faauto\adjustright\rin0\lin0\itap0\pararsid16658872 \rtlch\fcs1 \af0\afs20\alang1025 \ltrch\fcs0 \b\fs24\lang2057\langfe2057\cgrid\langnp2057\langfenp2057 {_x000d__x000a_\rtlch\fcs1 \af0 \ltrch\fcs0 \cs17\b0\v\fs20\cf9\lang1024\langfe1024\loch\af1\hich\af1\dbch\af31501\noproof\insrsid16658872\charrsid6768093 \hich\af1\dbch\af31501\loch\f1 &lt;DocAmend&gt;}{\rtlch\fcs1 \af0 \ltrch\fcs0 \insrsid16658872\charrsid6768093 _x000d__x000a_Proposal for a #}{\rtlch\fcs1 \af1 \ltrch\fcs0 \cs18\v\f1\fs20\cf15\insrsid16658872\charrsid6768093 MNU[DOC1][DOC2][DOC3]@DOCMSG@DOCMNU}{\rtlch\fcs1 \af0 \ltrch\fcs0 \insrsid16658872\charrsid6768093 ##}{\rtlch\fcs1 \af1 \ltrch\fcs0 _x000d__x000a_\cs18\v\f1\fs20\cf15\insrsid16658872\charrsid6768093 MNU[AMACTYES][NOTAPP]@CHOICE@AMACTMNU}{\rtlch\fcs1 \af0 \ltrch\fcs0 \insrsid16658872\charrsid6768093 #}{\rtlch\fcs1 \af0 \ltrch\fcs0 _x000d__x000a_\cs17\b0\v\fs20\cf9\lang1024\langfe1024\loch\af1\hich\af1\dbch\af31501\noproof\insrsid16658872\charrsid6768093 \hich\af1\dbch\af31501\loch\f1 &lt;/DocAmend&gt;}{\rtlch\fcs1 \af0 \ltrch\fcs0 \insrsid16658872\charrsid6768093 _x000d__x000a_\par }\pard\plain \ltrpar\s20\ql \li0\ri0\keepn\nowidctlpar\wrapdefault\aspalpha\aspnum\faauto\adjustright\rin0\lin0\itap0\pararsid16658872 \rtlch\fcs1 \af0\afs20\alang1025 \ltrch\fcs0 \b\fs24\lang2057\langfe2057\cgrid\langnp2057\langfenp2057 {\rtlch\fcs1 _x000d__x000a_\af0 \ltrch\fcs0 \cs17\b0\v\fs20\cf9\lang1024\langfe1024\loch\af1\hich\af1\dbch\af31501\noproof\insrsid16658872\charrsid6768093 \hich\af1\dbch\af31501\loch\f1 &lt;Article&gt;}{\rtlch\fcs1 \af0 \ltrch\fcs0 \insrsid16658872\charrsid6768093 #}{\rtlch\fcs1 \af1 _x000d__x000a_\ltrch\fcs0 \cs18\v\f1\fs20\cf15\insrsid16658872\charrsid6768093 MNU[AMACTPARTYES][AMACTPARTNO]@CHOICE@AMACTMNU}{\rtlch\fcs1 \af0 \ltrch\fcs0 \insrsid16658872\charrsid6768093 #}{\rtlch\fcs1 \af0 \ltrch\fcs0 _x000d__x000a_\cs17\b0\v\fs20\cf9\lang1024\langfe1024\loch\af1\hich\af1\dbch\af31501\noproof\insrsid16658872\charrsid6768093 \hich\af1\dbch\af31501\loch\f1 &lt;/Article&gt;}{\rtlch\fcs1 \af0 \ltrch\fcs0 \insrsid16658872\charrsid6768093 _x000d__x000a_\par }\pard\plain \ltrpar\ql \li0\ri0\keepn\widctlpar\wrapdefault\aspalpha\aspnum\faauto\adjustright\rin0\lin0\itap0\pararsid16658872 \rtlch\fcs1 \af0\afs20\alang1025 \ltrch\fcs0 \fs24\lang2057\langfe2057\cgrid\langnp2057\langfenp2057 {\rtlch\fcs1 \af0 _x000d__x000a_\ltrch\fcs0 \cs17\v\fs20\cf9\lang1024\langfe1024\loch\af1\hich\af1\dbch\af31501\noproof\insrsid16658872\charrsid6768093 \hich\af1\dbch\af31501\loch\f1 &lt;DocAmend2&gt;&lt;OptDel&gt;}{\rtlch\fcs1 \af0 \ltrch\fcs0 \insrsid16658872\charrsid6768093 #}{\rtlch\fcs1 \af1 _x000d__x000a_\ltrch\fcs0 \cs18\v\f1\fs20\cf15\insrsid16658872\charrsid6768093 MNU[OPTNRACTYES][NOTAPP]@CHOICE@AMACTMNU}{\rtlch\fcs1 \af0 \ltrch\fcs0 \insrsid16658872\charrsid6768093 #}{\rtlch\fcs1 \af0 \ltrch\fcs0 _x000d__x000a_\cs17\v\fs20\cf9\lang1024\langfe1024\loch\af1\hich\af1\dbch\af31501\noproof\insrsid16658872\charrsid6768093 \hich\af1\dbch\af31501\loch\f1 &lt;/OptDel&gt;&lt;/DocAmend2&gt;}{\rtlch\fcs1 \af0 \ltrch\fcs0 \insrsid16658872\charrsid6768093 _x000d__x000a_\par }\pard \ltrpar\ql \li0\ri0\widctlpar\wrapdefault\aspalpha\aspnum\faauto\adjustright\rin0\lin0\itap0\pararsid16658872 {\rtlch\fcs1 \af0 \ltrch\fcs0 \cs17\v\fs20\cf9\lang1024\langfe1024\loch\af1\hich\af1\dbch\af31501\noproof\insrsid16658872\charrsid6768093 _x000d__x000a_\hich\af1\dbch\af31501\loch\f1 &lt;Article2&gt;&lt;OptDel&gt;}{\rtlch\fcs1 \af0 \ltrch\fcs0 \insrsid16658872\charrsid6768093 #}{\rtlch\fcs1 \af1 \ltrch\fcs0 \cs18\v\f1\fs20\cf15\insrsid16658872\charrsid6768093 MNU[OPTACTPARTYES][NOTAPP]@CHOICE@AMACTMNU}{\rtlch\fcs1 _x000d__x000a_\af0 \ltrch\fcs0 \insrsid16658872\charrsid6768093 #}{\rtlch\fcs1 \af0 \ltrch\fcs0 \cs17\v\fs20\cf9\lang1024\langfe1024\loch\af1\hich\af1\dbch\af31501\noproof\insrsid16658872\charrsid6768093 \hich\af1\dbch\af31501\loch\f1 &lt;/OptDel&gt;&lt;/Article2&gt;}{\rtlch\fcs1 _x000d__x000a_\af0 \ltrch\fcs0 \insrsid16658872\charrsid6768093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insrsid16658872\charrsid6768093 \cell }\pard\plain \ltrpar\ql \li0\ri0\widctlpar\intbl\wrapdefault\aspalpha\aspnum\faauto\adjustright\rin0\lin0 \rtlch\fcs1 _x000d__x000a_\af0\afs20\alang1025 \ltrch\fcs0 \fs24\lang2057\langfe2057\cgrid\langnp2057\langfenp2057 {\rtlch\fcs1 \af0 \ltrch\fcs0 \insrsid16658872\charrsid6768093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2057\langfe2057\cgrid\langnp2057\langfenp2057 {\rtlch\fcs1 \af0 \ltrch\fcs0 _x000d__x000a_\insrsid16658872\charrsid6768093 #}{\rtlch\fcs1 \af1 \ltrch\fcs0 \cs18\v\f1\fs20\cf15\insrsid16658872\charrsid6768093 MNU[OPTLEFTAMACT][LEFTPROP]@CHOICE@AMACTMNU}{\rtlch\fcs1 \af0 \ltrch\fcs0 \insrsid16658872\charrsid6768093 #\cell Amendment\cell _x000d__x000a_}\pard\plain \ltrpar\ql \li0\ri0\widctlpar\intbl\wrapdefault\aspalpha\aspnum\faauto\adjustright\rin0\lin0 \rtlch\fcs1 \af0\afs20\alang1025 \ltrch\fcs0 \fs24\lang2057\langfe2057\cgrid\langnp2057\langfenp2057 {\rtlch\fcs1 \af0 \ltrch\fcs0 _x000d__x000a_\insrsid16658872\charrsid6768093 \trowd \irow1\irowband1\ltrrow\ts11\trqc\trgaph340\trleft0\trftsWidth3\trwWidth9752\trftsWidthB3\trpaddl340\trpaddr340\trpaddfl3\trpaddft3\trpaddfb3\trpaddfr3\tblrsid2517430\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2517430 \rtlch\fcs1 \af0\afs20\alang1025 \ltrch\fcs0 \fs24\lang2057\langfe2057\cgrid\langnp2057\langfenp2057 {\rtlch\fcs1 \af0 _x000d__x000a_\ltrch\fcs0 \insrsid16658872\charrsid6768093 ##\cell ##}{\rtlch\fcs1 \af0\afs24 \ltrch\fcs0 \insrsid16658872\charrsid6768093 \cell }\pard\plain \ltrpar\ql \li0\ri0\widctlpar\intbl\wrapdefault\aspalpha\aspnum\faauto\adjustright\rin0\lin0 \rtlch\fcs1 _x000d__x000a_\af0\afs20\alang1025 \ltrch\fcs0 \fs24\lang2057\langfe2057\cgrid\langnp2057\langfenp2057 {\rtlch\fcs1 \af0 \ltrch\fcs0 \insrsid16658872\charrsid6768093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658872 \rtlch\fcs1 \af0\afs20\alang1025 \ltrch\fcs0 \fs24\lang2057\langfe2057\cgrid\langnp2057\langfenp2057 {\rtlch\fcs1 \af0 \ltrch\fcs0 _x000d__x000a_\insrsid16658872\charrsid6768093 Or. }{\rtlch\fcs1 \af0 \ltrch\fcs0 \cs17\v\fs20\cf9\lang1024\langfe1024\loch\af1\hich\af1\dbch\af31501\noproof\insrsid16658872\charrsid6768093 \hich\af1\dbch\af31501\loch\f1 &lt;Original&gt;}{\rtlch\fcs1 \af0 \ltrch\fcs0 _x000d__x000a_\insrsid16658872\charrsid6768093 #}{\rtlch\fcs1 \af1 \ltrch\fcs0 \cs18\v\f1\fs20\cf15\insrsid16658872\charrsid6768093 MNU[ORLANGONE][ORLANGMORE]@CHOICE@ORLANGMNU}{\rtlch\fcs1 \af0 \ltrch\fcs0 \insrsid16658872\charrsid6768093 #}{\rtlch\fcs1 \af0 _x000d__x000a_\ltrch\fcs0 \cs17\v\fs20\cf9\lang1024\langfe1024\loch\af1\hich\af1\dbch\af31501\noproof\insrsid16658872\charrsid6768093 \hich\af1\dbch\af31501\loch\f1 &lt;/Original&gt;}{\rtlch\fcs1 \af0 \ltrch\fcs0 \insrsid16658872\charrsid6768093 _x000d__x000a_\par }\pard\plain \ltrpar\s22\qc \li0\ri0\sb240\sa240\nowidctlpar\wrapdefault\aspalpha\aspnum\faauto\adjustright\rin0\lin0\itap0\pararsid16658872 \rtlch\fcs1 \af0\afs20\alang1025 \ltrch\fcs0 \i\fs24\lang2057\langfe2057\cgrid\langnp2057\langfenp2057 {_x000d__x000a_\rtlch\fcs1 \af0 \ltrch\fcs0 \cs17\i0\v\fs20\cf9\lang1024\langfe1024\loch\af1\hich\af1\dbch\af31501\noproof\insrsid16658872\charrsid6768093 \hich\af1\dbch\af31501\loch\f1 &lt;OptDel&gt;}{\rtlch\fcs1 \af0 \ltrch\fcs0 \insrsid16658872\charrsid6768093 #}{_x000d__x000a_\rtlch\fcs1 \af1 \ltrch\fcs0 \cs18\v\f1\fs20\cf15\insrsid16658872\charrsid6768093 MNU[CROSSREFNO][CROSSREFYES]@CHOICE@}{\rtlch\fcs1 \af0 \ltrch\fcs0 \insrsid16658872\charrsid6768093 #}{\rtlch\fcs1 \af0 \ltrch\fcs0 _x000d__x000a_\cs17\i0\v\fs20\cf9\lang1024\langfe1024\loch\af1\hich\af1\dbch\af31501\noproof\insrsid16658872\charrsid6768093 \hich\af1\dbch\af31501\loch\f1 &lt;/OptDel&gt;}{\rtlch\fcs1 \af0 \ltrch\fcs0 \insrsid16658872\charrsid6768093 _x000d__x000a_\par }\pard\plain \ltrpar\s23\qc \li0\ri0\sb240\sa240\keepn\nowidctlpar\wrapdefault\aspalpha\aspnum\faauto\adjustright\rin0\lin0\itap0\pararsid16658872 \rtlch\fcs1 \af0\afs20\alang1025 \ltrch\fcs0 \i\fs24\lang2057\langfe2057\cgrid\langnp2057\langfenp2057 {_x000d__x000a_\rtlch\fcs1 \af0 \ltrch\fcs0 \cs17\i0\v\fs20\cf9\lang1024\langfe1024\loch\af1\hich\af1\dbch\af31501\noproof\insrsid16658872\charrsid6768093 \hich\af1\dbch\af31501\loch\f1 &lt;TitreJust&gt;}{\rtlch\fcs1 \af0 \ltrch\fcs0 \insrsid16658872\charrsid6768093 _x000d__x000a_Justification}{\rtlch\fcs1 \af0 \ltrch\fcs0 \cs17\i0\v\fs20\cf9\lang1024\langfe1024\loch\af1\hich\af1\dbch\af31501\noproof\insrsid16658872\charrsid6768093 \hich\af1\dbch\af31501\loch\f1 &lt;/TitreJust&gt;}{\rtlch\fcs1 \af0 \ltrch\fcs0 _x000d__x000a_\insrsid16658872\charrsid6768093 _x000d__x000a_\par }\pard\plain \ltrpar\s21\ql \li0\ri0\sa240\nowidctlpar\wrapdefault\aspalpha\aspnum\faauto\adjustright\rin0\lin0\itap0\pararsid16658872 \rtlch\fcs1 \af0\afs20\alang1025 \ltrch\fcs0 \i\fs24\lang2057\langfe2057\cgrid\langnp2057\langfenp2057 {\rtlch\fcs1 _x000d__x000a_\af0 \ltrch\fcs0 \cs17\i0\v\fs20\cf9\lang1024\langfe1024\loch\af1\hich\af1\dbch\af31501\noproof\insrsid16658872\charrsid6768093 \hich\af1\dbch\af31501\loch\f1 &lt;OptDelPrev&gt;}{\rtlch\fcs1 \af0 \ltrch\fcs0 \insrsid16658872\charrsid6768093 #}{\rtlch\fcs1 \af1 _x000d__x000a_\ltrch\fcs0 \cs18\v\f1\fs20\cf15\insrsid16658872\charrsid6768093 MNU[TEXTJUSTYES][TEXTJUSTNO]@CHOICE@}{\rtlch\fcs1 \af0 \ltrch\fcs0 \insrsid16658872\charrsid6768093 #}{\rtlch\fcs1 \af0 \ltrch\fcs0 _x000d__x000a_\cs17\i0\v\fs20\cf9\lang1024\langfe1024\loch\af1\hich\af1\dbch\af31501\noproof\insrsid16658872\charrsid6768093 \hich\af1\dbch\af31501\loch\f1 &lt;/OptDelPrev&gt;}{\rtlch\fcs1 \af0 \ltrch\fcs0 \insrsid16658872\charrsid6768093 _x000d__x000a_\par }\pard\plain \ltrpar\ql \li0\ri0\widctlpar\wrapdefault\aspalpha\aspnum\faauto\adjustright\rin0\lin0\itap0\pararsid16658872 \rtlch\fcs1 \af0\afs20\alang1025 \ltrch\fcs0 \fs24\lang2057\langfe2057\cgrid\langnp2057\langfenp2057 {\rtlch\fcs1 \af0 \ltrch\fcs0 _x000d__x000a_\cs17\v\fs20\cf9\lang1024\langfe1024\loch\af1\hich\af1\dbch\af31501\noproof\insrsid16658872\charrsid6768093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a2_x000d__x000a_bc655ce2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285"/>
    <w:docVar w:name="TVTAMPART" w:val="Recital 1"/>
    <w:docVar w:name="TXTAUTHOR" w:val="Jonás Fernández"/>
    <w:docVar w:name="TXTLANGUE" w:val="EN"/>
    <w:docVar w:name="TXTLANGUEMIN" w:val="en"/>
    <w:docVar w:name="TXTNRC" w:val="0134/2023"/>
    <w:docVar w:name="TXTNRCOD" w:val="2023/0113"/>
    <w:docVar w:name="TXTNRCOM" w:val="(2023)0229"/>
    <w:docVar w:name="TXTNRFIRSTAM" w:val="1"/>
    <w:docVar w:name="TXTNRLASTAM" w:val="2"/>
    <w:docVar w:name="TXTNRPE" w:val="752.913"/>
    <w:docVar w:name="TXTPEorAP" w:val="PE"/>
    <w:docVar w:name="TXTROUTE" w:val="PR\1285454EN.docx"/>
    <w:docVar w:name="TXTTITLE" w:val="amending Directive 2014/59/EU and Regulation (EU) No 806/2014 as regards certain aspects of the minimum requirement for own funds and eligible liabilities"/>
    <w:docVar w:name="TXTVERSION" w:val="01-00"/>
  </w:docVars>
  <w:rsids>
    <w:rsidRoot w:val="006745DD"/>
    <w:rsid w:val="00011AAB"/>
    <w:rsid w:val="00012351"/>
    <w:rsid w:val="000139E5"/>
    <w:rsid w:val="00084DD2"/>
    <w:rsid w:val="00084E89"/>
    <w:rsid w:val="000A7B09"/>
    <w:rsid w:val="000B7489"/>
    <w:rsid w:val="000F1096"/>
    <w:rsid w:val="00120948"/>
    <w:rsid w:val="00123DD5"/>
    <w:rsid w:val="001277AE"/>
    <w:rsid w:val="00142215"/>
    <w:rsid w:val="001767E2"/>
    <w:rsid w:val="00187008"/>
    <w:rsid w:val="001B3829"/>
    <w:rsid w:val="001C01EE"/>
    <w:rsid w:val="001C5592"/>
    <w:rsid w:val="001C5B44"/>
    <w:rsid w:val="001C63AC"/>
    <w:rsid w:val="001C6FFC"/>
    <w:rsid w:val="001F7C7C"/>
    <w:rsid w:val="00212B84"/>
    <w:rsid w:val="002346B0"/>
    <w:rsid w:val="002667C3"/>
    <w:rsid w:val="002669B6"/>
    <w:rsid w:val="00290BED"/>
    <w:rsid w:val="002D13EE"/>
    <w:rsid w:val="002E33EE"/>
    <w:rsid w:val="002F40BB"/>
    <w:rsid w:val="002F4B02"/>
    <w:rsid w:val="00323EF8"/>
    <w:rsid w:val="00325A50"/>
    <w:rsid w:val="003316DD"/>
    <w:rsid w:val="00366A46"/>
    <w:rsid w:val="00370AC3"/>
    <w:rsid w:val="003824EE"/>
    <w:rsid w:val="003B3846"/>
    <w:rsid w:val="003B4689"/>
    <w:rsid w:val="003C2068"/>
    <w:rsid w:val="003C37CF"/>
    <w:rsid w:val="004100B1"/>
    <w:rsid w:val="00426E47"/>
    <w:rsid w:val="00455743"/>
    <w:rsid w:val="00461601"/>
    <w:rsid w:val="0046639E"/>
    <w:rsid w:val="00467F7B"/>
    <w:rsid w:val="00473D4F"/>
    <w:rsid w:val="0048211B"/>
    <w:rsid w:val="004C0915"/>
    <w:rsid w:val="004D424E"/>
    <w:rsid w:val="004E42C8"/>
    <w:rsid w:val="004E733D"/>
    <w:rsid w:val="004F3FA5"/>
    <w:rsid w:val="0051271F"/>
    <w:rsid w:val="00521F46"/>
    <w:rsid w:val="00551111"/>
    <w:rsid w:val="00551123"/>
    <w:rsid w:val="00557C21"/>
    <w:rsid w:val="00570A6A"/>
    <w:rsid w:val="00586E50"/>
    <w:rsid w:val="0059583D"/>
    <w:rsid w:val="005A42D9"/>
    <w:rsid w:val="005C2BEF"/>
    <w:rsid w:val="005D1A99"/>
    <w:rsid w:val="005D7609"/>
    <w:rsid w:val="005D7EE8"/>
    <w:rsid w:val="00620AA8"/>
    <w:rsid w:val="00642325"/>
    <w:rsid w:val="006606A1"/>
    <w:rsid w:val="006745DD"/>
    <w:rsid w:val="00682F54"/>
    <w:rsid w:val="006A17A3"/>
    <w:rsid w:val="006A1920"/>
    <w:rsid w:val="006A2F5D"/>
    <w:rsid w:val="006F1136"/>
    <w:rsid w:val="006F7907"/>
    <w:rsid w:val="00743189"/>
    <w:rsid w:val="00743D33"/>
    <w:rsid w:val="007932B3"/>
    <w:rsid w:val="00793EA9"/>
    <w:rsid w:val="007D6F68"/>
    <w:rsid w:val="00823E6B"/>
    <w:rsid w:val="00826780"/>
    <w:rsid w:val="00837CCD"/>
    <w:rsid w:val="00862812"/>
    <w:rsid w:val="008633CC"/>
    <w:rsid w:val="00865190"/>
    <w:rsid w:val="008719B9"/>
    <w:rsid w:val="00894ECE"/>
    <w:rsid w:val="00896BB4"/>
    <w:rsid w:val="008A7FB8"/>
    <w:rsid w:val="008C37B3"/>
    <w:rsid w:val="008F652F"/>
    <w:rsid w:val="009022B8"/>
    <w:rsid w:val="00914537"/>
    <w:rsid w:val="00917CC4"/>
    <w:rsid w:val="00932D06"/>
    <w:rsid w:val="009763DA"/>
    <w:rsid w:val="009975B3"/>
    <w:rsid w:val="009A216D"/>
    <w:rsid w:val="009B4B93"/>
    <w:rsid w:val="009F24BE"/>
    <w:rsid w:val="009F6C2F"/>
    <w:rsid w:val="009F767A"/>
    <w:rsid w:val="00A22533"/>
    <w:rsid w:val="00A26F46"/>
    <w:rsid w:val="00A34FD3"/>
    <w:rsid w:val="00A36929"/>
    <w:rsid w:val="00A50548"/>
    <w:rsid w:val="00A60EE7"/>
    <w:rsid w:val="00A910C9"/>
    <w:rsid w:val="00AA35B0"/>
    <w:rsid w:val="00AB59CE"/>
    <w:rsid w:val="00AD18C8"/>
    <w:rsid w:val="00AD7FA6"/>
    <w:rsid w:val="00AE4643"/>
    <w:rsid w:val="00AF0416"/>
    <w:rsid w:val="00B10CB4"/>
    <w:rsid w:val="00B13D6F"/>
    <w:rsid w:val="00B17848"/>
    <w:rsid w:val="00B23B72"/>
    <w:rsid w:val="00B42702"/>
    <w:rsid w:val="00B57B8B"/>
    <w:rsid w:val="00B85407"/>
    <w:rsid w:val="00B95702"/>
    <w:rsid w:val="00BC6489"/>
    <w:rsid w:val="00BD480C"/>
    <w:rsid w:val="00BE22DA"/>
    <w:rsid w:val="00C10E7F"/>
    <w:rsid w:val="00C20954"/>
    <w:rsid w:val="00C23324"/>
    <w:rsid w:val="00C42A41"/>
    <w:rsid w:val="00C47E74"/>
    <w:rsid w:val="00C57A72"/>
    <w:rsid w:val="00C73602"/>
    <w:rsid w:val="00CF60C8"/>
    <w:rsid w:val="00D30DE2"/>
    <w:rsid w:val="00D32924"/>
    <w:rsid w:val="00D503A3"/>
    <w:rsid w:val="00D73518"/>
    <w:rsid w:val="00DA0796"/>
    <w:rsid w:val="00DA6ED0"/>
    <w:rsid w:val="00DC5011"/>
    <w:rsid w:val="00E171B6"/>
    <w:rsid w:val="00E35042"/>
    <w:rsid w:val="00E70D3B"/>
    <w:rsid w:val="00E72695"/>
    <w:rsid w:val="00EB1753"/>
    <w:rsid w:val="00EB6CFF"/>
    <w:rsid w:val="00EE3996"/>
    <w:rsid w:val="00F07062"/>
    <w:rsid w:val="00F23CFC"/>
    <w:rsid w:val="00F433E2"/>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B8784E"/>
  <w15:chartTrackingRefBased/>
  <w15:docId w15:val="{4DFF2750-D27A-4F52-B6FB-B2D7BB6C22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P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6F1136"/>
    <w:pPr>
      <w:tabs>
        <w:tab w:val="right" w:pos="454"/>
        <w:tab w:val="left" w:pos="737"/>
      </w:tabs>
      <w:ind w:left="737" w:hanging="737"/>
    </w:pPr>
    <w:rPr>
      <w:snapToGrid w:val="0"/>
      <w:sz w:val="18"/>
      <w:lang w:eastAsia="en-US"/>
    </w:rPr>
  </w:style>
  <w:style w:type="paragraph" w:customStyle="1" w:styleId="Lgendetitre">
    <w:name w:val="Légende titre"/>
    <w:basedOn w:val="Normal"/>
    <w:rsid w:val="006F1136"/>
    <w:pPr>
      <w:spacing w:before="240" w:after="240"/>
    </w:pPr>
    <w:rPr>
      <w:b/>
      <w:i/>
      <w:snapToGrid w:val="0"/>
      <w:lang w:eastAsia="en-US"/>
    </w:rPr>
  </w:style>
  <w:style w:type="paragraph" w:customStyle="1" w:styleId="Lgendestandard">
    <w:name w:val="Légende standard"/>
    <w:basedOn w:val="Normal"/>
    <w:rsid w:val="006F1136"/>
    <w:rPr>
      <w:sz w:val="18"/>
    </w:rPr>
  </w:style>
  <w:style w:type="paragraph" w:styleId="FootnoteText">
    <w:name w:val="footnote text"/>
    <w:basedOn w:val="Normal"/>
    <w:link w:val="FootnoteTextChar"/>
    <w:rsid w:val="006F1136"/>
    <w:rPr>
      <w:sz w:val="20"/>
    </w:rPr>
  </w:style>
  <w:style w:type="character" w:customStyle="1" w:styleId="FootnoteTextChar">
    <w:name w:val="Footnote Text Char"/>
    <w:basedOn w:val="DefaultParagraphFont"/>
    <w:link w:val="FootnoteText"/>
    <w:rsid w:val="006F1136"/>
  </w:style>
  <w:style w:type="character" w:styleId="FootnoteReference">
    <w:name w:val="footnote reference"/>
    <w:basedOn w:val="DefaultParagraphFont"/>
    <w:rsid w:val="006F1136"/>
    <w:rPr>
      <w:vertAlign w:val="superscript"/>
    </w:rPr>
  </w:style>
  <w:style w:type="character" w:customStyle="1" w:styleId="Normal6Char">
    <w:name w:val="Normal6 Char"/>
    <w:basedOn w:val="DefaultParagraphFont"/>
    <w:link w:val="Normal6"/>
    <w:locked/>
    <w:rsid w:val="00932D06"/>
    <w:rPr>
      <w:sz w:val="24"/>
      <w:lang w:val="pt-PT"/>
    </w:rPr>
  </w:style>
  <w:style w:type="paragraph" w:customStyle="1" w:styleId="Normal6">
    <w:name w:val="Normal6"/>
    <w:basedOn w:val="Normal"/>
    <w:link w:val="Normal6Char"/>
    <w:rsid w:val="00932D06"/>
    <w:pPr>
      <w:spacing w:after="120"/>
    </w:pPr>
  </w:style>
  <w:style w:type="character" w:customStyle="1" w:styleId="NormalBoldChar">
    <w:name w:val="NormalBold Char"/>
    <w:basedOn w:val="DefaultParagraphFont"/>
    <w:link w:val="NormalBold"/>
    <w:locked/>
    <w:rsid w:val="00932D06"/>
    <w:rPr>
      <w:b/>
      <w:sz w:val="24"/>
    </w:rPr>
  </w:style>
  <w:style w:type="paragraph" w:customStyle="1" w:styleId="ColumnHeading">
    <w:name w:val="ColumnHeading"/>
    <w:basedOn w:val="Normal"/>
    <w:rsid w:val="00932D06"/>
    <w:pPr>
      <w:spacing w:after="240"/>
      <w:jc w:val="center"/>
    </w:pPr>
    <w:rPr>
      <w:i/>
    </w:rPr>
  </w:style>
  <w:style w:type="paragraph" w:customStyle="1" w:styleId="AMNumberTabs0">
    <w:name w:val="AMNumberTabs"/>
    <w:basedOn w:val="Normal"/>
    <w:rsid w:val="00932D0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932D06"/>
    <w:pPr>
      <w:jc w:val="right"/>
    </w:pPr>
  </w:style>
  <w:style w:type="paragraph" w:styleId="Footer">
    <w:name w:val="footer"/>
    <w:basedOn w:val="Normal"/>
    <w:link w:val="FooterChar"/>
    <w:semiHidden/>
    <w:rsid w:val="00932D06"/>
    <w:pPr>
      <w:tabs>
        <w:tab w:val="center" w:pos="4513"/>
        <w:tab w:val="right" w:pos="9026"/>
      </w:tabs>
    </w:pPr>
  </w:style>
  <w:style w:type="character" w:customStyle="1" w:styleId="FooterChar">
    <w:name w:val="Footer Char"/>
    <w:basedOn w:val="DefaultParagraphFont"/>
    <w:link w:val="Footer"/>
    <w:semiHidden/>
    <w:rsid w:val="00932D06"/>
    <w:rPr>
      <w:sz w:val="24"/>
    </w:rPr>
  </w:style>
  <w:style w:type="paragraph" w:styleId="BalloonText">
    <w:name w:val="Balloon Text"/>
    <w:basedOn w:val="Normal"/>
    <w:link w:val="BalloonTextChar"/>
    <w:semiHidden/>
    <w:unhideWhenUsed/>
    <w:rsid w:val="00557C21"/>
    <w:rPr>
      <w:rFonts w:ascii="Segoe UI" w:hAnsi="Segoe UI" w:cs="Segoe UI"/>
      <w:sz w:val="18"/>
      <w:szCs w:val="18"/>
    </w:rPr>
  </w:style>
  <w:style w:type="character" w:customStyle="1" w:styleId="BalloonTextChar">
    <w:name w:val="Balloon Text Char"/>
    <w:basedOn w:val="DefaultParagraphFont"/>
    <w:link w:val="BalloonText"/>
    <w:semiHidden/>
    <w:rsid w:val="00557C21"/>
    <w:rPr>
      <w:rFonts w:ascii="Segoe UI" w:hAnsi="Segoe UI" w:cs="Segoe UI"/>
      <w:sz w:val="18"/>
      <w:szCs w:val="18"/>
    </w:rPr>
  </w:style>
  <w:style w:type="character" w:styleId="CommentReference">
    <w:name w:val="annotation reference"/>
    <w:basedOn w:val="DefaultParagraphFont"/>
    <w:rsid w:val="001C63AC"/>
    <w:rPr>
      <w:sz w:val="16"/>
      <w:szCs w:val="16"/>
    </w:rPr>
  </w:style>
  <w:style w:type="paragraph" w:styleId="CommentText">
    <w:name w:val="annotation text"/>
    <w:basedOn w:val="Normal"/>
    <w:link w:val="CommentTextChar"/>
    <w:rsid w:val="001C63AC"/>
    <w:rPr>
      <w:sz w:val="20"/>
    </w:rPr>
  </w:style>
  <w:style w:type="character" w:customStyle="1" w:styleId="CommentTextChar">
    <w:name w:val="Comment Text Char"/>
    <w:basedOn w:val="DefaultParagraphFont"/>
    <w:link w:val="CommentText"/>
    <w:rsid w:val="001C63AC"/>
  </w:style>
  <w:style w:type="paragraph" w:styleId="CommentSubject">
    <w:name w:val="annotation subject"/>
    <w:basedOn w:val="CommentText"/>
    <w:next w:val="CommentText"/>
    <w:link w:val="CommentSubjectChar"/>
    <w:semiHidden/>
    <w:unhideWhenUsed/>
    <w:rsid w:val="001C63AC"/>
    <w:rPr>
      <w:b/>
      <w:bCs/>
    </w:rPr>
  </w:style>
  <w:style w:type="character" w:customStyle="1" w:styleId="CommentSubjectChar">
    <w:name w:val="Comment Subject Char"/>
    <w:basedOn w:val="CommentTextChar"/>
    <w:link w:val="CommentSubject"/>
    <w:semiHidden/>
    <w:rsid w:val="001C63A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4E14F2-37F9-47E5-A576-6FDD40D350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6808</Words>
  <Characters>36427</Characters>
  <Application>Microsoft Office Word</Application>
  <DocSecurity>0</DocSecurity>
  <Lines>1256</Lines>
  <Paragraphs>286</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42949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TURLUI Emil-Gabriel</dc:creator>
  <cp:lastModifiedBy>SILVA Carla Marina</cp:lastModifiedBy>
  <cp:revision>2</cp:revision>
  <cp:lastPrinted>2004-11-04T09:41:00Z</cp:lastPrinted>
  <dcterms:created xsi:type="dcterms:W3CDTF">2023-09-25T09:29:00Z</dcterms:created>
  <dcterms:modified xsi:type="dcterms:W3CDTF">2023-09-25T09:29:00Z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1285454</vt:lpwstr>
  </property>
  <property fmtid="{D5CDD505-2E9C-101B-9397-08002B2CF9AE}" pid="4" name="&lt;Model&gt;">
    <vt:lpwstr>PR_COD_1amCom</vt:lpwstr>
  </property>
  <property fmtid="{D5CDD505-2E9C-101B-9397-08002B2CF9AE}" pid="5" name="&lt;ModelCod&gt;">
    <vt:lpwstr>\\eiciBRUpr1\pdocep$\DocEP\DOCS\General\PR\PR_Leg\COD\COD_1st\PR_COD_1amCom.dotx(17/04/2020 19:27:09)</vt:lpwstr>
  </property>
  <property fmtid="{D5CDD505-2E9C-101B-9397-08002B2CF9AE}" pid="6" name="&lt;ModelTra&gt;">
    <vt:lpwstr>\\eiciBRUpr1\pdocep$\DocEP\TRANSFIL\EN\PR_COD_1amCom.EN(29/06/2022 10:21:37)</vt:lpwstr>
  </property>
  <property fmtid="{D5CDD505-2E9C-101B-9397-08002B2CF9AE}" pid="7" name="&lt;Type&gt;">
    <vt:lpwstr>PR</vt:lpwstr>
  </property>
  <property fmtid="{D5CDD505-2E9C-101B-9397-08002B2CF9AE}" pid="8" name="Created with">
    <vt:lpwstr>9.14.1 Build [20230315]</vt:lpwstr>
  </property>
  <property fmtid="{D5CDD505-2E9C-101B-9397-08002B2CF9AE}" pid="9" name="FooterPath">
    <vt:lpwstr>PR\1285454PT.docx</vt:lpwstr>
  </property>
  <property fmtid="{D5CDD505-2E9C-101B-9397-08002B2CF9AE}" pid="10" name="LastEdited with">
    <vt:lpwstr>9.14.1 Build [20230315]</vt:lpwstr>
  </property>
  <property fmtid="{D5CDD505-2E9C-101B-9397-08002B2CF9AE}" pid="11" name="PE number">
    <vt:lpwstr>752.913</vt:lpwstr>
  </property>
  <property fmtid="{D5CDD505-2E9C-101B-9397-08002B2CF9AE}" pid="12" name="SDLStudio">
    <vt:lpwstr/>
  </property>
  <property fmtid="{D5CDD505-2E9C-101B-9397-08002B2CF9AE}" pid="13" name="SendToEpades">
    <vt:lpwstr>OK - 2023/09/11 11:42</vt:lpwstr>
  </property>
  <property fmtid="{D5CDD505-2E9C-101B-9397-08002B2CF9AE}" pid="14" name="Bookout">
    <vt:lpwstr>OK - 2023/09/25 11:29</vt:lpwstr>
  </property>
</Properties>
</file>