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77B41" w:rsidTr="00DA0796">
        <w:trPr>
          <w:trHeight w:hRule="exact" w:val="1418"/>
        </w:trPr>
        <w:tc>
          <w:tcPr>
            <w:tcW w:w="6804" w:type="dxa"/>
            <w:shd w:val="clear" w:color="auto" w:fill="auto"/>
            <w:vAlign w:val="center"/>
          </w:tcPr>
          <w:p w:rsidR="00B13D6F" w:rsidRPr="00D57E36" w:rsidRDefault="00F25F2E" w:rsidP="00DA0796">
            <w:pPr>
              <w:pStyle w:val="EPName"/>
            </w:pPr>
            <w:bookmarkStart w:id="0" w:name="_GoBack"/>
            <w:bookmarkEnd w:id="0"/>
            <w:r>
              <w:t>Parlamentul European</w:t>
            </w:r>
          </w:p>
          <w:p w:rsidR="00B13D6F" w:rsidRPr="00D57E36" w:rsidRDefault="00F25F2E" w:rsidP="006F1136">
            <w:pPr>
              <w:pStyle w:val="EPTerm"/>
            </w:pPr>
            <w:r>
              <w:t>2019-2024</w:t>
            </w:r>
          </w:p>
        </w:tc>
        <w:tc>
          <w:tcPr>
            <w:tcW w:w="2268" w:type="dxa"/>
            <w:shd w:val="clear" w:color="auto" w:fill="auto"/>
          </w:tcPr>
          <w:p w:rsidR="00B13D6F" w:rsidRPr="00D57E36" w:rsidRDefault="00F25F2E" w:rsidP="00DA0796">
            <w:pPr>
              <w:pStyle w:val="EPLogo"/>
            </w:pPr>
            <w:r w:rsidRPr="00D57E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D57E36" w:rsidRDefault="00461601" w:rsidP="00461601">
      <w:pPr>
        <w:pStyle w:val="LineTop"/>
      </w:pPr>
    </w:p>
    <w:p w:rsidR="00461601" w:rsidRPr="00D57E36" w:rsidRDefault="00F25F2E" w:rsidP="00461601">
      <w:pPr>
        <w:pStyle w:val="EPBody"/>
      </w:pPr>
      <w:r>
        <w:rPr>
          <w:rStyle w:val="HideTWBExt"/>
        </w:rPr>
        <w:t>&lt;</w:t>
      </w:r>
      <w:r>
        <w:rPr>
          <w:rStyle w:val="HideTWBExt"/>
          <w:i w:val="0"/>
        </w:rPr>
        <w:t>Commission</w:t>
      </w:r>
      <w:r>
        <w:rPr>
          <w:rStyle w:val="HideTWBExt"/>
        </w:rPr>
        <w:t>&gt;</w:t>
      </w:r>
      <w:r>
        <w:rPr>
          <w:rStyle w:val="HideTWBInt"/>
          <w:color w:val="auto"/>
        </w:rPr>
        <w:t>{ECON}</w:t>
      </w:r>
      <w:r>
        <w:t>Comisia pentru afaceri economice și monetare</w:t>
      </w:r>
      <w:r>
        <w:rPr>
          <w:rStyle w:val="HideTWBExt"/>
        </w:rPr>
        <w:t>&lt;/</w:t>
      </w:r>
      <w:r>
        <w:rPr>
          <w:rStyle w:val="HideTWBExt"/>
          <w:i w:val="0"/>
        </w:rPr>
        <w:t>Commission</w:t>
      </w:r>
      <w:r>
        <w:rPr>
          <w:rStyle w:val="HideTWBExt"/>
        </w:rPr>
        <w:t>&gt;</w:t>
      </w:r>
    </w:p>
    <w:p w:rsidR="00461601" w:rsidRPr="00D57E36" w:rsidRDefault="00461601" w:rsidP="00461601">
      <w:pPr>
        <w:pStyle w:val="LineBottom"/>
      </w:pPr>
    </w:p>
    <w:p w:rsidR="00793EA9" w:rsidRPr="00D57E36" w:rsidRDefault="00F25F2E">
      <w:pPr>
        <w:pStyle w:val="CoverReference"/>
      </w:pPr>
      <w:r>
        <w:rPr>
          <w:rStyle w:val="HideTWBExt"/>
          <w:b w:val="0"/>
        </w:rPr>
        <w:t>&lt;RefProc&gt;</w:t>
      </w:r>
      <w:r>
        <w:t>2023/0113</w:t>
      </w:r>
      <w:r>
        <w:rPr>
          <w:rStyle w:val="HideTWBExt"/>
          <w:b w:val="0"/>
        </w:rPr>
        <w:t>&lt;/RefProc&gt;&lt;RefTypeProc&gt;</w:t>
      </w:r>
      <w:r>
        <w:t>(COD)</w:t>
      </w:r>
      <w:r>
        <w:rPr>
          <w:rStyle w:val="HideTWBExt"/>
          <w:b w:val="0"/>
        </w:rPr>
        <w:t>&lt;/RefTypeProc&gt;</w:t>
      </w:r>
    </w:p>
    <w:p w:rsidR="00793EA9" w:rsidRPr="00D57E36" w:rsidRDefault="00F25F2E">
      <w:pPr>
        <w:pStyle w:val="CoverDate"/>
      </w:pPr>
      <w:r>
        <w:rPr>
          <w:rStyle w:val="HideTWBExt"/>
        </w:rPr>
        <w:t>&lt;Date&gt;</w:t>
      </w:r>
      <w:r>
        <w:rPr>
          <w:rStyle w:val="HideTWBInt"/>
          <w:color w:val="auto"/>
        </w:rPr>
        <w:t>{11/09/2023}</w:t>
      </w:r>
      <w:r>
        <w:t>11.9.2023</w:t>
      </w:r>
      <w:r>
        <w:rPr>
          <w:rStyle w:val="HideTWBExt"/>
        </w:rPr>
        <w:t>&lt;/Date&gt;</w:t>
      </w:r>
    </w:p>
    <w:p w:rsidR="00793EA9" w:rsidRPr="00D57E36" w:rsidRDefault="00F25F2E">
      <w:pPr>
        <w:pStyle w:val="CoverDocType"/>
      </w:pPr>
      <w:r>
        <w:rPr>
          <w:rStyle w:val="HideTWBExt"/>
          <w:b w:val="0"/>
        </w:rPr>
        <w:t>&lt;RefProcLect&gt;</w:t>
      </w:r>
      <w:r>
        <w:t>***I</w:t>
      </w:r>
      <w:r>
        <w:rPr>
          <w:rStyle w:val="HideTWBExt"/>
          <w:b w:val="0"/>
        </w:rPr>
        <w:t>&lt;/RefProcLect&gt;</w:t>
      </w:r>
    </w:p>
    <w:p w:rsidR="00793EA9" w:rsidRPr="00D57E36" w:rsidRDefault="00F25F2E">
      <w:pPr>
        <w:pStyle w:val="CoverDocType24a"/>
      </w:pPr>
      <w:r>
        <w:rPr>
          <w:rStyle w:val="HideTWBExt"/>
          <w:b w:val="0"/>
        </w:rPr>
        <w:t>&lt;TitreType&gt;</w:t>
      </w:r>
      <w:r>
        <w:t>PROIECT DE RAPORT</w:t>
      </w:r>
      <w:r>
        <w:rPr>
          <w:rStyle w:val="HideTWBExt"/>
          <w:b w:val="0"/>
        </w:rPr>
        <w:t>&lt;/TitreType&gt;</w:t>
      </w:r>
    </w:p>
    <w:p w:rsidR="00793EA9" w:rsidRPr="00D57E36" w:rsidRDefault="00F25F2E">
      <w:pPr>
        <w:pStyle w:val="CoverNormal"/>
      </w:pPr>
      <w:r>
        <w:rPr>
          <w:rStyle w:val="HideTWBExt"/>
        </w:rPr>
        <w:t>&lt;Titre&gt;</w:t>
      </w:r>
      <w:r>
        <w:t>referitor la propunerea de directivă a Parlamentului European și a Consiliului de modificare a Directivei 2014/59/UE și a Regulamentului (UE) nr. 806/2014 în ceea ce privește anumite aspecte ale cerinței minime de fondu</w:t>
      </w:r>
      <w:r>
        <w:t>ri proprii și datorii eligibile</w:t>
      </w:r>
      <w:r>
        <w:rPr>
          <w:rStyle w:val="HideTWBExt"/>
        </w:rPr>
        <w:t>&lt;/Titre&gt;</w:t>
      </w:r>
    </w:p>
    <w:p w:rsidR="00793EA9" w:rsidRPr="00D57E36" w:rsidRDefault="00F25F2E">
      <w:pPr>
        <w:pStyle w:val="CoverNormal24a"/>
      </w:pPr>
      <w:r>
        <w:rPr>
          <w:rStyle w:val="HideTWBExt"/>
        </w:rPr>
        <w:t>&lt;DocRef&gt;</w:t>
      </w:r>
      <w:r>
        <w:t>(COM(2023)0229 – C9</w:t>
      </w:r>
      <w:r>
        <w:noBreakHyphen/>
        <w:t>0134/2023 – 2023/0113(COD))</w:t>
      </w:r>
      <w:r>
        <w:rPr>
          <w:rStyle w:val="HideTWBExt"/>
        </w:rPr>
        <w:t>&lt;/DocRef&gt;</w:t>
      </w:r>
    </w:p>
    <w:p w:rsidR="00793EA9" w:rsidRPr="00D57E36" w:rsidRDefault="00F25F2E">
      <w:pPr>
        <w:pStyle w:val="CoverNormal24a"/>
      </w:pPr>
      <w:r>
        <w:rPr>
          <w:rStyle w:val="HideTWBExt"/>
        </w:rPr>
        <w:t>&lt;Commission&gt;</w:t>
      </w:r>
      <w:r>
        <w:rPr>
          <w:rStyle w:val="HideTWBInt"/>
          <w:color w:val="auto"/>
        </w:rPr>
        <w:t>{ECON}</w:t>
      </w:r>
      <w:r>
        <w:t>Comisia pentru afaceri economice și monetare</w:t>
      </w:r>
      <w:r>
        <w:rPr>
          <w:rStyle w:val="HideTWBExt"/>
        </w:rPr>
        <w:t>&lt;/Commission&gt;</w:t>
      </w:r>
    </w:p>
    <w:p w:rsidR="00793EA9" w:rsidRPr="00D57E36" w:rsidRDefault="00F25F2E">
      <w:pPr>
        <w:pStyle w:val="CoverNormal24a"/>
      </w:pPr>
      <w:r>
        <w:t xml:space="preserve">Raportor: </w:t>
      </w:r>
      <w:r>
        <w:rPr>
          <w:rStyle w:val="HideTWBExt"/>
        </w:rPr>
        <w:t>&lt;Depute&gt;</w:t>
      </w:r>
      <w:r>
        <w:t>Jonás Fernández</w:t>
      </w:r>
      <w:r>
        <w:rPr>
          <w:rStyle w:val="HideTWBExt"/>
        </w:rPr>
        <w:t>&lt;/Depute&gt;</w:t>
      </w:r>
    </w:p>
    <w:p w:rsidR="001C5B44" w:rsidRPr="00D57E36" w:rsidRDefault="001C5B44" w:rsidP="001C5B44">
      <w:pPr>
        <w:pStyle w:val="CoverNormal"/>
      </w:pPr>
    </w:p>
    <w:p w:rsidR="006F1136" w:rsidRPr="00D57E36" w:rsidRDefault="00F25F2E" w:rsidP="00DA0796">
      <w:r>
        <w:br w:type="page"/>
      </w:r>
      <w:r w:rsidR="00AF3962">
        <w:lastRenderedPageBreak/>
        <w:fldChar w:fldCharType="begin"/>
      </w:r>
      <w:r>
        <w:instrText xml:space="preserve"> TITLE  \* MERGEFORMAT </w:instrText>
      </w:r>
      <w:r w:rsidR="00AF3962">
        <w:fldChar w:fldCharType="separate"/>
      </w:r>
      <w:r>
        <w:t>PR_COD_1amCom</w:t>
      </w:r>
      <w:r w:rsidR="00AF3962">
        <w:fldChar w:fldCharType="end"/>
      </w:r>
    </w:p>
    <w:p w:rsidR="006F1136" w:rsidRPr="00D57E36" w:rsidRDefault="006F1136" w:rsidP="00DA0796"/>
    <w:p w:rsidR="00AF3962" w:rsidRPr="00775070" w:rsidRDefault="00AF3962" w:rsidP="00AF3962">
      <w:pPr>
        <w:tabs>
          <w:tab w:val="center" w:pos="4677"/>
        </w:tabs>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77B41" w:rsidTr="008C7460">
        <w:tc>
          <w:tcPr>
            <w:tcW w:w="5811" w:type="dxa"/>
            <w:tcBorders>
              <w:top w:val="single" w:sz="4" w:space="0" w:color="auto"/>
            </w:tcBorders>
          </w:tcPr>
          <w:p w:rsidR="00AF3962" w:rsidRPr="00775070" w:rsidRDefault="00F25F2E" w:rsidP="008C7460">
            <w:pPr>
              <w:pStyle w:val="Lgendetitre"/>
              <w:rPr>
                <w:szCs w:val="24"/>
              </w:rPr>
            </w:pPr>
            <w:r>
              <w:t>Legenda simbolurilor utilizate</w:t>
            </w:r>
          </w:p>
        </w:tc>
      </w:tr>
      <w:tr w:rsidR="00E77B41" w:rsidTr="008C7460">
        <w:trPr>
          <w:cantSplit/>
          <w:trHeight w:val="1949"/>
        </w:trPr>
        <w:tc>
          <w:tcPr>
            <w:tcW w:w="5811" w:type="dxa"/>
            <w:tcBorders>
              <w:bottom w:val="single" w:sz="4" w:space="0" w:color="auto"/>
            </w:tcBorders>
          </w:tcPr>
          <w:p w:rsidR="00AF3962" w:rsidRPr="00775070" w:rsidRDefault="00F25F2E" w:rsidP="008C7460">
            <w:pPr>
              <w:pStyle w:val="Lgendesigne"/>
              <w:rPr>
                <w:szCs w:val="24"/>
              </w:rPr>
            </w:pPr>
            <w:r>
              <w:tab/>
              <w:t>*</w:t>
            </w:r>
            <w:r>
              <w:tab/>
              <w:t>Procedura de consultare</w:t>
            </w:r>
            <w:r>
              <w:tab/>
            </w:r>
          </w:p>
          <w:p w:rsidR="00AF3962" w:rsidRPr="00775070" w:rsidRDefault="00F25F2E" w:rsidP="008C7460">
            <w:pPr>
              <w:pStyle w:val="Lgendesigne"/>
              <w:rPr>
                <w:szCs w:val="24"/>
              </w:rPr>
            </w:pPr>
            <w:r>
              <w:tab/>
              <w:t>***</w:t>
            </w:r>
            <w:r>
              <w:tab/>
              <w:t>Procedura de aprobare</w:t>
            </w:r>
          </w:p>
          <w:p w:rsidR="00AF3962" w:rsidRPr="00775070" w:rsidRDefault="00F25F2E" w:rsidP="008C7460">
            <w:pPr>
              <w:pStyle w:val="Lgendesigne"/>
              <w:rPr>
                <w:szCs w:val="24"/>
              </w:rPr>
            </w:pPr>
            <w:r>
              <w:tab/>
              <w:t>***I</w:t>
            </w:r>
            <w:r>
              <w:tab/>
              <w:t>Procedura legislativă ordinară (prima lectură)</w:t>
            </w:r>
          </w:p>
          <w:p w:rsidR="00AF3962" w:rsidRPr="00775070" w:rsidRDefault="00F25F2E" w:rsidP="008C7460">
            <w:pPr>
              <w:pStyle w:val="Lgendesigne"/>
              <w:rPr>
                <w:szCs w:val="24"/>
              </w:rPr>
            </w:pPr>
            <w:r>
              <w:tab/>
              <w:t>***II</w:t>
            </w:r>
            <w:r>
              <w:tab/>
              <w:t>Procedura legislativă ordinară (a doua lectură)</w:t>
            </w:r>
          </w:p>
          <w:p w:rsidR="00AF3962" w:rsidRPr="00775070" w:rsidRDefault="00F25F2E" w:rsidP="008C7460">
            <w:pPr>
              <w:pStyle w:val="Lgendesigne"/>
              <w:rPr>
                <w:szCs w:val="24"/>
              </w:rPr>
            </w:pPr>
            <w:r>
              <w:tab/>
              <w:t>***III</w:t>
            </w:r>
            <w:r>
              <w:tab/>
              <w:t xml:space="preserve">Procedura legislativă ordinară (a </w:t>
            </w:r>
            <w:r>
              <w:t>treia lectură)</w:t>
            </w:r>
            <w:r>
              <w:br/>
            </w:r>
          </w:p>
          <w:p w:rsidR="00AF3962" w:rsidRPr="00775070" w:rsidRDefault="00F25F2E" w:rsidP="008C7460">
            <w:pPr>
              <w:pStyle w:val="Lgendestandard"/>
              <w:rPr>
                <w:szCs w:val="24"/>
              </w:rPr>
            </w:pPr>
            <w:r>
              <w:t>(Procedura indicată se bazează pe temeiul juridic propus în proiectul de act.)</w:t>
            </w:r>
          </w:p>
          <w:p w:rsidR="00AF3962" w:rsidRPr="00775070" w:rsidRDefault="00AF3962" w:rsidP="008C7460">
            <w:pPr>
              <w:pStyle w:val="Lgendestandard"/>
              <w:rPr>
                <w:szCs w:val="24"/>
              </w:rPr>
            </w:pPr>
          </w:p>
        </w:tc>
      </w:tr>
    </w:tbl>
    <w:p w:rsidR="00AF3962" w:rsidRPr="00775070" w:rsidRDefault="00AF3962" w:rsidP="00AF3962">
      <w:pPr>
        <w:rPr>
          <w:szCs w:val="24"/>
        </w:rPr>
      </w:pPr>
    </w:p>
    <w:p w:rsidR="00AF3962" w:rsidRPr="00775070" w:rsidRDefault="00AF3962" w:rsidP="00AF3962">
      <w:pPr>
        <w:rPr>
          <w:szCs w:val="24"/>
        </w:rPr>
      </w:pPr>
    </w:p>
    <w:p w:rsidR="00AF3962" w:rsidRPr="00775070" w:rsidRDefault="00AF3962" w:rsidP="00AF3962">
      <w:pPr>
        <w:rPr>
          <w:szCs w:val="24"/>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77B41" w:rsidTr="008C7460">
        <w:tc>
          <w:tcPr>
            <w:tcW w:w="5811" w:type="dxa"/>
            <w:tcBorders>
              <w:top w:val="single" w:sz="4" w:space="0" w:color="auto"/>
            </w:tcBorders>
          </w:tcPr>
          <w:p w:rsidR="00AF3962" w:rsidRPr="00775070" w:rsidRDefault="00F25F2E" w:rsidP="008C7460">
            <w:pPr>
              <w:pStyle w:val="Lgendetitre"/>
              <w:rPr>
                <w:szCs w:val="24"/>
              </w:rPr>
            </w:pPr>
            <w:r>
              <w:t>Amendamente la un proiect de act</w:t>
            </w:r>
          </w:p>
        </w:tc>
      </w:tr>
      <w:tr w:rsidR="00E77B41" w:rsidTr="008C7460">
        <w:tc>
          <w:tcPr>
            <w:tcW w:w="5811" w:type="dxa"/>
            <w:tcBorders>
              <w:bottom w:val="single" w:sz="4" w:space="0" w:color="auto"/>
            </w:tcBorders>
          </w:tcPr>
          <w:p w:rsidR="00AF3962" w:rsidRPr="00775070" w:rsidRDefault="00AF3962" w:rsidP="008C7460">
            <w:pPr>
              <w:pStyle w:val="Lgendestandard"/>
              <w:rPr>
                <w:szCs w:val="24"/>
              </w:rPr>
            </w:pPr>
          </w:p>
          <w:p w:rsidR="00AF3962" w:rsidRPr="00775070" w:rsidRDefault="00F25F2E" w:rsidP="008C7460">
            <w:pPr>
              <w:pStyle w:val="Lgendestandard"/>
              <w:rPr>
                <w:szCs w:val="24"/>
              </w:rPr>
            </w:pPr>
            <w:r>
              <w:rPr>
                <w:b/>
              </w:rPr>
              <w:t>Amendamentele Parlamentului prezentate pe două coloane</w:t>
            </w:r>
          </w:p>
          <w:p w:rsidR="00AF3962" w:rsidRPr="00775070" w:rsidRDefault="00AF3962" w:rsidP="008C7460">
            <w:pPr>
              <w:pStyle w:val="Lgendestandard"/>
              <w:rPr>
                <w:szCs w:val="24"/>
              </w:rPr>
            </w:pPr>
          </w:p>
          <w:p w:rsidR="00AF3962" w:rsidRPr="00775070" w:rsidRDefault="00F25F2E" w:rsidP="008C7460">
            <w:pPr>
              <w:pStyle w:val="Lgendestandard"/>
              <w:rPr>
                <w:szCs w:val="24"/>
              </w:rPr>
            </w:pPr>
            <w:r>
              <w:t xml:space="preserve">Textul eliminat este evidențiat prin caractere </w:t>
            </w:r>
            <w:r>
              <w:rPr>
                <w:b/>
                <w:i/>
              </w:rPr>
              <w:t>cursive aldine</w:t>
            </w:r>
            <w:r>
              <w:t xml:space="preserve"> în coloana din stânga. Textul înlocuit este evidențiat prin caractere </w:t>
            </w:r>
            <w:r>
              <w:rPr>
                <w:b/>
                <w:i/>
              </w:rPr>
              <w:t>cursive aldine</w:t>
            </w:r>
            <w:r>
              <w:t xml:space="preserve"> în ambele coloane. Textul nou este evidențiat prin caractere </w:t>
            </w:r>
            <w:r>
              <w:rPr>
                <w:b/>
                <w:i/>
              </w:rPr>
              <w:t>cursive aldine</w:t>
            </w:r>
            <w:r>
              <w:t xml:space="preserve"> în coloana din dreapta.</w:t>
            </w:r>
          </w:p>
          <w:p w:rsidR="00AF3962" w:rsidRPr="00775070" w:rsidRDefault="00AF3962" w:rsidP="008C7460">
            <w:pPr>
              <w:pStyle w:val="Lgendestandard"/>
              <w:rPr>
                <w:szCs w:val="24"/>
              </w:rPr>
            </w:pPr>
          </w:p>
          <w:p w:rsidR="00AF3962" w:rsidRPr="00775070" w:rsidRDefault="00F25F2E" w:rsidP="008C7460">
            <w:pPr>
              <w:pStyle w:val="Lgendestandard"/>
              <w:rPr>
                <w:szCs w:val="24"/>
              </w:rPr>
            </w:pPr>
            <w:r>
              <w:t>În primul și în al doilea rând din antetul fiecărui amendament se ide</w:t>
            </w:r>
            <w:r>
              <w:t>ntifică fragmentul vizat din proiectul de act supus examinării. În cazul în care un amendament vizează un act existent care urmează să fie modificat prin proiectul de act, antetul conține două rânduri suplimentare în care se indică actul existent și, respe</w:t>
            </w:r>
            <w:r>
              <w:t xml:space="preserve">ctiv, dispoziția din acesta vizată de modificare. </w:t>
            </w:r>
          </w:p>
          <w:p w:rsidR="00AF3962" w:rsidRPr="00775070" w:rsidRDefault="00AF3962" w:rsidP="008C7460">
            <w:pPr>
              <w:pStyle w:val="Lgendestandard"/>
              <w:rPr>
                <w:szCs w:val="24"/>
              </w:rPr>
            </w:pPr>
          </w:p>
          <w:p w:rsidR="00AF3962" w:rsidRPr="00775070" w:rsidRDefault="00F25F2E" w:rsidP="008C7460">
            <w:pPr>
              <w:pStyle w:val="Lgendestandard"/>
              <w:rPr>
                <w:b/>
                <w:szCs w:val="24"/>
              </w:rPr>
            </w:pPr>
            <w:r>
              <w:rPr>
                <w:b/>
              </w:rPr>
              <w:t>Amendamentele Parlamentului prezentate sub formă de text consolidat</w:t>
            </w:r>
          </w:p>
          <w:p w:rsidR="00AF3962" w:rsidRPr="00775070" w:rsidRDefault="00AF3962" w:rsidP="008C7460">
            <w:pPr>
              <w:pStyle w:val="Lgendestandard"/>
              <w:rPr>
                <w:szCs w:val="24"/>
              </w:rPr>
            </w:pPr>
          </w:p>
          <w:p w:rsidR="00AF3962" w:rsidRPr="00775070" w:rsidRDefault="00F25F2E" w:rsidP="008C7460">
            <w:pPr>
              <w:pStyle w:val="Lgendestandard"/>
              <w:rPr>
                <w:szCs w:val="24"/>
              </w:rPr>
            </w:pPr>
            <w:r>
              <w:t xml:space="preserve">Părțile de text noi sunt evidențiate prin caractere </w:t>
            </w:r>
            <w:r>
              <w:rPr>
                <w:b/>
                <w:i/>
              </w:rPr>
              <w:t>cursive aldine</w:t>
            </w:r>
            <w:r>
              <w:t>. Părțile de text eliminate sunt indicate prin simbolul ▌ sau sunt tă</w:t>
            </w:r>
            <w:r>
              <w:t xml:space="preserve">iate. Înlocuirile sunt semnalate prin evidențierea cu caractere </w:t>
            </w:r>
            <w:r>
              <w:rPr>
                <w:b/>
                <w:i/>
              </w:rPr>
              <w:t>cursive aldine</w:t>
            </w:r>
            <w:r>
              <w:t xml:space="preserve"> a textului nou și prin eliminarea sau tăierea textului înlocuit. </w:t>
            </w:r>
          </w:p>
          <w:p w:rsidR="00AF3962" w:rsidRPr="00775070" w:rsidRDefault="00F25F2E" w:rsidP="008C7460">
            <w:pPr>
              <w:pStyle w:val="Lgendestandard"/>
              <w:rPr>
                <w:szCs w:val="24"/>
              </w:rPr>
            </w:pPr>
            <w:r>
              <w:t>Fac excepție de la regulă și nu se evidențiază modificările de natură strict tehnică efectuate de serviciile co</w:t>
            </w:r>
            <w:r>
              <w:t>mpetente în vederea elaborării textului final.</w:t>
            </w:r>
          </w:p>
          <w:p w:rsidR="00AF3962" w:rsidRPr="00775070" w:rsidRDefault="00AF3962" w:rsidP="008C7460">
            <w:pPr>
              <w:pStyle w:val="Lgendestandard"/>
              <w:rPr>
                <w:szCs w:val="24"/>
              </w:rPr>
            </w:pPr>
          </w:p>
        </w:tc>
      </w:tr>
    </w:tbl>
    <w:p w:rsidR="00AF3962" w:rsidRPr="00775070" w:rsidRDefault="00AF3962" w:rsidP="00AF3962">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szCs w:val="24"/>
        </w:rPr>
      </w:pPr>
    </w:p>
    <w:p w:rsidR="00793EA9" w:rsidRPr="00D57E36" w:rsidRDefault="00793EA9" w:rsidP="00012351">
      <w:pPr>
        <w:widowControl/>
        <w:tabs>
          <w:tab w:val="center" w:pos="4677"/>
        </w:tabs>
      </w:pPr>
    </w:p>
    <w:p w:rsidR="00793EA9" w:rsidRPr="00D57E36" w:rsidRDefault="00F25F2E">
      <w:pPr>
        <w:pStyle w:val="TOCHeading"/>
      </w:pPr>
      <w:r>
        <w:br w:type="page"/>
      </w:r>
      <w:r>
        <w:lastRenderedPageBreak/>
        <w:t>CUPRINS</w:t>
      </w:r>
    </w:p>
    <w:p w:rsidR="00793EA9" w:rsidRPr="00D57E36" w:rsidRDefault="00F25F2E">
      <w:pPr>
        <w:pStyle w:val="TOCPage"/>
      </w:pPr>
      <w:r>
        <w:t>Pagina</w:t>
      </w:r>
    </w:p>
    <w:p w:rsidR="00F25F2E" w:rsidRDefault="00F25F2E">
      <w:pPr>
        <w:pStyle w:val="TOC1"/>
        <w:tabs>
          <w:tab w:val="right" w:leader="dot" w:pos="9060"/>
        </w:tabs>
        <w:rPr>
          <w:rFonts w:asciiTheme="minorHAnsi" w:eastAsiaTheme="minorEastAsia" w:hAnsiTheme="minorHAnsi" w:cstheme="minorBidi"/>
          <w:noProof/>
          <w:sz w:val="22"/>
          <w:szCs w:val="22"/>
          <w:lang w:val="en-GB"/>
        </w:rPr>
      </w:pPr>
      <w:r w:rsidRPr="00D57E36">
        <w:rPr>
          <w:b/>
        </w:rPr>
        <w:fldChar w:fldCharType="begin"/>
      </w:r>
      <w:r w:rsidRPr="00D57E36">
        <w:rPr>
          <w:b/>
        </w:rPr>
        <w:instrText xml:space="preserve"> TOC \t "PageHeading</w:instrText>
      </w:r>
      <w:r w:rsidR="00E70D3B" w:rsidRPr="00D57E36">
        <w:rPr>
          <w:b/>
        </w:rPr>
        <w:instrText>;</w:instrText>
      </w:r>
      <w:r w:rsidRPr="00D57E36">
        <w:rPr>
          <w:b/>
        </w:rPr>
        <w:instrText xml:space="preserve">1" </w:instrText>
      </w:r>
      <w:r w:rsidRPr="00D57E36">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_Toc146614636 \h </w:instrText>
      </w:r>
      <w:r>
        <w:rPr>
          <w:noProof/>
        </w:rPr>
      </w:r>
      <w:r>
        <w:rPr>
          <w:noProof/>
        </w:rPr>
        <w:fldChar w:fldCharType="separate"/>
      </w:r>
      <w:r>
        <w:rPr>
          <w:noProof/>
        </w:rPr>
        <w:t>5</w:t>
      </w:r>
      <w:r>
        <w:rPr>
          <w:noProof/>
        </w:rPr>
        <w:fldChar w:fldCharType="end"/>
      </w:r>
    </w:p>
    <w:p w:rsidR="002346B0" w:rsidRPr="00D57E36" w:rsidRDefault="00F25F2E" w:rsidP="00C23324">
      <w:r w:rsidRPr="00D57E36">
        <w:rPr>
          <w:b/>
        </w:rPr>
        <w:fldChar w:fldCharType="end"/>
      </w:r>
    </w:p>
    <w:p w:rsidR="00793EA9" w:rsidRPr="00D57E36" w:rsidRDefault="00F25F2E">
      <w:pPr>
        <w:pStyle w:val="PageHeading"/>
      </w:pPr>
      <w:r>
        <w:br w:type="page"/>
      </w:r>
      <w:r>
        <w:lastRenderedPageBreak/>
        <w:br w:type="page"/>
      </w:r>
      <w:bookmarkStart w:id="1" w:name="_Toc146614636"/>
      <w:r>
        <w:lastRenderedPageBreak/>
        <w:t>PROIECT DE REZOLUȚIE LEGISLATIVĂ A PARLAMENTULUI EUROPEAN</w:t>
      </w:r>
      <w:bookmarkEnd w:id="1"/>
    </w:p>
    <w:p w:rsidR="00793EA9" w:rsidRPr="00D57E36" w:rsidRDefault="00F25F2E">
      <w:pPr>
        <w:pStyle w:val="NormalBold"/>
      </w:pPr>
      <w:r>
        <w:t>referitoare la propunerea de directivă a Parlamentului European și a Consiliului de modificare a Directivei 2014/59/UE și a Reg</w:t>
      </w:r>
      <w:r>
        <w:t>ulamentului (UE) nr. 806/2014 în ceea ce privește anumite aspecte ale cerinței minime de fonduri proprii și datorii eligibile</w:t>
      </w:r>
    </w:p>
    <w:p w:rsidR="00793EA9" w:rsidRPr="00D57E36" w:rsidRDefault="00F25F2E">
      <w:pPr>
        <w:pStyle w:val="NormalBold12a"/>
      </w:pPr>
      <w:r>
        <w:t>(COM(2023)0229 – C9</w:t>
      </w:r>
      <w:r>
        <w:noBreakHyphen/>
        <w:t>0134/2023 – 2023/0113(COD))</w:t>
      </w:r>
    </w:p>
    <w:p w:rsidR="00793EA9" w:rsidRPr="00D57E36" w:rsidRDefault="00F25F2E" w:rsidP="00A910C9">
      <w:pPr>
        <w:pStyle w:val="NormalBold"/>
      </w:pPr>
      <w:r>
        <w:t>(Procedura legislativă ordinară: prima lectură)</w:t>
      </w:r>
    </w:p>
    <w:p w:rsidR="00793EA9" w:rsidRPr="00D57E36" w:rsidRDefault="00F25F2E" w:rsidP="00A910C9">
      <w:pPr>
        <w:pStyle w:val="EPComma"/>
      </w:pPr>
      <w:r>
        <w:rPr>
          <w:i/>
          <w:iCs/>
        </w:rPr>
        <w:t>Parlamentul European</w:t>
      </w:r>
      <w:r>
        <w:t>,</w:t>
      </w:r>
    </w:p>
    <w:p w:rsidR="00793EA9" w:rsidRPr="00D57E36" w:rsidRDefault="00F25F2E">
      <w:pPr>
        <w:pStyle w:val="NormalHanging12a"/>
      </w:pPr>
      <w:r>
        <w:t>–</w:t>
      </w:r>
      <w:r>
        <w:tab/>
        <w:t xml:space="preserve">având în </w:t>
      </w:r>
      <w:r>
        <w:t>vedere propunerea Comisiei prezentată Parlamentului European și Consiliului (COM(2023)0229),</w:t>
      </w:r>
    </w:p>
    <w:p w:rsidR="00793EA9" w:rsidRPr="00D57E36" w:rsidRDefault="00F25F2E">
      <w:pPr>
        <w:pStyle w:val="NormalHanging12a"/>
      </w:pPr>
      <w:r>
        <w:t>–</w:t>
      </w:r>
      <w:r>
        <w:tab/>
        <w:t>având în vedere articolul 294 alineatul (2) și articolul 114 din Tratatul privind funcționarea Uniunii Europene, în temeiul cărora propunerea a fost prezentată d</w:t>
      </w:r>
      <w:r>
        <w:t>e către Comisie (C9</w:t>
      </w:r>
      <w:r>
        <w:noBreakHyphen/>
        <w:t>0134/2023),</w:t>
      </w:r>
    </w:p>
    <w:p w:rsidR="00A26F46" w:rsidRPr="00D57E36" w:rsidRDefault="00F25F2E" w:rsidP="00A26F46">
      <w:pPr>
        <w:pStyle w:val="NormalHanging12a"/>
      </w:pPr>
      <w:r>
        <w:t>–</w:t>
      </w:r>
      <w:r>
        <w:tab/>
        <w:t>având în vedere articolul 294 alineatul (3) din Tratatul privind funcționarea Uniunii Europene,</w:t>
      </w:r>
    </w:p>
    <w:p w:rsidR="006F1136" w:rsidRPr="00D57E36" w:rsidRDefault="00F25F2E" w:rsidP="00AD7FA6">
      <w:pPr>
        <w:pStyle w:val="NormalHanging12a"/>
      </w:pPr>
      <w:r>
        <w:t>–</w:t>
      </w:r>
      <w:r>
        <w:tab/>
        <w:t>având în vedere avizul Băncii Centrale Europene din 5 iulie 2023</w:t>
      </w:r>
      <w:r>
        <w:rPr>
          <w:rStyle w:val="FootnoteReference"/>
        </w:rPr>
        <w:footnoteReference w:id="1"/>
      </w:r>
      <w:r>
        <w:t>,</w:t>
      </w:r>
    </w:p>
    <w:p w:rsidR="00D73518" w:rsidRPr="00D57E36" w:rsidRDefault="00F25F2E" w:rsidP="00AD7FA6">
      <w:pPr>
        <w:pStyle w:val="NormalHanging12a"/>
      </w:pPr>
      <w:r>
        <w:t>–</w:t>
      </w:r>
      <w:r>
        <w:tab/>
        <w:t>având în vedere avizul Comitetului Economic și Social E</w:t>
      </w:r>
      <w:r>
        <w:t>uropean din 13 iulie 2023</w:t>
      </w:r>
      <w:r>
        <w:rPr>
          <w:rStyle w:val="FootnoteReference"/>
          <w:szCs w:val="24"/>
        </w:rPr>
        <w:footnoteReference w:id="2"/>
      </w:r>
      <w:r>
        <w:t>,</w:t>
      </w:r>
    </w:p>
    <w:p w:rsidR="00793EA9" w:rsidRPr="00D57E36" w:rsidRDefault="00F25F2E">
      <w:pPr>
        <w:pStyle w:val="NormalHanging12a"/>
      </w:pPr>
      <w:r>
        <w:t>–</w:t>
      </w:r>
      <w:r>
        <w:tab/>
        <w:t>având în vedere articolul 59 din Regulamentul său de procedură,</w:t>
      </w:r>
    </w:p>
    <w:p w:rsidR="006A2F5D" w:rsidRPr="00D57E36" w:rsidRDefault="00F25F2E" w:rsidP="006A2F5D">
      <w:pPr>
        <w:pStyle w:val="NormalHanging12a"/>
      </w:pPr>
      <w:r>
        <w:t>–</w:t>
      </w:r>
      <w:r>
        <w:tab/>
        <w:t>având în vedere raportul Comisiei pentru afaceri economice și monetare (A9</w:t>
      </w:r>
      <w:r>
        <w:noBreakHyphen/>
        <w:t>0000/2023),</w:t>
      </w:r>
    </w:p>
    <w:p w:rsidR="009F6C2F" w:rsidRPr="00D57E36" w:rsidRDefault="00F25F2E" w:rsidP="00B17848">
      <w:pPr>
        <w:pStyle w:val="NormalHanging12a"/>
      </w:pPr>
      <w:r>
        <w:t>1.</w:t>
      </w:r>
      <w:r>
        <w:tab/>
        <w:t>adoptă poziția sa în primă lectură prezentată în continuare;</w:t>
      </w:r>
    </w:p>
    <w:p w:rsidR="009F6C2F" w:rsidRPr="00D57E36" w:rsidRDefault="00F25F2E" w:rsidP="009F6C2F">
      <w:pPr>
        <w:pStyle w:val="NormalHanging12a"/>
      </w:pPr>
      <w:r>
        <w:t>2.</w:t>
      </w:r>
      <w:r>
        <w:tab/>
        <w:t>solici</w:t>
      </w:r>
      <w:r>
        <w:t>tă Comisiei să îl sesizeze din nou în cazul în care își înlocuiește, își modifică în mod substanțial sau intenționează să-și modifice în mod substanțial propunerea;</w:t>
      </w:r>
    </w:p>
    <w:p w:rsidR="009F6C2F" w:rsidRPr="00D57E36" w:rsidRDefault="00F25F2E" w:rsidP="009F6C2F">
      <w:pPr>
        <w:pStyle w:val="NormalHanging12a"/>
      </w:pPr>
      <w:r>
        <w:t>3.</w:t>
      </w:r>
      <w:r>
        <w:tab/>
        <w:t>încredințează Președintei sarcina de a transmite Consiliului și Comisiei, precum și parl</w:t>
      </w:r>
      <w:r>
        <w:t>amentelor naționale poziția Parlamentului.</w:t>
      </w:r>
    </w:p>
    <w:p w:rsidR="00D30DE2" w:rsidRPr="00D57E36" w:rsidRDefault="00D30DE2" w:rsidP="00D30DE2"/>
    <w:p w:rsidR="008C37B3" w:rsidRPr="00D57E36" w:rsidRDefault="008C37B3" w:rsidP="00D30DE2"/>
    <w:p w:rsidR="008C37B3" w:rsidRPr="00D57E36" w:rsidRDefault="008C37B3" w:rsidP="00D30DE2"/>
    <w:p w:rsidR="008C37B3" w:rsidRPr="00D57E36" w:rsidRDefault="008C37B3" w:rsidP="00D30DE2"/>
    <w:p w:rsidR="008C37B3" w:rsidRPr="00D57E36" w:rsidRDefault="008C37B3" w:rsidP="00D30DE2"/>
    <w:p w:rsidR="002669B6" w:rsidRPr="00D57E36" w:rsidRDefault="00F25F2E" w:rsidP="00212B84">
      <w:pPr>
        <w:pStyle w:val="AmNumberTabs"/>
        <w:keepNext/>
      </w:pPr>
      <w:r>
        <w:rPr>
          <w:rStyle w:val="HideTWBExt"/>
          <w:b w:val="0"/>
        </w:rPr>
        <w:lastRenderedPageBreak/>
        <w:t>&lt;RepeatBlock-Amend&gt;</w:t>
      </w:r>
      <w:bookmarkStart w:id="2" w:name="restart"/>
      <w:r>
        <w:rPr>
          <w:rStyle w:val="HideTWBExt"/>
          <w:b w:val="0"/>
        </w:rPr>
        <w:t>&lt;Amend&gt;</w:t>
      </w:r>
      <w:r>
        <w:t>Amendamentul</w:t>
      </w:r>
      <w:r>
        <w:tab/>
      </w:r>
      <w:r>
        <w:tab/>
      </w:r>
      <w:r>
        <w:rPr>
          <w:rStyle w:val="HideTWBExt"/>
          <w:b w:val="0"/>
        </w:rPr>
        <w:t>&lt;NumAm&gt;</w:t>
      </w:r>
      <w:r>
        <w:t>1</w:t>
      </w:r>
      <w:r>
        <w:rPr>
          <w:rStyle w:val="HideTWBExt"/>
          <w:b w:val="0"/>
        </w:rPr>
        <w:t>&lt;/NumAm&gt;</w:t>
      </w:r>
    </w:p>
    <w:p w:rsidR="002669B6" w:rsidRPr="00D57E36" w:rsidRDefault="00F25F2E" w:rsidP="00212B84">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Considerentul 1</w:t>
      </w:r>
      <w:r>
        <w:rPr>
          <w:rStyle w:val="HideTWBExt"/>
          <w:b w:val="0"/>
        </w:rPr>
        <w:t>&lt;/Article&gt;</w:t>
      </w:r>
      <w:bookmarkEnd w:id="2"/>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(1)</w:t>
            </w:r>
            <w:r>
              <w:tab/>
              <w:t xml:space="preserve">Directiva (UE) 2019/879 a </w:t>
            </w:r>
            <w:r>
              <w:t>Parlamentului European și a Consiliului</w:t>
            </w:r>
            <w:r>
              <w:rPr>
                <w:vertAlign w:val="superscript"/>
              </w:rPr>
              <w:t>16</w:t>
            </w:r>
            <w:r>
              <w:t xml:space="preserve"> și Regulamentul (UE) 2019/877 al Parlamentului European și al Consiliului</w:t>
            </w:r>
            <w:r>
              <w:rPr>
                <w:vertAlign w:val="superscript"/>
              </w:rPr>
              <w:t>17</w:t>
            </w:r>
            <w:r>
              <w:t xml:space="preserve"> au modificat cerința minimă de fonduri proprii și datorii eligibile („MREL”) prevăzută în Directiva 2014/59/UE a Parlamentului European și</w:t>
            </w:r>
            <w:r>
              <w:t xml:space="preserve"> a Consiliului</w:t>
            </w:r>
            <w:r>
              <w:rPr>
                <w:vertAlign w:val="superscript"/>
              </w:rPr>
              <w:t>18</w:t>
            </w:r>
            <w:r>
              <w:t xml:space="preserve"> și în Regulamentul (UE) nr. 806/2014 al Parlamentului European și al Consiliului</w:t>
            </w:r>
            <w:r>
              <w:rPr>
                <w:vertAlign w:val="superscript"/>
              </w:rPr>
              <w:t>19</w:t>
            </w:r>
            <w:r>
              <w:t xml:space="preserve">, care se aplică instituțiilor de credit și firmelor de investiții („instituții”) stabilite în Uniune, precum și oricărei alte entități care intră în </w:t>
            </w:r>
            <w:r>
              <w:t>domeniul de aplicare al Directivei 2014/59/UE sau al Regulamentului (UE) nr. 806/2014 („entități”). În temeiul modificărilor respective, MREL internă, și anume MREL aplicabilă instituțiilor și entităților care sunt filiale ale entităților de rezoluție, dar</w:t>
            </w:r>
            <w:r>
              <w:t xml:space="preserve"> care nu sunt ele însele entități de rezoluție, poate fi îndeplinită de entitățile care utilizează instrumente emise către entitatea de rezoluție și achiziționate de aceasta fie direct, fie indirect prin intermediul altor entități din același grup de rezol</w:t>
            </w:r>
            <w:r>
              <w:t>uție.</w:t>
            </w:r>
          </w:p>
        </w:tc>
        <w:tc>
          <w:tcPr>
            <w:tcW w:w="4876" w:type="dxa"/>
            <w:hideMark/>
          </w:tcPr>
          <w:p w:rsidR="00932D06" w:rsidRPr="00D57E36" w:rsidRDefault="00F25F2E">
            <w:pPr>
              <w:pStyle w:val="Normal6"/>
              <w:rPr>
                <w:szCs w:val="24"/>
              </w:rPr>
            </w:pPr>
            <w:r>
              <w:t>(1)</w:t>
            </w:r>
            <w:r>
              <w:tab/>
              <w:t>Directiva (UE) 2019/879 a Parlamentului European și a Consiliului</w:t>
            </w:r>
            <w:r>
              <w:rPr>
                <w:vertAlign w:val="superscript"/>
              </w:rPr>
              <w:t>16</w:t>
            </w:r>
            <w:r>
              <w:t xml:space="preserve"> și Regulamentul (UE) 2019/877 al Parlamentului European și al Consiliului</w:t>
            </w:r>
            <w:r>
              <w:rPr>
                <w:vertAlign w:val="superscript"/>
              </w:rPr>
              <w:t>17</w:t>
            </w:r>
            <w:r>
              <w:t xml:space="preserve"> au modificat cerința minimă de fonduri proprii și datorii eligibile („MREL”) prevăzută în Directiva 20</w:t>
            </w:r>
            <w:r>
              <w:t>14/59/UE a Parlamentului European și a Consiliului</w:t>
            </w:r>
            <w:r>
              <w:rPr>
                <w:vertAlign w:val="superscript"/>
              </w:rPr>
              <w:t>18</w:t>
            </w:r>
            <w:r>
              <w:t xml:space="preserve"> și în Regulamentul (UE) nr. 806/2014 al Parlamentului European și al Consiliului</w:t>
            </w:r>
            <w:r>
              <w:rPr>
                <w:vertAlign w:val="superscript"/>
              </w:rPr>
              <w:t>19</w:t>
            </w:r>
            <w:r>
              <w:t>, care se aplică instituțiilor de credit și firmelor de investiții („instituții”) stabilite în Uniune, precum și oricărei</w:t>
            </w:r>
            <w:r>
              <w:t xml:space="preserve"> alte entități care intră în domeniul de aplicare al Directivei 2014/59/UE sau al Regulamentului (UE) nr. 806/2014 („entități”). În temeiul modificărilor respective, MREL internă, și anume MREL aplicabilă instituțiilor și entităților care sunt filiale ale </w:t>
            </w:r>
            <w:r>
              <w:t xml:space="preserve">entităților de rezoluție, dar care nu sunt ele însele entități de rezoluție, poate fi îndeplinită de </w:t>
            </w:r>
            <w:r>
              <w:rPr>
                <w:b/>
                <w:i/>
              </w:rPr>
              <w:t xml:space="preserve">instituțiile și </w:t>
            </w:r>
            <w:r>
              <w:t>entitățile care utilizează instrumente emise către entitatea de rezoluție și achiziționate de aceasta fie direct, fie indirect prin interme</w:t>
            </w:r>
            <w:r>
              <w:t>diul altor entități din același grup de rezoluție.</w:t>
            </w:r>
          </w:p>
        </w:tc>
      </w:tr>
      <w:tr w:rsidR="00E77B41" w:rsidTr="00932D06">
        <w:trPr>
          <w:jc w:val="center"/>
        </w:trPr>
        <w:tc>
          <w:tcPr>
            <w:tcW w:w="4876" w:type="dxa"/>
            <w:hideMark/>
          </w:tcPr>
          <w:p w:rsidR="00932D06" w:rsidRPr="00D57E36" w:rsidRDefault="00F25F2E">
            <w:pPr>
              <w:pStyle w:val="Normal6"/>
            </w:pPr>
            <w:r>
              <w:t>__________________</w:t>
            </w:r>
          </w:p>
        </w:tc>
        <w:tc>
          <w:tcPr>
            <w:tcW w:w="4876" w:type="dxa"/>
            <w:hideMark/>
          </w:tcPr>
          <w:p w:rsidR="00932D06" w:rsidRPr="00D57E36" w:rsidRDefault="00F25F2E">
            <w:pPr>
              <w:pStyle w:val="Normal6"/>
              <w:rPr>
                <w:szCs w:val="24"/>
              </w:rPr>
            </w:pPr>
            <w:r>
              <w:t>__________________</w:t>
            </w:r>
          </w:p>
        </w:tc>
      </w:tr>
      <w:tr w:rsidR="00E77B41" w:rsidTr="00932D06">
        <w:trPr>
          <w:jc w:val="center"/>
        </w:trPr>
        <w:tc>
          <w:tcPr>
            <w:tcW w:w="4876" w:type="dxa"/>
            <w:hideMark/>
          </w:tcPr>
          <w:p w:rsidR="00932D06" w:rsidRPr="00D57E36" w:rsidRDefault="00F25F2E">
            <w:pPr>
              <w:pStyle w:val="Normal6"/>
            </w:pPr>
            <w:r>
              <w:rPr>
                <w:vertAlign w:val="superscript"/>
              </w:rPr>
              <w:t>16</w:t>
            </w:r>
            <w:r>
              <w:t xml:space="preserve"> Directiva (UE) 2019/879 a Parlamentului European și a Consiliului din 20 mai 2019 de modificare a Directivei 2014/59/UE în ceea ce privește capacitatea de absorbție a pierderilor și de recapitalizare a instituțiilor de credit și a firmelor de investiții ș</w:t>
            </w:r>
            <w:r>
              <w:t>i a Directivei 98/26/CE (JO L 150, 7.6.2019, p. 296).</w:t>
            </w:r>
          </w:p>
        </w:tc>
        <w:tc>
          <w:tcPr>
            <w:tcW w:w="4876" w:type="dxa"/>
            <w:hideMark/>
          </w:tcPr>
          <w:p w:rsidR="00932D06" w:rsidRPr="00D57E36" w:rsidRDefault="00F25F2E">
            <w:pPr>
              <w:pStyle w:val="Normal6"/>
              <w:rPr>
                <w:szCs w:val="24"/>
              </w:rPr>
            </w:pPr>
            <w:r>
              <w:rPr>
                <w:vertAlign w:val="superscript"/>
              </w:rPr>
              <w:t>16</w:t>
            </w:r>
            <w:r>
              <w:t xml:space="preserve"> Directiva (UE) 2019/879 a Parlamentului European și a Consiliului din 20 mai 2019 de modificare a Directivei 2014/59/UE în ceea ce privește capacitatea de absorbție a pierderilor și de recapitalizare</w:t>
            </w:r>
            <w:r>
              <w:t xml:space="preserve"> a instituțiilor de credit și a firmelor de investiții și a Directivei 98/26/CE (JO L 150, 7.6.2019, p. 296).</w:t>
            </w:r>
          </w:p>
        </w:tc>
      </w:tr>
      <w:tr w:rsidR="00E77B41" w:rsidTr="00932D06">
        <w:trPr>
          <w:jc w:val="center"/>
        </w:trPr>
        <w:tc>
          <w:tcPr>
            <w:tcW w:w="4876" w:type="dxa"/>
            <w:hideMark/>
          </w:tcPr>
          <w:p w:rsidR="00932D06" w:rsidRPr="00D57E36" w:rsidRDefault="00F25F2E">
            <w:pPr>
              <w:pStyle w:val="Normal6"/>
            </w:pPr>
            <w:r>
              <w:rPr>
                <w:vertAlign w:val="superscript"/>
              </w:rPr>
              <w:t>17</w:t>
            </w:r>
            <w:r>
              <w:t xml:space="preserve"> Regulamentul (UE) 2019/877 al Parlamentului European și al Consiliului din 20 mai 2019 de modificare a Regulamentului (UE) nr. 806/2014 în cee</w:t>
            </w:r>
            <w:r>
              <w:t xml:space="preserve">a ce privește capacitatea de absorbție a </w:t>
            </w:r>
            <w:r>
              <w:lastRenderedPageBreak/>
              <w:t>pierderilor și de recapitalizare a instituțiilor de credit și a firmelor de investiții (JO L 150, 7.6.2019, p. 226).</w:t>
            </w:r>
          </w:p>
        </w:tc>
        <w:tc>
          <w:tcPr>
            <w:tcW w:w="4876" w:type="dxa"/>
            <w:hideMark/>
          </w:tcPr>
          <w:p w:rsidR="00932D06" w:rsidRPr="00D57E36" w:rsidRDefault="00F25F2E">
            <w:pPr>
              <w:pStyle w:val="Normal6"/>
              <w:rPr>
                <w:szCs w:val="24"/>
              </w:rPr>
            </w:pPr>
            <w:r>
              <w:rPr>
                <w:vertAlign w:val="superscript"/>
              </w:rPr>
              <w:lastRenderedPageBreak/>
              <w:t>17</w:t>
            </w:r>
            <w:r>
              <w:t xml:space="preserve"> Regulamentul (UE) 2019/877 al Parlamentului European și al Consiliului din 20 mai 2019 de modif</w:t>
            </w:r>
            <w:r>
              <w:t xml:space="preserve">icare a Regulamentului (UE) nr. 806/2014 în ceea ce privește capacitatea de absorbție a </w:t>
            </w:r>
            <w:r>
              <w:lastRenderedPageBreak/>
              <w:t>pierderilor și de recapitalizare a instituțiilor de credit și a firmelor de investiții (JO L 150, 7.6.2019, p. 226).</w:t>
            </w:r>
          </w:p>
        </w:tc>
      </w:tr>
      <w:tr w:rsidR="00E77B41" w:rsidTr="00932D06">
        <w:trPr>
          <w:jc w:val="center"/>
        </w:trPr>
        <w:tc>
          <w:tcPr>
            <w:tcW w:w="4876" w:type="dxa"/>
            <w:hideMark/>
          </w:tcPr>
          <w:p w:rsidR="00932D06" w:rsidRPr="00D57E36" w:rsidRDefault="00F25F2E">
            <w:pPr>
              <w:pStyle w:val="Normal6"/>
            </w:pPr>
            <w:r>
              <w:rPr>
                <w:vertAlign w:val="superscript"/>
              </w:rPr>
              <w:lastRenderedPageBreak/>
              <w:t>18</w:t>
            </w:r>
            <w:r>
              <w:t xml:space="preserve"> Directiva 2014/59/UE a Parlamentului European ș</w:t>
            </w:r>
            <w:r>
              <w:t>i a Consiliului din 15 mai 2014 de instituire a unui cadru pentru redresarea și rezoluția instituțiilor de credit și a firmelor de investiții și de modificare a Directivei 82/891/CEE a Consiliului și a Directivelor 2001/24/CE, 2002/47/CE, 2004/25/CE, 2005/</w:t>
            </w:r>
            <w:r>
              <w:t>56/CE, 2007/36/CE, 2011/35/UE, 2012/30/UE și 2013/36/UE ale Parlamentului European și ale Consiliului, precum și a Regulamentelor (UE) nr. 1093/2010 și (UE) nr. 648/2012 ale Parlamentului European și ale Consiliului (JO L 173, 12.6.2014, p. 190).</w:t>
            </w:r>
          </w:p>
        </w:tc>
        <w:tc>
          <w:tcPr>
            <w:tcW w:w="4876" w:type="dxa"/>
            <w:hideMark/>
          </w:tcPr>
          <w:p w:rsidR="00932D06" w:rsidRPr="00D57E36" w:rsidRDefault="00F25F2E">
            <w:pPr>
              <w:pStyle w:val="Normal6"/>
              <w:rPr>
                <w:szCs w:val="24"/>
              </w:rPr>
            </w:pPr>
            <w:r>
              <w:rPr>
                <w:vertAlign w:val="superscript"/>
              </w:rPr>
              <w:t>18</w:t>
            </w:r>
            <w:r>
              <w:t xml:space="preserve"> Direct</w:t>
            </w:r>
            <w:r>
              <w:t xml:space="preserve">iva 2014/59/UE a Parlamentului European și a Consiliului din 15 mai 2014 de instituire a unui cadru pentru redresarea și rezoluția instituțiilor de credit și a firmelor de investiții și de modificare a Directivei 82/891/CEE a Consiliului și a Directivelor </w:t>
            </w:r>
            <w:r>
              <w:t>2001/24/CE, 2002/47/CE, 2004/25/CE, 2005/56/CE, 2007/36/CE, 2011/35/UE, 2012/30/UE și 2013/36/UE ale Parlamentului European și ale Consiliului, precum și a Regulamentelor (UE) nr. 1093/2010 și (UE) nr. 648/2012 ale Parlamentului European și ale Consiliului</w:t>
            </w:r>
            <w:r>
              <w:t xml:space="preserve"> (JO L 173, 12.6.2014, p. 190).</w:t>
            </w:r>
          </w:p>
        </w:tc>
      </w:tr>
      <w:tr w:rsidR="00E77B41" w:rsidTr="00932D06">
        <w:trPr>
          <w:jc w:val="center"/>
        </w:trPr>
        <w:tc>
          <w:tcPr>
            <w:tcW w:w="4876" w:type="dxa"/>
            <w:hideMark/>
          </w:tcPr>
          <w:p w:rsidR="00932D06" w:rsidRPr="00D57E36" w:rsidRDefault="00F25F2E">
            <w:pPr>
              <w:pStyle w:val="Normal6"/>
            </w:pPr>
            <w:r>
              <w:rPr>
                <w:vertAlign w:val="superscript"/>
              </w:rPr>
              <w:t>19</w:t>
            </w:r>
            <w:r>
              <w:t xml:space="preserve"> Regulamentul (UE) nr. 806/2014 al Parlamentului European și al Consiliului din 15 iulie 2014 de stabilire a unor norme uniforme și a unei proceduri uniforme de rezoluție a instituțiilor de credit și a anumitor firme de i</w:t>
            </w:r>
            <w:r>
              <w:t>nvestiții în cadrul unui mecanism unic de rezoluție și al unui fond unic de rezoluție și de modificare a Regulamentului (UE) nr. 1093/2010 (JO L 225, 30.7.2014, p. 1).</w:t>
            </w:r>
          </w:p>
        </w:tc>
        <w:tc>
          <w:tcPr>
            <w:tcW w:w="4876" w:type="dxa"/>
            <w:hideMark/>
          </w:tcPr>
          <w:p w:rsidR="00932D06" w:rsidRPr="00D57E36" w:rsidRDefault="00F25F2E">
            <w:pPr>
              <w:pStyle w:val="Normal6"/>
              <w:rPr>
                <w:szCs w:val="24"/>
              </w:rPr>
            </w:pPr>
            <w:r>
              <w:rPr>
                <w:vertAlign w:val="superscript"/>
              </w:rPr>
              <w:t>19</w:t>
            </w:r>
            <w:r>
              <w:t xml:space="preserve"> Regulamentul (UE) nr. 806/2014 al Parlamentului European și al Consiliului din 15 iul</w:t>
            </w:r>
            <w:r>
              <w:t>ie 2014 de stabilire a unor norme uniforme și a unei proceduri uniforme de rezoluție a instituțiilor de credit și a anumitor firme de investiții în cadrul unui mecanism unic de rezoluție și al unui fond unic de rezoluție și de modificare a Regulamentului (</w:t>
            </w:r>
            <w:r>
              <w:t>UE) nr. 1093/2010 (JO L 225, 30.7.2014, p. 1).</w:t>
            </w:r>
          </w:p>
        </w:tc>
      </w:tr>
    </w:tbl>
    <w:p w:rsidR="00932D06" w:rsidRPr="00D57E36" w:rsidRDefault="00F25F2E" w:rsidP="00932D06">
      <w:pPr>
        <w:pStyle w:val="Olang"/>
        <w:rPr>
          <w:sz w:val="24"/>
          <w:szCs w:val="24"/>
        </w:rPr>
      </w:pPr>
      <w:r w:rsidRPr="00D57E36">
        <w:rPr>
          <w:sz w:val="24"/>
          <w:szCs w:val="24"/>
        </w:rPr>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2</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Considerentul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(3)</w:t>
            </w:r>
            <w:r>
              <w:tab/>
            </w:r>
            <w:r>
              <w:t>În urma revizuirii efectuate de Comisie, s-a constatat că ar fi oportun și proporțional cu obiectivele urmărite de normele privind MREL internă să li se permită autorităților de rezoluție să stabilească MREL internă pe bază consolidată pentru o gamă de ent</w:t>
            </w:r>
            <w:r>
              <w:t xml:space="preserve">ități care este mai largă decât cea care rezultă din aplicarea Directivei 2014/59/UE și a Regulamentului (UE) nr. 806/2014, în cazul în care o astfel de gamă mai largă </w:t>
            </w:r>
            <w:r>
              <w:lastRenderedPageBreak/>
              <w:t>acoperă instituțiile și entitățile care nu sunt ele însele entități de rezoluție, dar ca</w:t>
            </w:r>
            <w:r>
              <w:t xml:space="preserve">re sunt filiale ale entităților de rezoluție și care controlează ele însele </w:t>
            </w:r>
            <w:r>
              <w:rPr>
                <w:b/>
                <w:i/>
              </w:rPr>
              <w:t>filiale care fac obiectul MREL</w:t>
            </w:r>
            <w:r>
              <w:t xml:space="preserve"> („entități intermediare”). Aceasta ar fi situația în special în cazul grupurilor bancare conduse de o societate holding. În astfel de cazuri, entităț</w:t>
            </w:r>
            <w:r>
              <w:t>ile intermediare centralizează în mod firesc expunerile intragrup și canalizează resursele eligibile pentru MREL internă prepoziționate de entitatea de rezoluție. Din cauza acestei structuri, entitățile intermediare ar fi afectate în mod disproporționat de</w:t>
            </w:r>
            <w:r>
              <w:t xml:space="preserve"> normele privind deducerile. De asemenea, potrivit concluziei Comisiei, cadrul privind MREL ar fi mai proporțional dacă s-ar </w:t>
            </w:r>
            <w:r>
              <w:rPr>
                <w:b/>
                <w:i/>
              </w:rPr>
              <w:t>elimina emisiunile entităților destinate lichidării din</w:t>
            </w:r>
            <w:r>
              <w:t xml:space="preserve"> sfera expunerilor pe care o entitate intermediară trebuie să le deducă în </w:t>
            </w:r>
            <w:r>
              <w:rPr>
                <w:b/>
                <w:i/>
              </w:rPr>
              <w:t>t</w:t>
            </w:r>
            <w:r>
              <w:rPr>
                <w:b/>
                <w:i/>
              </w:rPr>
              <w:t>emeiul mecanismului de deducere pentru subscrierea indirectă de resurse eligibile pentru MREL internă</w:t>
            </w:r>
            <w:r>
              <w:t xml:space="preserve">. </w:t>
            </w:r>
            <w:r>
              <w:rPr>
                <w:b/>
                <w:i/>
              </w:rPr>
              <w:t>O entitate destinată lichidării</w:t>
            </w:r>
            <w:r>
              <w:t xml:space="preserve"> nu </w:t>
            </w:r>
            <w:r>
              <w:rPr>
                <w:b/>
                <w:i/>
              </w:rPr>
              <w:t>va trebui să fie sprijinită</w:t>
            </w:r>
            <w:r>
              <w:t xml:space="preserve"> de </w:t>
            </w:r>
            <w:r>
              <w:rPr>
                <w:b/>
                <w:i/>
              </w:rPr>
              <w:t>entitatea</w:t>
            </w:r>
            <w:r>
              <w:t xml:space="preserve"> de </w:t>
            </w:r>
            <w:r>
              <w:rPr>
                <w:b/>
                <w:i/>
              </w:rPr>
              <w:t>rezoluție</w:t>
            </w:r>
            <w:r>
              <w:t xml:space="preserve"> în </w:t>
            </w:r>
            <w:r>
              <w:rPr>
                <w:b/>
                <w:i/>
              </w:rPr>
              <w:t>caz de intrare</w:t>
            </w:r>
            <w:r>
              <w:t xml:space="preserve"> în </w:t>
            </w:r>
            <w:r>
              <w:rPr>
                <w:b/>
                <w:i/>
              </w:rPr>
              <w:t>dificultate</w:t>
            </w:r>
            <w:r>
              <w:t xml:space="preserve">, </w:t>
            </w:r>
            <w:r>
              <w:rPr>
                <w:b/>
                <w:i/>
              </w:rPr>
              <w:t>eliminând</w:t>
            </w:r>
            <w:r>
              <w:t xml:space="preserve"> astfel necesitatea d</w:t>
            </w:r>
            <w:r>
              <w:t xml:space="preserve">e a proteja </w:t>
            </w:r>
            <w:r>
              <w:rPr>
                <w:b/>
                <w:i/>
              </w:rPr>
              <w:t>orice mecanism</w:t>
            </w:r>
            <w:r>
              <w:t xml:space="preserve"> de transfer al pierderilor și al capitalului în cadrul grupurilor de rezoluție, care a fost scopul normelor privind deducerile introduse prin Regulamentul (UE) 2022/2036. În schimb, celelalte entități ale grupului de rezoluție vo</w:t>
            </w:r>
            <w:r>
              <w:t>r trebui să fie sprijinite de entitatea de rezoluție în caz de dificultăți sau de intrare în dificultate. Resursele MREL necesare ar trebui, prin urmare, să fie prezente la toate nivelurile grupului de rezoluție, iar disponibilitatea acestora pentru absorb</w:t>
            </w:r>
            <w:r>
              <w:t>ția pierderilor și recapitalizare ar trebui să fie asigurată prin intermediul mecanismului de deducere. Concluzia revizuirii efectuate de Comisie a fost, așadar, că entitățile intermediare ar trebui să deducă în continuare cuantumul integral al deținerilor</w:t>
            </w:r>
            <w:r>
              <w:t xml:space="preserve"> lor de resurse eligibile pentru MREL internă emise de alte entități care nu sunt entități destinate lichidării din cadrul aceluiași grup de </w:t>
            </w:r>
            <w:r>
              <w:lastRenderedPageBreak/>
              <w:t>rezoluție.</w:t>
            </w:r>
          </w:p>
        </w:tc>
        <w:tc>
          <w:tcPr>
            <w:tcW w:w="4876" w:type="dxa"/>
            <w:hideMark/>
          </w:tcPr>
          <w:p w:rsidR="00932D06" w:rsidRPr="00D57E36" w:rsidRDefault="00F25F2E" w:rsidP="006A17A3">
            <w:pPr>
              <w:pStyle w:val="Normal6"/>
              <w:rPr>
                <w:szCs w:val="24"/>
              </w:rPr>
            </w:pPr>
            <w:r>
              <w:lastRenderedPageBreak/>
              <w:t>(3)</w:t>
            </w:r>
            <w:r>
              <w:tab/>
              <w:t>În urma revizuirii efectuate de Comisie, s-a constatat că ar fi oportun și proporțional cu obiective</w:t>
            </w:r>
            <w:r>
              <w:t>le urmărite de normele privind MREL internă să li se permită autorităților de rezoluție să stabilească MREL internă pe bază consolidată pentru o gamă de entități care este mai largă decât cea care rezultă din aplicarea Directivei 2014/59/UE și a Regulament</w:t>
            </w:r>
            <w:r>
              <w:t xml:space="preserve">ului (UE) nr. 806/2014, în cazul în care o astfel de gamă mai largă </w:t>
            </w:r>
            <w:r>
              <w:lastRenderedPageBreak/>
              <w:t xml:space="preserve">acoperă instituțiile și entitățile care nu sunt ele însele entități de rezoluție, dar care sunt filiale ale entităților de rezoluție și care controlează ele însele </w:t>
            </w:r>
            <w:r>
              <w:rPr>
                <w:b/>
                <w:i/>
              </w:rPr>
              <w:t>alte filiale</w:t>
            </w:r>
            <w:r>
              <w:t xml:space="preserve"> („entități </w:t>
            </w:r>
            <w:r>
              <w:t>intermediare”)</w:t>
            </w:r>
            <w:r>
              <w:rPr>
                <w:b/>
                <w:i/>
              </w:rPr>
              <w:t xml:space="preserve"> din același grup de rezoluție</w:t>
            </w:r>
            <w:r>
              <w:t>. Aceasta ar fi situația în special în cazul grupurilor bancare conduse de o societate holding. În astfel de cazuri, entitățile intermediare centralizează în mod firesc expunerile intragrup și canalizează resurse</w:t>
            </w:r>
            <w:r>
              <w:t xml:space="preserve">le eligibile pentru MREL internă prepoziționate de entitatea de rezoluție. Din cauza acestei structuri, entitățile intermediare ar </w:t>
            </w:r>
            <w:r>
              <w:rPr>
                <w:b/>
                <w:i/>
              </w:rPr>
              <w:t xml:space="preserve">putea </w:t>
            </w:r>
            <w:r>
              <w:t>fi afectate în mod disproporționat de normele privind deducerile. De asemenea, potrivit concluziei Comisiei, cadrul pri</w:t>
            </w:r>
            <w:r>
              <w:t xml:space="preserve">vind MREL ar fi mai proporțional dacă s-ar </w:t>
            </w:r>
            <w:r>
              <w:rPr>
                <w:b/>
                <w:i/>
              </w:rPr>
              <w:t>ajusta normele privind</w:t>
            </w:r>
            <w:r>
              <w:t xml:space="preserve"> sfera expunerilor pe care o entitate intermediară trebuie să le deducă</w:t>
            </w:r>
            <w:r>
              <w:rPr>
                <w:b/>
                <w:i/>
              </w:rPr>
              <w:t>,</w:t>
            </w:r>
            <w:r>
              <w:t xml:space="preserve"> în </w:t>
            </w:r>
            <w:r>
              <w:rPr>
                <w:b/>
                <w:i/>
              </w:rPr>
              <w:t>cazul în care entitatea emitentă este o entitate destinată lichidării care nu face obiectul unei decizii privind MR</w:t>
            </w:r>
            <w:r>
              <w:rPr>
                <w:b/>
                <w:i/>
              </w:rPr>
              <w:t>EL</w:t>
            </w:r>
            <w:r>
              <w:t>.</w:t>
            </w:r>
            <w:r>
              <w:rPr>
                <w:b/>
                <w:i/>
              </w:rPr>
              <w:t xml:space="preserve"> În astfel de cazuri,</w:t>
            </w:r>
            <w:r>
              <w:t xml:space="preserve"> nu </w:t>
            </w:r>
            <w:r>
              <w:rPr>
                <w:b/>
                <w:i/>
              </w:rPr>
              <w:t>se preconizează exercitarea competențelor</w:t>
            </w:r>
            <w:r>
              <w:t xml:space="preserve"> de </w:t>
            </w:r>
            <w:r>
              <w:rPr>
                <w:b/>
                <w:i/>
              </w:rPr>
              <w:t>reducere a valorii contabile și</w:t>
            </w:r>
            <w:r>
              <w:t xml:space="preserve"> de </w:t>
            </w:r>
            <w:r>
              <w:rPr>
                <w:b/>
                <w:i/>
              </w:rPr>
              <w:t>conversie</w:t>
            </w:r>
            <w:r>
              <w:t xml:space="preserve"> în </w:t>
            </w:r>
            <w:r>
              <w:rPr>
                <w:b/>
                <w:i/>
              </w:rPr>
              <w:t>raport cu entitățile</w:t>
            </w:r>
            <w:r>
              <w:t xml:space="preserve"> în </w:t>
            </w:r>
            <w:r>
              <w:rPr>
                <w:b/>
                <w:i/>
              </w:rPr>
              <w:t>cauză destinate lichidării</w:t>
            </w:r>
            <w:r>
              <w:t xml:space="preserve">, </w:t>
            </w:r>
            <w:r>
              <w:rPr>
                <w:b/>
                <w:i/>
              </w:rPr>
              <w:t>eliminându-se</w:t>
            </w:r>
            <w:r>
              <w:t xml:space="preserve"> astfel necesitatea de a proteja </w:t>
            </w:r>
            <w:r>
              <w:rPr>
                <w:b/>
                <w:i/>
              </w:rPr>
              <w:t>mecanismele</w:t>
            </w:r>
            <w:r>
              <w:t xml:space="preserve"> de transfer al pierderilo</w:t>
            </w:r>
            <w:r>
              <w:t>r și al capitalului în cadrul grupurilor de rezoluție, care a fost scopul normelor privind deducerile introduse prin Regulamentul (UE) 2022/2036. În schimb, celelalte entități ale grupului de rezoluție vor trebui să fie sprijinite de entitatea de rezoluție</w:t>
            </w:r>
            <w:r>
              <w:t xml:space="preserve"> în caz de dificultăți sau de intrare în dificultate. Resursele MREL necesare ar trebui, prin urmare, să fie prezente la toate nivelurile grupului de rezoluție, iar disponibilitatea acestora pentru absorbția pierderilor și recapitalizare ar trebui să fie a</w:t>
            </w:r>
            <w:r>
              <w:t xml:space="preserve">sigurată prin intermediul mecanismului de deducere. Concluzia revizuirii efectuate de Comisie a fost, așadar, că entitățile intermediare ar trebui să deducă în continuare cuantumul integral al deținerilor lor de resurse eligibile pentru MREL internă emise </w:t>
            </w:r>
            <w:r>
              <w:t xml:space="preserve">de alte entități care nu sunt entități destinate lichidării din cadrul </w:t>
            </w:r>
            <w:r>
              <w:lastRenderedPageBreak/>
              <w:t>aceluiași grup de rezoluție.</w:t>
            </w:r>
          </w:p>
        </w:tc>
      </w:tr>
    </w:tbl>
    <w:p w:rsidR="00932D06" w:rsidRPr="00D57E36" w:rsidRDefault="00F25F2E" w:rsidP="00932D06">
      <w:pPr>
        <w:pStyle w:val="Olang"/>
        <w:rPr>
          <w:sz w:val="24"/>
          <w:szCs w:val="24"/>
        </w:rPr>
      </w:pPr>
      <w:r w:rsidRPr="00D57E36">
        <w:rPr>
          <w:sz w:val="24"/>
          <w:szCs w:val="24"/>
        </w:rPr>
        <w:lastRenderedPageBreak/>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3</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Considerentul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(5)</w:t>
            </w:r>
            <w:r>
              <w:tab/>
              <w:t xml:space="preserve">Pentru a se asigura că posibilitatea de a respecta MREL pe bază consolidată este disponibilă numai în cazurile relevante identificate în revizuirea efectuată de Comisie și nu conduce la un deficit de </w:t>
            </w:r>
            <w:r>
              <w:t>resurse eligibile pentru MREL internă în cadrul grupului de rezoluție, competența de a stabili MREL internă pe bază consolidată pentru entitățile intermediare ar trebui să fie o competență discreționară a autorității de rezoluție și ar trebui să facă obiec</w:t>
            </w:r>
            <w:r>
              <w:t>tul anumitor condiții. Entitatea intermediară ar trebui să fie singura filială directă, și anume o instituție sau o entitate, a unei entități de rezoluție care este o societate financiară holding-mamă din Uniune sau o societate financiară holding mixtă-mam</w:t>
            </w:r>
            <w:r>
              <w:t>ă din Uniune, este stabilită în același stat membru și face parte din același grup de rezoluție. În schimb, entitatea intermediară în cauză ar trebui să respecte cerința de fonduri proprii suplimentare sau cerința amortizorului combinat pe baza situației s</w:t>
            </w:r>
            <w:r>
              <w:t xml:space="preserve">ale consolidate. Cu toate acestea, în ambele cazuri, respectarea MREL interne pe bază consolidată nu ar trebui, în evaluarea autorității de rezoluție, să afecteze în mod negativ </w:t>
            </w:r>
            <w:r>
              <w:rPr>
                <w:b/>
                <w:i/>
              </w:rPr>
              <w:t xml:space="preserve">și semnificativ </w:t>
            </w:r>
            <w:r>
              <w:t xml:space="preserve">posibilitatea de soluționare a grupului de rezoluție în cauză </w:t>
            </w:r>
            <w:r>
              <w:t xml:space="preserve">și nici aplicarea de către autoritatea de rezoluție a competenței de reducere a valorii contabile sau de conversie a instrumentelor de capital și a datoriilor eligibile relevante ale entității intermediare în cauză sau ale altor entități din grupul său de </w:t>
            </w:r>
            <w:r>
              <w:t>rezoluție.</w:t>
            </w:r>
          </w:p>
        </w:tc>
        <w:tc>
          <w:tcPr>
            <w:tcW w:w="4876" w:type="dxa"/>
            <w:hideMark/>
          </w:tcPr>
          <w:p w:rsidR="00932D06" w:rsidRPr="00D57E36" w:rsidRDefault="00F25F2E" w:rsidP="001C63AC">
            <w:pPr>
              <w:pStyle w:val="Normal6"/>
              <w:rPr>
                <w:szCs w:val="24"/>
              </w:rPr>
            </w:pPr>
            <w:r>
              <w:t>(5)</w:t>
            </w:r>
            <w:r>
              <w:tab/>
              <w:t xml:space="preserve">Pentru a se asigura că posibilitatea de a respecta MREL pe bază consolidată este disponibilă numai în cazurile relevante identificate în revizuirea efectuată de Comisie și nu conduce la un deficit de resurse eligibile pentru MREL internă în </w:t>
            </w:r>
            <w:r>
              <w:t>cadrul grupului de rezoluție, competența de a stabili MREL internă pe bază consolidată pentru entitățile intermediare ar trebui să fie o competență discreționară a autorității de rezoluție și ar trebui să facă obiectul anumitor condiții. Entitatea intermed</w:t>
            </w:r>
            <w:r>
              <w:t>iară ar trebui să fie singura filială directă, și anume o instituție sau o entitate, a unei entități de rezoluție care este o societate financiară holding-mamă din Uniune sau o societate financiară holding mixtă-mamă din Uniune, este stabilită în același s</w:t>
            </w:r>
            <w:r>
              <w:t>tat membru și face parte din același grup de rezoluție. În schimb, entitatea intermediară în cauză ar trebui să respecte cerința de fonduri proprii suplimentare sau cerința amortizorului combinat pe baza situației sale consolidate. Cu toate acestea, în amb</w:t>
            </w:r>
            <w:r>
              <w:t>ele cazuri, respectarea MREL interne pe bază consolidată nu ar trebui, în evaluarea autorității de rezoluție, să afecteze în mod negativ posibilitatea de soluționare a grupului de rezoluție în cauză și nici aplicarea de către autoritatea de rezoluție a com</w:t>
            </w:r>
            <w:r>
              <w:t xml:space="preserve">petenței de reducere a valorii contabile sau de conversie a instrumentelor de capital și a datoriilor eligibile relevante ale entității intermediare în cauză sau ale altor entități din grupul său de rezoluție. </w:t>
            </w:r>
            <w:r>
              <w:rPr>
                <w:b/>
                <w:i/>
              </w:rPr>
              <w:t xml:space="preserve">O situație în care stabilirea MREL internă pe </w:t>
            </w:r>
            <w:r>
              <w:rPr>
                <w:b/>
                <w:i/>
              </w:rPr>
              <w:t xml:space="preserve">bază consolidată ar fi în detrimentul posibilității de soluționare a </w:t>
            </w:r>
            <w:r>
              <w:rPr>
                <w:b/>
                <w:i/>
              </w:rPr>
              <w:lastRenderedPageBreak/>
              <w:t>grupului de rezoluție este cea în care cuantumul MREL respective nu asigură respectarea cerințelor individuale de fonduri proprii aplicabile după exercitarea competențelor de reducere a v</w:t>
            </w:r>
            <w:r>
              <w:rPr>
                <w:b/>
                <w:i/>
              </w:rPr>
              <w:t>alorii contabile și de conversie.</w:t>
            </w:r>
          </w:p>
        </w:tc>
      </w:tr>
    </w:tbl>
    <w:p w:rsidR="00932D06" w:rsidRPr="00D57E36" w:rsidRDefault="00F25F2E" w:rsidP="00932D06">
      <w:pPr>
        <w:pStyle w:val="Olang"/>
        <w:rPr>
          <w:sz w:val="24"/>
          <w:szCs w:val="24"/>
        </w:rPr>
      </w:pPr>
      <w:r w:rsidRPr="00D57E36">
        <w:rPr>
          <w:sz w:val="24"/>
          <w:szCs w:val="24"/>
        </w:rPr>
        <w:lastRenderedPageBreak/>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4</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Considerentul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(6)</w:t>
            </w:r>
            <w:r>
              <w:tab/>
              <w:t xml:space="preserve">În temeiul </w:t>
            </w:r>
            <w:r>
              <w:t>articolului 45f alineatul (2) din Directiva 2014/59/UE și al articolului 12g alineatul (2) din Regulamentul (UE) nr. 806/2014, entitățile intermediare pot respecta MREL internă pe bază consolidată utilizând fonduri proprii și datorii eligibile. Pentru a re</w:t>
            </w:r>
            <w:r>
              <w:t>aliza pe deplin posibilitatea de a respecta MREL pe bază consolidată, este necesar să se asigure faptul că datoriile eligibile ale entităților intermediare sunt calculate într-un mod similar cu calculul fondurilor proprii. Prin urmare, criteriile de eligib</w:t>
            </w:r>
            <w:r>
              <w:t>ilitate pentru datoriile eligibile care pot fi utilizate pentru a respecta MREL internă pe bază consolidată ar trebui să fie aliniate la normele privind calcularea fondurilor proprii consolidate prevăzute în Regulamentul (UE) nr. 575/2013. Pentru a asigura</w:t>
            </w:r>
            <w:r>
              <w:t xml:space="preserve"> coerența cu normele existente privind MREL externă, această aliniere ar trebui să reflecte, de asemenea, normele existente prevăzute la articolul 45b alineatul (3) din Directiva 2014/59/UE și la articolul 12d alineatul (3) din Regulamentul (UE) nr. 806/20</w:t>
            </w:r>
            <w:r>
              <w:t>14 pentru calcularea datoriilor eligibile pe care entitățile de rezoluție le pot utiliza pentru a respecta MREL consolidată. În special, este necesar să se asigure faptul că datoriile eligibile emise de filialele entității care face obiectul MREL interne c</w:t>
            </w:r>
            <w:r>
              <w:t xml:space="preserve">onsolidate și deținute de alte entități din același grup de </w:t>
            </w:r>
            <w:r>
              <w:lastRenderedPageBreak/>
              <w:t>rezoluție, dar în afara sferei consolidării</w:t>
            </w:r>
            <w:r>
              <w:rPr>
                <w:b/>
                <w:i/>
              </w:rPr>
              <w:t>, inclusiv entitatea de rezoluție</w:t>
            </w:r>
            <w:r>
              <w:t xml:space="preserve">, sau de acționarii existenți care nu aparțin aceluiași grup de rezoluție, sunt contabilizate ca fonduri proprii și </w:t>
            </w:r>
            <w:r>
              <w:t>datorii eligibile ale entității care face obiectul MREL interne pe bază consolidată.</w:t>
            </w:r>
          </w:p>
        </w:tc>
        <w:tc>
          <w:tcPr>
            <w:tcW w:w="4876" w:type="dxa"/>
            <w:hideMark/>
          </w:tcPr>
          <w:p w:rsidR="00932D06" w:rsidRPr="00D57E36" w:rsidRDefault="00F25F2E">
            <w:pPr>
              <w:pStyle w:val="Normal6"/>
              <w:rPr>
                <w:szCs w:val="24"/>
              </w:rPr>
            </w:pPr>
            <w:r>
              <w:lastRenderedPageBreak/>
              <w:t>(6)</w:t>
            </w:r>
            <w:r>
              <w:tab/>
              <w:t>În temeiul articolului 45f alineatul (2) din Directiva 2014/59/UE și al articolului 12g alineatul (2) din Regulamentul (UE) nr. 806/2014, entitățile intermediare pot r</w:t>
            </w:r>
            <w:r>
              <w:t xml:space="preserve">especta MREL internă pe bază consolidată utilizând fonduri proprii și datorii eligibile. Pentru a realiza pe deplin posibilitatea de a respecta MREL pe bază consolidată, este necesar să se asigure faptul că datoriile eligibile ale entităților intermediare </w:t>
            </w:r>
            <w:r>
              <w:t>sunt calculate într-un mod similar cu calculul fondurilor proprii. Prin urmare, criteriile de eligibilitate pentru datoriile eligibile care pot fi utilizate pentru a respecta MREL internă pe bază consolidată ar trebui să fie aliniate la normele privind cal</w:t>
            </w:r>
            <w:r>
              <w:t>cularea fondurilor proprii consolidate prevăzute în Regulamentul (UE) nr. 575/2013. Pentru a asigura coerența cu normele existente privind MREL externă, această aliniere ar trebui să reflecte, de asemenea, normele existente prevăzute la articolul 45b aline</w:t>
            </w:r>
            <w:r>
              <w:t xml:space="preserve">atul (3) din Directiva 2014/59/UE și la articolul 12d alineatul (3) din Regulamentul (UE) nr. 806/2014 pentru calcularea datoriilor eligibile pe care entitățile de rezoluție le pot utiliza pentru a respecta MREL consolidată. În special, este necesar să se </w:t>
            </w:r>
            <w:r>
              <w:t xml:space="preserve">asigure faptul că datoriile eligibile emise de filialele entității care face obiectul MREL interne consolidate și deținute de </w:t>
            </w:r>
            <w:r>
              <w:rPr>
                <w:b/>
                <w:i/>
              </w:rPr>
              <w:t xml:space="preserve">entitatea de rezoluție, fie </w:t>
            </w:r>
            <w:r>
              <w:rPr>
                <w:b/>
                <w:i/>
              </w:rPr>
              <w:lastRenderedPageBreak/>
              <w:t xml:space="preserve">direct, fie indirect, prin intermediul unor </w:t>
            </w:r>
            <w:r>
              <w:t xml:space="preserve">alte entități din același grup de rezoluție, dar în afara </w:t>
            </w:r>
            <w:r>
              <w:t>sferei consolidării, sau de acționarii existenți care nu aparțin aceluiași grup de rezoluție, sunt contabilizate ca fonduri proprii și datorii eligibile ale entității care face obiectul MREL interne pe bază consolidată.</w:t>
            </w:r>
          </w:p>
        </w:tc>
      </w:tr>
    </w:tbl>
    <w:p w:rsidR="00932D06" w:rsidRPr="00D57E36" w:rsidRDefault="00F25F2E" w:rsidP="00932D06">
      <w:pPr>
        <w:pStyle w:val="Olang"/>
        <w:rPr>
          <w:sz w:val="24"/>
          <w:szCs w:val="24"/>
        </w:rPr>
      </w:pPr>
      <w:r w:rsidRPr="00D57E36">
        <w:rPr>
          <w:sz w:val="24"/>
          <w:szCs w:val="24"/>
        </w:rPr>
        <w:lastRenderedPageBreak/>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5</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Considerentul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(7)</w:t>
            </w:r>
            <w:r>
              <w:tab/>
            </w:r>
            <w:r>
              <w:rPr>
                <w:b/>
                <w:i/>
              </w:rPr>
              <w:t>Pentru entitățile destinate lichidării</w:t>
            </w:r>
            <w:r>
              <w:t xml:space="preserve">, MREL </w:t>
            </w:r>
            <w:r>
              <w:rPr>
                <w:b/>
                <w:i/>
              </w:rPr>
              <w:t>se limitează</w:t>
            </w:r>
            <w:r>
              <w:t xml:space="preserve">, în </w:t>
            </w:r>
            <w:r>
              <w:rPr>
                <w:b/>
                <w:i/>
              </w:rPr>
              <w:t>mod normal</w:t>
            </w:r>
            <w:r>
              <w:t>, la cuantumu</w:t>
            </w:r>
            <w:r>
              <w:t>l necesar pentru absorbția pierderilor, care corespunde cerințelor de fonduri proprii. În astfel de cazuri, MREL nu implică pentru entitatea destinată lichidării nicio cerință suplimentară direct legată de cadrul de rezoluție. Aceasta înseamnă că o entitat</w:t>
            </w:r>
            <w:r>
              <w:t>e destinată lichidării poate respecta pe deplin MREL prin respectarea cerințelor de fonduri proprii și că o decizie specifică a autorității de rezoluție de stabilire a MREL nu contribuie în mod semnificativ la posibilitatea de soluționare a entităților des</w:t>
            </w:r>
            <w:r>
              <w:t>tinate lichidării. O astfel de decizie implică numeroase obligații procedurale pentru autoritățile de rezoluție și pentru entitățile destinate lichidării, fără un beneficiu corespunzător în ceea ce privește îmbunătățirea posibilității de soluționare. Din a</w:t>
            </w:r>
            <w:r>
              <w:t>cest motiv, autoritățile de rezoluție nu ar trebui să stabilească o MREL pentru entitățile destinate lichidării.</w:t>
            </w:r>
          </w:p>
        </w:tc>
        <w:tc>
          <w:tcPr>
            <w:tcW w:w="4876" w:type="dxa"/>
            <w:hideMark/>
          </w:tcPr>
          <w:p w:rsidR="00932D06" w:rsidRPr="00D57E36" w:rsidRDefault="00F25F2E" w:rsidP="006A17A3">
            <w:pPr>
              <w:pStyle w:val="Normal6"/>
              <w:rPr>
                <w:szCs w:val="24"/>
              </w:rPr>
            </w:pPr>
            <w:r>
              <w:t>(7)</w:t>
            </w:r>
            <w:r>
              <w:tab/>
            </w:r>
            <w:r>
              <w:rPr>
                <w:b/>
                <w:i/>
              </w:rPr>
              <w:t>În temeiul actualului cadru MREL</w:t>
            </w:r>
            <w:r>
              <w:t xml:space="preserve">, MREL </w:t>
            </w:r>
            <w:r>
              <w:rPr>
                <w:b/>
                <w:i/>
              </w:rPr>
              <w:t>pentru entitățile desemnate pentru lichidare este stabilită</w:t>
            </w:r>
            <w:r>
              <w:t xml:space="preserve">, în </w:t>
            </w:r>
            <w:r>
              <w:rPr>
                <w:b/>
                <w:i/>
              </w:rPr>
              <w:t>majoritatea cazurilor</w:t>
            </w:r>
            <w:r>
              <w:t xml:space="preserve">, la cuantumul </w:t>
            </w:r>
            <w:r>
              <w:t xml:space="preserve">necesar pentru absorbția pierderilor, care corespunde cerințelor de fonduri proprii. În astfel de cazuri, MREL nu implică pentru entitatea destinată lichidării nicio cerință suplimentară direct legată de cadrul de rezoluție. Aceasta înseamnă că o entitate </w:t>
            </w:r>
            <w:r>
              <w:t>destinată lichidării poate respecta pe deplin MREL prin respectarea cerințelor de fonduri proprii și că o decizie specifică a autorității de rezoluție de stabilire a MREL nu contribuie în mod semnificativ la posibilitatea de soluționare a entităților desti</w:t>
            </w:r>
            <w:r>
              <w:t>nate lichidării. O astfel de decizie implică numeroase obligații procedurale pentru autoritățile de rezoluție și pentru entitățile destinate lichidării, fără un beneficiu corespunzător în ceea ce privește îmbunătățirea posibilității de soluționare. Din ace</w:t>
            </w:r>
            <w:r>
              <w:t>st motiv, autoritățile de rezoluție nu ar trebui să stabilească o MREL pentru entitățile destinate lichidării.</w:t>
            </w:r>
          </w:p>
        </w:tc>
      </w:tr>
    </w:tbl>
    <w:p w:rsidR="00932D06" w:rsidRPr="00D57E36" w:rsidRDefault="00F25F2E" w:rsidP="00932D06">
      <w:pPr>
        <w:pStyle w:val="Olang"/>
        <w:rPr>
          <w:sz w:val="24"/>
          <w:szCs w:val="24"/>
        </w:rPr>
      </w:pPr>
      <w:r w:rsidRPr="00D57E36">
        <w:rPr>
          <w:sz w:val="24"/>
          <w:szCs w:val="24"/>
        </w:rPr>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lastRenderedPageBreak/>
        <w:t>&lt;Amend&gt;</w:t>
      </w:r>
      <w:r>
        <w:t>Amendamentul</w:t>
      </w:r>
      <w:r>
        <w:tab/>
      </w:r>
      <w:r>
        <w:tab/>
      </w:r>
      <w:r>
        <w:rPr>
          <w:rStyle w:val="HideTWBExt"/>
          <w:b w:val="0"/>
        </w:rPr>
        <w:t>&lt;NumAm&gt;</w:t>
      </w:r>
      <w:r>
        <w:t>6</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Considerentul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(8)</w:t>
            </w:r>
            <w:r>
              <w:tab/>
            </w:r>
            <w:r>
              <w:rPr>
                <w:b/>
                <w:i/>
              </w:rPr>
              <w:t>În cazul în care autoritatea</w:t>
            </w:r>
            <w:r>
              <w:t xml:space="preserve"> de rezoluție </w:t>
            </w:r>
            <w:r>
              <w:rPr>
                <w:b/>
                <w:i/>
              </w:rPr>
              <w:t>consideră că o entitate care face parte dintr-un grup</w:t>
            </w:r>
            <w:r>
              <w:t xml:space="preserve"> de rezoluție se califică drept entitate destinată lichidării, </w:t>
            </w:r>
            <w:r>
              <w:rPr>
                <w:b/>
                <w:i/>
              </w:rPr>
              <w:t xml:space="preserve">entitățile intermediare nu </w:t>
            </w:r>
            <w:r>
              <w:rPr>
                <w:b/>
                <w:i/>
              </w:rPr>
              <w:t>ar trebui să aibă obligația</w:t>
            </w:r>
            <w:r>
              <w:t xml:space="preserve"> de </w:t>
            </w:r>
            <w:r>
              <w:rPr>
                <w:b/>
                <w:i/>
              </w:rPr>
              <w:t>a deduce din capacitatea MREL internă deținerile de fonduri proprii sau alte datorii care ar îndeplini condițiile de respectare a MREL interne</w:t>
            </w:r>
            <w:r>
              <w:t xml:space="preserve"> și </w:t>
            </w:r>
            <w:r>
              <w:rPr>
                <w:b/>
                <w:i/>
              </w:rPr>
              <w:t>care sunt emise</w:t>
            </w:r>
            <w:r>
              <w:t xml:space="preserve"> de </w:t>
            </w:r>
            <w:r>
              <w:rPr>
                <w:b/>
                <w:i/>
              </w:rPr>
              <w:t>entitățile destinate lichidării</w:t>
            </w:r>
            <w:r>
              <w:t>.</w:t>
            </w:r>
            <w:r>
              <w:rPr>
                <w:b/>
                <w:i/>
              </w:rPr>
              <w:t xml:space="preserve"> </w:t>
            </w:r>
            <w:r>
              <w:rPr>
                <w:b/>
                <w:bCs/>
                <w:i/>
                <w:iCs/>
              </w:rPr>
              <w:t>Într-un astfel de caz, enti</w:t>
            </w:r>
            <w:r>
              <w:rPr>
                <w:b/>
                <w:bCs/>
                <w:i/>
                <w:iCs/>
              </w:rPr>
              <w:t>tatea destinată lichidării nu mai are obligația de a respecta MREL și, prin urmare, nu există subscrieri indirecte de resurse eligibile pentru MREL internă prin lanțul format de entitatea de rezoluție, entitatea intermediară și entitatea destinată lichidăr</w:t>
            </w:r>
            <w:r>
              <w:rPr>
                <w:b/>
                <w:bCs/>
                <w:i/>
                <w:iCs/>
              </w:rPr>
              <w:t>ii.</w:t>
            </w:r>
            <w:r>
              <w:t xml:space="preserve"> În caz de intrare în dificultate, strategia de rezoluție nu prevede ca entitatea destinată lichidării să fie </w:t>
            </w:r>
            <w:r>
              <w:rPr>
                <w:b/>
                <w:i/>
              </w:rPr>
              <w:t>sprijinită</w:t>
            </w:r>
            <w:r>
              <w:t xml:space="preserve"> de entitatea de rezoluție. Aceasta înseamnă că nu se preconizează transferul în amonte al pierderilor de la entitatea destinată lich</w:t>
            </w:r>
            <w:r>
              <w:t>idării la entitatea de rezoluție, prin intermediul entității intermediare, și nici transferul în aval al capitalului în sens invers. Această ajustare a sferei deținerilor care urmează să fie deduse în contextul subscrierii indirecte de resurse eligibile pe</w:t>
            </w:r>
            <w:r>
              <w:t>ntru MREL internă nu ar afecta, prin urmare, soliditatea prudențială a cadrului.</w:t>
            </w:r>
          </w:p>
        </w:tc>
        <w:tc>
          <w:tcPr>
            <w:tcW w:w="4876" w:type="dxa"/>
            <w:hideMark/>
          </w:tcPr>
          <w:p w:rsidR="00932D06" w:rsidRPr="00D57E36" w:rsidRDefault="00F25F2E">
            <w:pPr>
              <w:pStyle w:val="Normal6"/>
              <w:rPr>
                <w:szCs w:val="24"/>
              </w:rPr>
            </w:pPr>
            <w:r>
              <w:t>(8)</w:t>
            </w:r>
            <w:r>
              <w:tab/>
            </w:r>
            <w:r>
              <w:rPr>
                <w:b/>
                <w:i/>
              </w:rPr>
              <w:t>Atunci când elaborează planuri</w:t>
            </w:r>
            <w:r>
              <w:t xml:space="preserve"> de rezoluție </w:t>
            </w:r>
            <w:r>
              <w:rPr>
                <w:b/>
                <w:i/>
              </w:rPr>
              <w:t>și evaluează posibilitatea de rezoluție a grupurilor de rezoluție, autoritățile</w:t>
            </w:r>
            <w:r>
              <w:t xml:space="preserve"> de rezoluție </w:t>
            </w:r>
            <w:r>
              <w:rPr>
                <w:b/>
                <w:i/>
              </w:rPr>
              <w:t>pot considera că o entitate din gr</w:t>
            </w:r>
            <w:r>
              <w:rPr>
                <w:b/>
                <w:i/>
              </w:rPr>
              <w:t xml:space="preserve">up </w:t>
            </w:r>
            <w:r>
              <w:t xml:space="preserve">se califică drept entitate destinată lichidării, </w:t>
            </w:r>
            <w:r>
              <w:rPr>
                <w:b/>
                <w:i/>
              </w:rPr>
              <w:t>întrucât exercitarea competențelor de reducere a valorii contabile și</w:t>
            </w:r>
            <w:r>
              <w:t xml:space="preserve"> de </w:t>
            </w:r>
            <w:r>
              <w:rPr>
                <w:b/>
                <w:i/>
              </w:rPr>
              <w:t xml:space="preserve">conversie nu este avută în vedere în ceea ce privește entitatea respectivă. În acest caz, este posibil ca entitatea din grup să nu </w:t>
            </w:r>
            <w:r>
              <w:rPr>
                <w:b/>
                <w:i/>
              </w:rPr>
              <w:t>fie nevoită să dețină fonduri proprii și datorii eligibile în plus față de cerințele sale de fonduri proprii. În aceste circumstanțe</w:t>
            </w:r>
            <w:r>
              <w:t xml:space="preserve">, </w:t>
            </w:r>
            <w:r>
              <w:t xml:space="preserve">entitățile intermediare ar trebui să aibă obligația de </w:t>
            </w:r>
            <w:r>
              <w:rPr>
                <w:b/>
                <w:i/>
              </w:rPr>
              <w:t>a-și deduce din capacitatea</w:t>
            </w:r>
            <w:r>
              <w:t xml:space="preserve"> MREL internă deținerile de fonduri prop</w:t>
            </w:r>
            <w:r>
              <w:t>rii</w:t>
            </w:r>
            <w:r>
              <w:rPr>
                <w:b/>
                <w:i/>
              </w:rPr>
              <w:t xml:space="preserve"> care sunt emise</w:t>
            </w:r>
            <w:r>
              <w:t xml:space="preserve"> de </w:t>
            </w:r>
            <w:r>
              <w:rPr>
                <w:b/>
                <w:i/>
              </w:rPr>
              <w:t>entități destinate lichidării care nu fac obiectul unei decizii privind MREL. Cu toate acestea</w:t>
            </w:r>
            <w:r>
              <w:t xml:space="preserve">, </w:t>
            </w:r>
            <w:r>
              <w:rPr>
                <w:b/>
                <w:i/>
              </w:rPr>
              <w:t>nu ar trebui să fie obligate să deducă datoriile care ar îndeplini condițiile pentru respectarea MREL internă</w:t>
            </w:r>
            <w:r>
              <w:t>. În caz de intrare în dific</w:t>
            </w:r>
            <w:r>
              <w:t xml:space="preserve">ultate, strategia de rezoluție nu prevede ca entitatea destinată lichidării să fie </w:t>
            </w:r>
            <w:r>
              <w:rPr>
                <w:b/>
                <w:i/>
              </w:rPr>
              <w:t>recapitalizată</w:t>
            </w:r>
            <w:r>
              <w:t xml:space="preserve"> de entitatea de rezoluție. Aceasta înseamnă că nu se preconizează transferul în amonte al pierderilor</w:t>
            </w:r>
            <w:r>
              <w:rPr>
                <w:b/>
                <w:i/>
              </w:rPr>
              <w:t xml:space="preserve"> ce depășesc cerințele de fonduri proprii aflate în vigoa</w:t>
            </w:r>
            <w:r>
              <w:rPr>
                <w:b/>
                <w:i/>
              </w:rPr>
              <w:t>re</w:t>
            </w:r>
            <w:r>
              <w:t xml:space="preserve"> de la entitatea destinată lichidării la entitatea de rezoluție, prin intermediul entității intermediare, și nici transferul în aval al capitalului în sens invers. Această ajustare a sferei deținerilor care urmează să fie deduse în contextul subscrierii </w:t>
            </w:r>
            <w:r>
              <w:t>indirecte de resurse eligibile pentru MREL internă nu ar afecta, prin urmare, soliditatea prudențială a cadrului.</w:t>
            </w:r>
          </w:p>
        </w:tc>
      </w:tr>
    </w:tbl>
    <w:p w:rsidR="00932D06" w:rsidRPr="00D57E36" w:rsidRDefault="00F25F2E" w:rsidP="00932D06">
      <w:pPr>
        <w:pStyle w:val="Olang"/>
        <w:rPr>
          <w:sz w:val="24"/>
          <w:szCs w:val="24"/>
        </w:rPr>
      </w:pPr>
      <w:r w:rsidRPr="00D57E36">
        <w:rPr>
          <w:sz w:val="24"/>
          <w:szCs w:val="24"/>
        </w:rPr>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lastRenderedPageBreak/>
        <w:t>&lt;Amend&gt;</w:t>
      </w:r>
      <w:r>
        <w:t>Amendamentul</w:t>
      </w:r>
      <w:r>
        <w:tab/>
      </w:r>
      <w:r>
        <w:tab/>
      </w:r>
      <w:r>
        <w:rPr>
          <w:rStyle w:val="HideTWBExt"/>
          <w:b w:val="0"/>
        </w:rPr>
        <w:t>&lt;NumAm&gt;</w:t>
      </w:r>
      <w:r>
        <w:t>7</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Considerentul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(9)</w:t>
            </w:r>
            <w:r>
              <w:tab/>
              <w:t xml:space="preserve">Principalul obiectiv al regimului de aprobare pentru reducerea instrumentelor de datorii eligibile prevăzut la articolul 77 alineatul (2) și la articolul 78a din Regulamentul (UE) </w:t>
            </w:r>
            <w:r>
              <w:t xml:space="preserve">nr. 575/2013, care se aplică, de asemenea, instituțiilor și entităților care fac obiectul MREL și datoriilor emise în vederea respectării MREL, este de a permite autorităților de rezoluție să monitorizeze măsurile care au ca rezultat o reducere a stocului </w:t>
            </w:r>
            <w:r>
              <w:t>de datorii eligibile și să interzică orice măsură care ar echivala cu o reducere peste un nivel pe care autoritățile de rezoluție îl consideră adecvat. În cazul în care autoritatea de rezoluție nu a adoptat o decizie de stabilire a MREL în ceea ce privește</w:t>
            </w:r>
            <w:r>
              <w:t xml:space="preserve"> o instituție sau o entitate, obiectivul respectiv nu este relevant. </w:t>
            </w:r>
            <w:r>
              <w:rPr>
                <w:b/>
                <w:i/>
              </w:rPr>
              <w:t>Mai mult, instituțiile sau entitățile care nu fac obiectul unei decizii de stabilire a MREL nu dețin datorii eligibile în bilanțul lor.</w:t>
            </w:r>
            <w:r>
              <w:t xml:space="preserve"> Prin urmare, instituțiile sau entitățile pentru car</w:t>
            </w:r>
            <w:r>
              <w:t>e nu au fost adoptate decizii de stabilire a MREL nu ar trebui să aibă obligația de a obține aprobarea prealabilă a autorității de rezoluție pentru a exercita o opțiune call, a răscumpăra sau a rambursa datoriile care ar îndeplini cerințele de eligibilitat</w:t>
            </w:r>
            <w:r>
              <w:t>e pentru MREL.</w:t>
            </w:r>
          </w:p>
        </w:tc>
        <w:tc>
          <w:tcPr>
            <w:tcW w:w="4876" w:type="dxa"/>
            <w:hideMark/>
          </w:tcPr>
          <w:p w:rsidR="00932D06" w:rsidRPr="00D57E36" w:rsidRDefault="00F25F2E">
            <w:pPr>
              <w:pStyle w:val="Normal6"/>
              <w:rPr>
                <w:szCs w:val="24"/>
              </w:rPr>
            </w:pPr>
            <w:r>
              <w:t>(9)</w:t>
            </w:r>
            <w:r>
              <w:tab/>
              <w:t xml:space="preserve">Principalul obiectiv al regimului de aprobare pentru reducerea instrumentelor de datorii eligibile prevăzut la articolul 77 alineatul (2) și la articolul 78a din Regulamentul (UE) nr. 575/2013, care se aplică, de asemenea, instituțiilor </w:t>
            </w:r>
            <w:r>
              <w:t>și entităților care fac obiectul MREL și datoriilor emise în vederea respectării MREL, este de a permite autorităților de rezoluție să monitorizeze măsurile care au ca rezultat o reducere a stocului de datorii eligibile și să interzică orice măsură care ar</w:t>
            </w:r>
            <w:r>
              <w:t xml:space="preserve"> echivala cu o reducere peste un nivel pe care autoritățile de rezoluție îl consideră adecvat. În cazul în care autoritatea de rezoluție nu a adoptat o decizie de stabilire a MREL în ceea ce privește o instituție sau o entitate, obiectivul respectiv nu est</w:t>
            </w:r>
            <w:r>
              <w:t>e relevant. Prin urmare, instituțiile sau entitățile pentru care nu au fost adoptate decizii de stabilire a MREL nu ar trebui să aibă obligația de a obține aprobarea prealabilă a autorității de rezoluție pentru a exercita o opțiune call, a răscumpăra sau a</w:t>
            </w:r>
            <w:r>
              <w:t xml:space="preserve"> rambursa datoriile care ar îndeplini cerințele de eligibilitate pentru MREL.</w:t>
            </w:r>
          </w:p>
        </w:tc>
      </w:tr>
    </w:tbl>
    <w:p w:rsidR="00932D06" w:rsidRPr="00D57E36" w:rsidRDefault="00F25F2E" w:rsidP="00932D06">
      <w:pPr>
        <w:pStyle w:val="Olang"/>
        <w:rPr>
          <w:sz w:val="24"/>
          <w:szCs w:val="24"/>
        </w:rPr>
      </w:pPr>
      <w:r w:rsidRPr="00D57E36">
        <w:rPr>
          <w:sz w:val="24"/>
          <w:szCs w:val="24"/>
        </w:rPr>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8</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Considerentul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w:t>
            </w:r>
            <w:r>
              <w:t xml:space="preserv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(10)</w:t>
            </w:r>
            <w:r>
              <w:tab/>
              <w:t xml:space="preserve">Există entități destinate lichidării pentru care MREL </w:t>
            </w:r>
            <w:r>
              <w:rPr>
                <w:b/>
                <w:i/>
              </w:rPr>
              <w:t>depășește</w:t>
            </w:r>
            <w:r>
              <w:t xml:space="preserve"> cuantumul </w:t>
            </w:r>
            <w:r>
              <w:rPr>
                <w:b/>
                <w:i/>
              </w:rPr>
              <w:lastRenderedPageBreak/>
              <w:t>cerințelor de fonduri proprii, caz în care</w:t>
            </w:r>
            <w:r>
              <w:t xml:space="preserve"> autoritățile de rezoluție </w:t>
            </w:r>
            <w:r>
              <w:rPr>
                <w:b/>
                <w:i/>
              </w:rPr>
              <w:t xml:space="preserve">ar trebui să poată stabili MREL. Această MREL ar trebui să fie stabilită la un </w:t>
            </w:r>
            <w:r>
              <w:rPr>
                <w:b/>
                <w:i/>
              </w:rPr>
              <w:t>cuantum care să depășească cuantumul pentru absorbția pierderilor</w:t>
            </w:r>
            <w:r>
              <w:t xml:space="preserve"> în </w:t>
            </w:r>
            <w:r>
              <w:rPr>
                <w:b/>
                <w:i/>
              </w:rPr>
              <w:t>cazul în care</w:t>
            </w:r>
            <w:r>
              <w:t xml:space="preserve"> autoritățile de rezoluție </w:t>
            </w:r>
            <w:r>
              <w:rPr>
                <w:b/>
                <w:i/>
              </w:rPr>
              <w:t>consideră că un astfel de cuantum este necesar</w:t>
            </w:r>
            <w:r>
              <w:t xml:space="preserve"> pentru a </w:t>
            </w:r>
            <w:r>
              <w:rPr>
                <w:b/>
                <w:i/>
              </w:rPr>
              <w:t>proteja stabilitatea financiară sau</w:t>
            </w:r>
            <w:r>
              <w:t xml:space="preserve"> pentru a aborda </w:t>
            </w:r>
            <w:r>
              <w:rPr>
                <w:b/>
                <w:i/>
              </w:rPr>
              <w:t>riscul de contagiune a sistemului finan</w:t>
            </w:r>
            <w:r>
              <w:rPr>
                <w:b/>
                <w:i/>
              </w:rPr>
              <w:t>ciar.</w:t>
            </w:r>
            <w:r>
              <w:t xml:space="preserve"> </w:t>
            </w:r>
            <w:r>
              <w:rPr>
                <w:b/>
                <w:i/>
              </w:rPr>
              <w:t>În aceste situații,</w:t>
            </w:r>
            <w:r>
              <w:t xml:space="preserve"> entitatea destinată lichidării ar trebui să respecte MREL și nu ar trebui să fie scutită de regimul de aprobare prealabilă prevăzut la articolul 77 alineatul (2) și la articolul 78a din Regulamentul (UE) nr. 575/2013. Toate entită</w:t>
            </w:r>
            <w:r>
              <w:t>țile intermediare care aparțin aceluiași grup de rezoluție ca și entitatea destinată lichidării în cauză ar trebui să aibă în continuare obligația de a-și deduce din capacitatea MREL internă deținerile de resurse eligibile pentru MREL internă emise de resp</w:t>
            </w:r>
            <w:r>
              <w:t>ectiva entitate destinată lichidării. În plus, întrucât procedurile de lichidare au loc la nivelul entității juridice, entitățile destinate lichidării care fac încă obiectul MREL ar trebui să respecte cerința numai pe bază individuală. În fine, anumite cer</w:t>
            </w:r>
            <w:r>
              <w:t xml:space="preserve">ințe de eligibilitate legate de proprietatea asupra datoriei în cauză nu sunt relevante, </w:t>
            </w:r>
            <w:r>
              <w:rPr>
                <w:b/>
                <w:i/>
              </w:rPr>
              <w:t>deoarece</w:t>
            </w:r>
            <w:r>
              <w:t xml:space="preserve"> nu </w:t>
            </w:r>
            <w:r>
              <w:rPr>
                <w:b/>
                <w:i/>
              </w:rPr>
              <w:t>este necesar</w:t>
            </w:r>
            <w:r>
              <w:t xml:space="preserve"> să se </w:t>
            </w:r>
            <w:r>
              <w:rPr>
                <w:b/>
                <w:i/>
              </w:rPr>
              <w:t>asigure transferul pierderilor și al capitalului de la entitatea destinată lichidării la o entitate</w:t>
            </w:r>
            <w:r>
              <w:t xml:space="preserve"> de </w:t>
            </w:r>
            <w:r>
              <w:rPr>
                <w:b/>
                <w:i/>
              </w:rPr>
              <w:t>rezoluție și, prin urmare</w:t>
            </w:r>
            <w:r>
              <w:t xml:space="preserve">, nu ar </w:t>
            </w:r>
            <w:r>
              <w:rPr>
                <w:b/>
                <w:i/>
              </w:rPr>
              <w:t>trebui</w:t>
            </w:r>
            <w:r>
              <w:t xml:space="preserve"> să </w:t>
            </w:r>
            <w:r>
              <w:rPr>
                <w:b/>
                <w:i/>
              </w:rPr>
              <w:t>se aplice</w:t>
            </w:r>
            <w:r>
              <w:t>.</w:t>
            </w:r>
          </w:p>
        </w:tc>
        <w:tc>
          <w:tcPr>
            <w:tcW w:w="4876" w:type="dxa"/>
            <w:hideMark/>
          </w:tcPr>
          <w:p w:rsidR="00932D06" w:rsidRPr="00D57E36" w:rsidRDefault="00F25F2E" w:rsidP="000A7B09">
            <w:pPr>
              <w:pStyle w:val="Normal6"/>
              <w:rPr>
                <w:szCs w:val="24"/>
              </w:rPr>
            </w:pPr>
            <w:r>
              <w:lastRenderedPageBreak/>
              <w:t>(10)</w:t>
            </w:r>
            <w:r>
              <w:tab/>
              <w:t xml:space="preserve">Există entități destinate lichidării pentru care MREL </w:t>
            </w:r>
            <w:r>
              <w:rPr>
                <w:b/>
                <w:i/>
              </w:rPr>
              <w:t>ar trebui să depășească</w:t>
            </w:r>
            <w:r>
              <w:t xml:space="preserve"> </w:t>
            </w:r>
            <w:r>
              <w:lastRenderedPageBreak/>
              <w:t xml:space="preserve">cuantumul </w:t>
            </w:r>
            <w:r>
              <w:rPr>
                <w:b/>
                <w:i/>
              </w:rPr>
              <w:t>pentru absorbția pierderilor. Această situație este valabilă atunci când</w:t>
            </w:r>
            <w:r>
              <w:t xml:space="preserve"> autoritățile de rezoluție </w:t>
            </w:r>
            <w:r>
              <w:rPr>
                <w:b/>
                <w:i/>
              </w:rPr>
              <w:t>consideră că acest cuantum mai mare este ne</w:t>
            </w:r>
            <w:r>
              <w:rPr>
                <w:b/>
                <w:i/>
              </w:rPr>
              <w:t>cesar pentru a proteja stabilitatea financiară sau pentru a răspunde riscului de contagiune a sistemului financiar.</w:t>
            </w:r>
            <w:r>
              <w:t xml:space="preserve"> În </w:t>
            </w:r>
            <w:r>
              <w:rPr>
                <w:b/>
                <w:i/>
              </w:rPr>
              <w:t>aceste situații,</w:t>
            </w:r>
            <w:r>
              <w:t xml:space="preserve"> autoritățile de rezoluție </w:t>
            </w:r>
            <w:r>
              <w:rPr>
                <w:b/>
                <w:i/>
              </w:rPr>
              <w:t>ar trebui să stabilească o MREL pentru entitatea destinată lichidării, care să reprezinte un c</w:t>
            </w:r>
            <w:r>
              <w:rPr>
                <w:b/>
                <w:i/>
              </w:rPr>
              <w:t>uantum suficient</w:t>
            </w:r>
            <w:r>
              <w:t xml:space="preserve"> pentru a </w:t>
            </w:r>
            <w:r>
              <w:rPr>
                <w:b/>
                <w:i/>
              </w:rPr>
              <w:t>absorbi pierderile, majorat cu cuantumul necesar</w:t>
            </w:r>
            <w:r>
              <w:t xml:space="preserve"> pentru a aborda </w:t>
            </w:r>
            <w:r>
              <w:rPr>
                <w:b/>
                <w:i/>
              </w:rPr>
              <w:t>în mod corespunzător eventualele riscuri identificate de autoritățile de rezoluție.</w:t>
            </w:r>
            <w:r>
              <w:t xml:space="preserve"> Entitatea destinată lichidării ar trebui să respecte MREL și nu ar trebui să fie </w:t>
            </w:r>
            <w:r>
              <w:t>scutită de regimul de aprobare prealabilă prevăzut la articolul 77 alineatul (2) și la articolul 78a din Regulamentul (UE) nr. 575/2013. Toate entitățile intermediare care aparțin aceluiași grup de rezoluție ca și entitatea destinată lichidării în cauză ar</w:t>
            </w:r>
            <w:r>
              <w:t xml:space="preserve"> trebui să aibă în continuare obligația de a-și deduce din capacitatea MREL internă deținerile de resurse eligibile pentru MREL internă emise de respectiva entitate destinată lichidării. În plus, întrucât procedurile de lichidare au loc la nivelul entități</w:t>
            </w:r>
            <w:r>
              <w:t>i juridice, entitățile destinate lichidării care fac încă obiectul MREL ar trebui să respecte cerința numai pe bază individuală. În fine, anumite cerințe de eligibilitate legate de proprietatea asupra datoriei în cauză nu sunt relevante</w:t>
            </w:r>
            <w:r>
              <w:rPr>
                <w:b/>
                <w:i/>
              </w:rPr>
              <w:t xml:space="preserve"> și</w:t>
            </w:r>
            <w:r>
              <w:t xml:space="preserve">, </w:t>
            </w:r>
            <w:r>
              <w:rPr>
                <w:b/>
                <w:i/>
              </w:rPr>
              <w:t>prin urmare,</w:t>
            </w:r>
            <w:r>
              <w:t xml:space="preserve"> nu</w:t>
            </w:r>
            <w:r>
              <w:t xml:space="preserve"> </w:t>
            </w:r>
            <w:r>
              <w:rPr>
                <w:b/>
                <w:i/>
              </w:rPr>
              <w:t>ar trebui</w:t>
            </w:r>
            <w:r>
              <w:t xml:space="preserve"> să se </w:t>
            </w:r>
            <w:r>
              <w:rPr>
                <w:b/>
                <w:i/>
              </w:rPr>
              <w:t>aplice, deoarece, fără ca să fie exercitată competența de reducere a valorii contabile sau</w:t>
            </w:r>
            <w:r>
              <w:t xml:space="preserve"> de </w:t>
            </w:r>
            <w:r>
              <w:rPr>
                <w:b/>
                <w:i/>
              </w:rPr>
              <w:t>conversie</w:t>
            </w:r>
            <w:r>
              <w:t xml:space="preserve">, nu ar </w:t>
            </w:r>
            <w:r>
              <w:rPr>
                <w:b/>
                <w:i/>
              </w:rPr>
              <w:t>fi necesar ca entitatea de rezoluție</w:t>
            </w:r>
            <w:r>
              <w:t xml:space="preserve"> să </w:t>
            </w:r>
            <w:r>
              <w:rPr>
                <w:b/>
                <w:i/>
              </w:rPr>
              <w:t>își mențină controlul asupra filialei</w:t>
            </w:r>
            <w:r>
              <w:t>.</w:t>
            </w:r>
          </w:p>
        </w:tc>
      </w:tr>
    </w:tbl>
    <w:p w:rsidR="00932D06" w:rsidRPr="00D57E36" w:rsidRDefault="00F25F2E" w:rsidP="00932D06">
      <w:pPr>
        <w:pStyle w:val="Olang"/>
        <w:rPr>
          <w:sz w:val="24"/>
          <w:szCs w:val="24"/>
        </w:rPr>
      </w:pPr>
      <w:r w:rsidRPr="00D57E36">
        <w:rPr>
          <w:sz w:val="24"/>
          <w:szCs w:val="24"/>
        </w:rPr>
        <w:lastRenderedPageBreak/>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9</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Considerentul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(14)</w:t>
            </w:r>
            <w:r>
              <w:tab/>
            </w:r>
            <w:r>
              <w:t xml:space="preserve">Deoarece obiectivele prezentei directive, și anume ajustarea tratamentului entităților destinate lichidării în cadrul MREL și </w:t>
            </w:r>
            <w:r>
              <w:rPr>
                <w:b/>
                <w:i/>
              </w:rPr>
              <w:t>a posibilităților</w:t>
            </w:r>
            <w:r>
              <w:t xml:space="preserve"> de </w:t>
            </w:r>
            <w:r>
              <w:rPr>
                <w:b/>
                <w:i/>
              </w:rPr>
              <w:t>a respecta</w:t>
            </w:r>
            <w:r>
              <w:t xml:space="preserve"> MREL internă pe bază consolidată, nu pot fi realizate în mod satisfăcător de către statele membre,</w:t>
            </w:r>
            <w:r>
              <w:t xml:space="preserve"> ci pot fi mai degrabă realizate mai bine la nivelul Uniunii, prin modificarea normelor care sunt deja stabilite la nivelul Uniunii, Uniunea poate adopta măsuri în conformitate cu principiul subsidiarității, astfel cum este definit la articolul 5 din Trata</w:t>
            </w:r>
            <w:r>
              <w:t>tul privind Uniunea Europeană. În conformitate cu principiul proporționalității, astfel cum este definit la articolul menționat, prezenta directivă nu depășește ceea ce este necesar pentru realizarea obiectivelor menționate,</w:t>
            </w:r>
          </w:p>
        </w:tc>
        <w:tc>
          <w:tcPr>
            <w:tcW w:w="4876" w:type="dxa"/>
            <w:hideMark/>
          </w:tcPr>
          <w:p w:rsidR="00932D06" w:rsidRPr="00D57E36" w:rsidRDefault="00F25F2E">
            <w:pPr>
              <w:pStyle w:val="Normal6"/>
              <w:rPr>
                <w:szCs w:val="24"/>
              </w:rPr>
            </w:pPr>
            <w:r>
              <w:t>(14)</w:t>
            </w:r>
            <w:r>
              <w:tab/>
              <w:t>Deoarece obiectivele preze</w:t>
            </w:r>
            <w:r>
              <w:t xml:space="preserve">ntei directive, și anume ajustarea tratamentului entităților destinate lichidării în cadrul MREL și </w:t>
            </w:r>
            <w:r>
              <w:rPr>
                <w:b/>
                <w:i/>
              </w:rPr>
              <w:t>posibilitatea ca autoritățile</w:t>
            </w:r>
            <w:r>
              <w:t xml:space="preserve"> de </w:t>
            </w:r>
            <w:r>
              <w:rPr>
                <w:b/>
                <w:i/>
              </w:rPr>
              <w:t>rezoluție să stabilească</w:t>
            </w:r>
            <w:r>
              <w:t xml:space="preserve"> MREL internă pe bază consolidată, nu pot fi realizate în mod satisfăcător de către statele membre,</w:t>
            </w:r>
            <w:r>
              <w:t xml:space="preserve"> ci pot fi mai degrabă realizate mai bine la nivelul Uniunii, prin modificarea normelor care sunt deja stabilite la nivelul Uniunii, Uniunea poate adopta măsuri în conformitate cu principiul subsidiarității, astfel cum este definit la articolul 5 din Trata</w:t>
            </w:r>
            <w:r>
              <w:t>tul privind Uniunea Europeană. În conformitate cu principiul proporționalității, astfel cum este definit la articolul menționat, prezenta directivă nu depășește ceea ce este necesar pentru realizarea obiectivelor menționate,</w:t>
            </w:r>
          </w:p>
        </w:tc>
      </w:tr>
    </w:tbl>
    <w:p w:rsidR="00932D06" w:rsidRPr="00D57E36" w:rsidRDefault="00F25F2E" w:rsidP="00932D06">
      <w:pPr>
        <w:pStyle w:val="Olang"/>
        <w:rPr>
          <w:sz w:val="24"/>
          <w:szCs w:val="24"/>
        </w:rPr>
      </w:pPr>
      <w:r w:rsidRPr="00D57E36">
        <w:rPr>
          <w:sz w:val="24"/>
          <w:szCs w:val="24"/>
        </w:rPr>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w:t>
      </w:r>
      <w:r w:rsidRPr="00D57E36">
        <w:rPr>
          <w:rStyle w:val="HideTWBExt"/>
        </w:rPr>
        <w:t>&gt;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10</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Articolul 1 – paragraful 1 – punctul 1</w:t>
      </w:r>
      <w:r>
        <w:rPr>
          <w:rStyle w:val="HideTWBExt"/>
          <w:b w:val="0"/>
        </w:rPr>
        <w:t>&lt;/Article&gt;</w:t>
      </w:r>
    </w:p>
    <w:p w:rsidR="00932D06" w:rsidRPr="00D57E36" w:rsidRDefault="00F25F2E" w:rsidP="00932D06">
      <w:pPr>
        <w:keepNext/>
      </w:pPr>
      <w:r>
        <w:rPr>
          <w:rStyle w:val="HideTWBExt"/>
        </w:rPr>
        <w:t>&lt;DocAmend2&gt;</w:t>
      </w:r>
      <w:r>
        <w:t>Directiva 2014/59/UE</w:t>
      </w:r>
      <w:r>
        <w:rPr>
          <w:rStyle w:val="HideTWBExt"/>
        </w:rPr>
        <w:t>&lt;/DocAmend2&gt;</w:t>
      </w:r>
    </w:p>
    <w:p w:rsidR="00932D06" w:rsidRPr="00D57E36" w:rsidRDefault="00F25F2E" w:rsidP="00932D06">
      <w:r>
        <w:rPr>
          <w:rStyle w:val="HideTWBExt"/>
        </w:rPr>
        <w:t>&lt;Article2&gt;</w:t>
      </w:r>
      <w:r>
        <w:t>Articolul 2 – punctul 1 – punctul 83aa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(83aa)</w:t>
            </w:r>
            <w:r>
              <w:tab/>
            </w:r>
            <w:r>
              <w:t xml:space="preserve">„entitate destinată lichidării” înseamnă o persoană juridică stabilită în Uniune în legătură cu care planul de rezoluție a grupului sau, în cazul entităților care nu fac parte dintr-un grup, planul de rezoluție prevede lichidarea entității în </w:t>
            </w:r>
            <w:r>
              <w:rPr>
                <w:b/>
                <w:i/>
              </w:rPr>
              <w:t>mod ordonat,</w:t>
            </w:r>
            <w:r>
              <w:t xml:space="preserve"> </w:t>
            </w:r>
            <w:r>
              <w:t xml:space="preserve">în </w:t>
            </w:r>
            <w:r>
              <w:rPr>
                <w:b/>
                <w:i/>
              </w:rPr>
              <w:t>conformitate</w:t>
            </w:r>
            <w:r>
              <w:t xml:space="preserve"> cu </w:t>
            </w:r>
            <w:r>
              <w:rPr>
                <w:b/>
                <w:i/>
              </w:rPr>
              <w:t>dreptul intern aplicabil</w:t>
            </w:r>
            <w:r>
              <w:t>;</w:t>
            </w:r>
          </w:p>
        </w:tc>
        <w:tc>
          <w:tcPr>
            <w:tcW w:w="4876" w:type="dxa"/>
            <w:hideMark/>
          </w:tcPr>
          <w:p w:rsidR="00932D06" w:rsidRPr="00D57E36" w:rsidRDefault="00F25F2E" w:rsidP="000A7B09">
            <w:pPr>
              <w:pStyle w:val="Normal6"/>
              <w:rPr>
                <w:szCs w:val="24"/>
              </w:rPr>
            </w:pPr>
            <w:r>
              <w:t>(83aa)</w:t>
            </w:r>
            <w:r>
              <w:tab/>
              <w:t>„entitate destinată lichidării” înseamnă o persoană juridică stabilită în Uniune în legătură cu care planul de rezoluție a grupului sau, în cazul entităților care nu fac parte dintr-un grup, planul de rez</w:t>
            </w:r>
            <w:r>
              <w:t xml:space="preserve">oluție prevede lichidarea entității în </w:t>
            </w:r>
            <w:r>
              <w:rPr>
                <w:b/>
                <w:i/>
              </w:rPr>
              <w:t>conformitate cu procedurile obișnuite de insolvabilitate sau nu prevede exercitarea competențelor de reducere a valorii contabile și de conversie</w:t>
            </w:r>
            <w:r>
              <w:t xml:space="preserve"> în </w:t>
            </w:r>
            <w:r>
              <w:rPr>
                <w:b/>
                <w:i/>
              </w:rPr>
              <w:t>raport</w:t>
            </w:r>
            <w:r>
              <w:t xml:space="preserve"> cu </w:t>
            </w:r>
            <w:r>
              <w:rPr>
                <w:b/>
                <w:i/>
              </w:rPr>
              <w:t>entitatea în cauză</w:t>
            </w:r>
            <w:r>
              <w:t>;</w:t>
            </w:r>
          </w:p>
        </w:tc>
      </w:tr>
    </w:tbl>
    <w:p w:rsidR="00932D06" w:rsidRPr="00D57E36" w:rsidRDefault="00F25F2E" w:rsidP="00932D06">
      <w:pPr>
        <w:pStyle w:val="Olang"/>
        <w:rPr>
          <w:sz w:val="24"/>
          <w:szCs w:val="24"/>
        </w:rPr>
      </w:pPr>
      <w:r w:rsidRPr="00D57E36">
        <w:rPr>
          <w:sz w:val="24"/>
          <w:szCs w:val="24"/>
        </w:rPr>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w:t>
      </w:r>
      <w:r>
        <w:rPr>
          <w:rStyle w:val="HideTWBExt"/>
        </w:rPr>
        <w:t>nd&gt;</w:t>
      </w:r>
    </w:p>
    <w:p w:rsidR="00932D06" w:rsidRPr="00D57E36" w:rsidRDefault="00F25F2E" w:rsidP="00932D06">
      <w:pPr>
        <w:pStyle w:val="AMNumberTabs0"/>
        <w:keepNext/>
      </w:pPr>
      <w:r>
        <w:rPr>
          <w:rStyle w:val="HideTWBExt"/>
          <w:b w:val="0"/>
        </w:rPr>
        <w:lastRenderedPageBreak/>
        <w:t>&lt;Amend&gt;</w:t>
      </w:r>
      <w:r>
        <w:t>Amendamentul</w:t>
      </w:r>
      <w:r>
        <w:tab/>
      </w:r>
      <w:r>
        <w:tab/>
      </w:r>
      <w:r>
        <w:rPr>
          <w:rStyle w:val="HideTWBExt"/>
          <w:b w:val="0"/>
        </w:rPr>
        <w:t>&lt;NumAm&gt;</w:t>
      </w:r>
      <w:r>
        <w:t>11</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Articolul 1 – paragraful 1 – punctul 2 – litera b</w:t>
      </w:r>
      <w:r>
        <w:rPr>
          <w:rStyle w:val="HideTWBExt"/>
          <w:b w:val="0"/>
        </w:rPr>
        <w:t>&lt;/Article&gt;</w:t>
      </w:r>
    </w:p>
    <w:p w:rsidR="00932D06" w:rsidRPr="00D57E36" w:rsidRDefault="00F25F2E" w:rsidP="00932D06">
      <w:pPr>
        <w:keepNext/>
      </w:pPr>
      <w:r>
        <w:rPr>
          <w:rStyle w:val="HideTWBExt"/>
        </w:rPr>
        <w:t>&lt;DocAmend2&gt;</w:t>
      </w:r>
      <w:r>
        <w:t>Directiva 2014/59/UE</w:t>
      </w:r>
      <w:r>
        <w:rPr>
          <w:rStyle w:val="HideTWBExt"/>
        </w:rPr>
        <w:t>&lt;/DocAmend2&gt;</w:t>
      </w:r>
    </w:p>
    <w:p w:rsidR="00932D06" w:rsidRPr="00D57E36" w:rsidRDefault="00F25F2E" w:rsidP="00932D06">
      <w:r>
        <w:rPr>
          <w:rStyle w:val="HideTWBExt"/>
        </w:rPr>
        <w:t>&lt;Article2&gt;</w:t>
      </w:r>
      <w:r>
        <w:t>Articolul 45 c – alineatul 2 a – paragraful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Prin derogare de la primul paragraf</w:t>
            </w:r>
            <w:r>
              <w:rPr>
                <w:b/>
                <w:i/>
              </w:rPr>
              <w:t xml:space="preserve"> și în cazul în care acest lucru este necesar având</w:t>
            </w:r>
            <w:r>
              <w:t xml:space="preserve"> în </w:t>
            </w:r>
            <w:r>
              <w:rPr>
                <w:b/>
                <w:i/>
              </w:rPr>
              <w:t>vedere obiectivul de protejare</w:t>
            </w:r>
            <w:r>
              <w:t xml:space="preserve"> a </w:t>
            </w:r>
            <w:r>
              <w:rPr>
                <w:b/>
                <w:i/>
              </w:rPr>
              <w:t xml:space="preserve">stabilității financiare sau de limitare a contagiunii potențiale a sistemului </w:t>
            </w:r>
            <w:r>
              <w:rPr>
                <w:b/>
                <w:i/>
              </w:rPr>
              <w:t>financiar, autoritățile de rezoluție pot stabili în mod excepțional cerința menționată</w:t>
            </w:r>
            <w:r>
              <w:t xml:space="preserve"> la articolul 45 alineatul (1) pentru entitățile destinate lichidării </w:t>
            </w:r>
            <w:r>
              <w:rPr>
                <w:b/>
                <w:i/>
              </w:rPr>
              <w:t>pe bază individuală, în cuantum</w:t>
            </w:r>
            <w:r>
              <w:t xml:space="preserve"> suficient pentru a absorbi pierderile în conformitate cu alineatul (</w:t>
            </w:r>
            <w:r>
              <w:t xml:space="preserve">2) litera (a) de la prezentul articol, </w:t>
            </w:r>
            <w:r>
              <w:rPr>
                <w:b/>
                <w:i/>
              </w:rPr>
              <w:t>majorată până la cuantumul care este necesar pentru îndeplinirea obiectivelor menționate</w:t>
            </w:r>
            <w:r>
              <w:t>. În aceste cazuri, entitățile destinate lichidării trebuie să îndeplinească cerința menționată la articolul 45 alineatul (1) uti</w:t>
            </w:r>
            <w:r>
              <w:t>lizând unul sau mai multe dintre următoarele elemente:</w:t>
            </w:r>
          </w:p>
        </w:tc>
        <w:tc>
          <w:tcPr>
            <w:tcW w:w="4876" w:type="dxa"/>
            <w:hideMark/>
          </w:tcPr>
          <w:p w:rsidR="00932D06" w:rsidRPr="00D57E36" w:rsidRDefault="00F25F2E">
            <w:pPr>
              <w:pStyle w:val="Normal6"/>
              <w:rPr>
                <w:szCs w:val="24"/>
              </w:rPr>
            </w:pPr>
            <w:r>
              <w:t>Prin derogare de la primul paragraf</w:t>
            </w:r>
            <w:r>
              <w:rPr>
                <w:b/>
                <w:i/>
              </w:rPr>
              <w:t>, autoritatea de rezoluție determină dacă se justifică stabilirea</w:t>
            </w:r>
            <w:r>
              <w:t xml:space="preserve"> în </w:t>
            </w:r>
            <w:r>
              <w:rPr>
                <w:b/>
                <w:i/>
              </w:rPr>
              <w:t>mod individual</w:t>
            </w:r>
            <w:r>
              <w:t xml:space="preserve"> a </w:t>
            </w:r>
            <w:r>
              <w:rPr>
                <w:b/>
                <w:i/>
              </w:rPr>
              <w:t>cerinței menționate</w:t>
            </w:r>
            <w:r>
              <w:t xml:space="preserve"> la articolul 45 alineatul (1) pentru entitățile destinate li</w:t>
            </w:r>
            <w:r>
              <w:t xml:space="preserve">chidării </w:t>
            </w:r>
            <w:r>
              <w:rPr>
                <w:b/>
                <w:i/>
              </w:rPr>
              <w:t>într-un cuantum ce depășește cuantumul</w:t>
            </w:r>
            <w:r>
              <w:t xml:space="preserve"> suficient pentru a absorbi pierderile în conformitate cu alineatul (2) litera (a) de la prezentul articol</w:t>
            </w:r>
            <w:r>
              <w:rPr>
                <w:b/>
                <w:i/>
              </w:rPr>
              <w:t>. Analiza realizată de autoritatea de rezoluție examinează posibilele consecințe ale falimentului entit</w:t>
            </w:r>
            <w:r>
              <w:rPr>
                <w:b/>
                <w:i/>
              </w:rPr>
              <w:t>ății în cauză destinate lichidării și ține seama</w:t>
            </w:r>
            <w:r>
              <w:t xml:space="preserve">, </w:t>
            </w:r>
            <w:r>
              <w:rPr>
                <w:b/>
                <w:i/>
              </w:rPr>
              <w:t>în special, de toate eventualele efecte asupra stabilității financiare și asupra riscului de contaminare a sistemului financiar</w:t>
            </w:r>
            <w:r>
              <w:t>. În aceste cazuri, entitățile destinate lichidării trebuie să îndeplinească ce</w:t>
            </w:r>
            <w:r>
              <w:t>rința menționată la articolul 45 alineatul (1) utilizând unul sau mai multe dintre următoarele elemente:</w:t>
            </w:r>
          </w:p>
        </w:tc>
      </w:tr>
    </w:tbl>
    <w:p w:rsidR="00932D06" w:rsidRPr="00D57E36" w:rsidRDefault="00F25F2E" w:rsidP="00932D06">
      <w:pPr>
        <w:pStyle w:val="Olang"/>
        <w:rPr>
          <w:sz w:val="24"/>
          <w:szCs w:val="24"/>
        </w:rPr>
      </w:pPr>
      <w:r w:rsidRPr="00D57E36">
        <w:rPr>
          <w:sz w:val="24"/>
          <w:szCs w:val="24"/>
        </w:rPr>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12</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 xml:space="preserve">Articolul 1 – </w:t>
      </w:r>
      <w:r>
        <w:t>paragraful 1 – punctul 2 – litera b</w:t>
      </w:r>
      <w:r>
        <w:rPr>
          <w:rStyle w:val="HideTWBExt"/>
          <w:b w:val="0"/>
        </w:rPr>
        <w:t>&lt;/Article&gt;</w:t>
      </w:r>
    </w:p>
    <w:p w:rsidR="00932D06" w:rsidRPr="00D57E36" w:rsidRDefault="00F25F2E" w:rsidP="00932D06">
      <w:pPr>
        <w:keepNext/>
      </w:pPr>
      <w:r>
        <w:rPr>
          <w:rStyle w:val="HideTWBExt"/>
        </w:rPr>
        <w:t>&lt;DocAmend2&gt;</w:t>
      </w:r>
      <w:r>
        <w:t>Directiva 2014/59/UE</w:t>
      </w:r>
      <w:r>
        <w:rPr>
          <w:rStyle w:val="HideTWBExt"/>
        </w:rPr>
        <w:t>&lt;/DocAmend2&gt;</w:t>
      </w:r>
    </w:p>
    <w:p w:rsidR="00932D06" w:rsidRPr="00D57E36" w:rsidRDefault="00F25F2E" w:rsidP="00932D06">
      <w:r>
        <w:rPr>
          <w:rStyle w:val="HideTWBExt"/>
        </w:rPr>
        <w:t>&lt;Article2&gt;</w:t>
      </w:r>
      <w:r>
        <w:t>Articolul 45 c – alineatul 2 a – paragraful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 xml:space="preserve">Deținerile de </w:t>
            </w:r>
            <w:r>
              <w:rPr>
                <w:b/>
                <w:i/>
              </w:rPr>
              <w:t>instrumente de fonduri proprii sau</w:t>
            </w:r>
            <w:r>
              <w:t xml:space="preserve"> de </w:t>
            </w:r>
            <w:r>
              <w:rPr>
                <w:b/>
                <w:i/>
              </w:rPr>
              <w:t>datorii</w:t>
            </w:r>
            <w:r>
              <w:t xml:space="preserve"> emise de filiale care sunt entități destinate lichidării pentru care autoritatea de rezoluție nu a stabilit cerința menționată la articolul 45 alineatul (1) nu se deduc în temeiul articolului 72e alineatul (5) din Regulamentul (UE) </w:t>
            </w:r>
            <w:r>
              <w:lastRenderedPageBreak/>
              <w:t>nr. 575/2013.</w:t>
            </w:r>
          </w:p>
        </w:tc>
        <w:tc>
          <w:tcPr>
            <w:tcW w:w="4876" w:type="dxa"/>
            <w:hideMark/>
          </w:tcPr>
          <w:p w:rsidR="00932D06" w:rsidRPr="00D57E36" w:rsidRDefault="00F25F2E">
            <w:pPr>
              <w:pStyle w:val="Normal6"/>
              <w:rPr>
                <w:szCs w:val="24"/>
              </w:rPr>
            </w:pPr>
            <w:r>
              <w:lastRenderedPageBreak/>
              <w:t xml:space="preserve">Deținerile de </w:t>
            </w:r>
            <w:r>
              <w:rPr>
                <w:b/>
                <w:i/>
              </w:rPr>
              <w:t>datorii care nu pot fi calificate drept instrumente</w:t>
            </w:r>
            <w:r>
              <w:t xml:space="preserve"> de </w:t>
            </w:r>
            <w:r>
              <w:rPr>
                <w:b/>
                <w:i/>
              </w:rPr>
              <w:t>fonduri proprii</w:t>
            </w:r>
            <w:r>
              <w:t xml:space="preserve"> emise de filiale care sunt entități destinate lichidării pentru care autoritatea de rezoluție nu a stabilit cerința menționată la articolul 45 alineatul (1) nu se deduc în</w:t>
            </w:r>
            <w:r>
              <w:t xml:space="preserve"> temeiul articolului 72e alineatul (5) din </w:t>
            </w:r>
            <w:r>
              <w:lastRenderedPageBreak/>
              <w:t>Regulamentul (UE) nr. 575/2013.</w:t>
            </w:r>
          </w:p>
        </w:tc>
      </w:tr>
    </w:tbl>
    <w:p w:rsidR="00932D06" w:rsidRPr="00D57E36" w:rsidRDefault="00F25F2E" w:rsidP="00932D06">
      <w:pPr>
        <w:pStyle w:val="Olang"/>
        <w:rPr>
          <w:sz w:val="24"/>
          <w:szCs w:val="24"/>
        </w:rPr>
      </w:pPr>
      <w:r w:rsidRPr="00D57E36">
        <w:rPr>
          <w:sz w:val="24"/>
          <w:szCs w:val="24"/>
        </w:rPr>
        <w:lastRenderedPageBreak/>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13</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Articolul 1 – paragraful 1 – punctul 3 – litera</w:t>
      </w:r>
      <w:r>
        <w:t xml:space="preserve"> a</w:t>
      </w:r>
      <w:r>
        <w:rPr>
          <w:rStyle w:val="HideTWBExt"/>
          <w:b w:val="0"/>
        </w:rPr>
        <w:t>&lt;/Article&gt;</w:t>
      </w:r>
    </w:p>
    <w:p w:rsidR="00932D06" w:rsidRPr="00D57E36" w:rsidRDefault="00F25F2E" w:rsidP="00932D06">
      <w:pPr>
        <w:keepNext/>
      </w:pPr>
      <w:r>
        <w:rPr>
          <w:rStyle w:val="HideTWBExt"/>
        </w:rPr>
        <w:t>&lt;DocAmend2&gt;</w:t>
      </w:r>
      <w:r>
        <w:t>Directiva 2014/59/UE</w:t>
      </w:r>
      <w:r>
        <w:rPr>
          <w:rStyle w:val="HideTWBExt"/>
        </w:rPr>
        <w:t>&lt;/DocAmend2&gt;</w:t>
      </w:r>
    </w:p>
    <w:p w:rsidR="00932D06" w:rsidRPr="00D57E36" w:rsidRDefault="00F25F2E" w:rsidP="00932D06">
      <w:r>
        <w:rPr>
          <w:rStyle w:val="HideTWBExt"/>
        </w:rPr>
        <w:t>&lt;Article2&gt;</w:t>
      </w:r>
      <w:r>
        <w:t>Articolul 45 f – alineatul 1 – paragraful 3a – litera a – punctul ii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(ii)</w:t>
            </w:r>
            <w:r>
              <w:tab/>
            </w:r>
            <w:r>
              <w:t xml:space="preserve">filiala face obiectul cerinței menționate la articolul 104a din Directiva 2013/36/UE </w:t>
            </w:r>
            <w:r>
              <w:rPr>
                <w:b/>
                <w:i/>
              </w:rPr>
              <w:t>sau al cerinței amortizorului combinat</w:t>
            </w:r>
            <w:r>
              <w:t xml:space="preserve"> pe bază consolidată;</w:t>
            </w:r>
          </w:p>
        </w:tc>
        <w:tc>
          <w:tcPr>
            <w:tcW w:w="4876" w:type="dxa"/>
            <w:hideMark/>
          </w:tcPr>
          <w:p w:rsidR="00932D06" w:rsidRPr="00D57E36" w:rsidRDefault="00F25F2E">
            <w:pPr>
              <w:pStyle w:val="Normal6"/>
              <w:rPr>
                <w:szCs w:val="24"/>
              </w:rPr>
            </w:pPr>
            <w:r>
              <w:t>(ii)</w:t>
            </w:r>
            <w:r>
              <w:tab/>
              <w:t xml:space="preserve">filiala face obiectul cerinței menționate la articolul 104a din Directiva 2013/36/UE </w:t>
            </w:r>
            <w:r>
              <w:rPr>
                <w:b/>
                <w:i/>
              </w:rPr>
              <w:t>exclusiv</w:t>
            </w:r>
            <w:r>
              <w:t xml:space="preserve"> pe bază cons</w:t>
            </w:r>
            <w:r>
              <w:t>olidată;</w:t>
            </w:r>
          </w:p>
        </w:tc>
      </w:tr>
    </w:tbl>
    <w:p w:rsidR="00932D06" w:rsidRPr="00D57E36" w:rsidRDefault="00F25F2E" w:rsidP="00932D06">
      <w:pPr>
        <w:pStyle w:val="Olang"/>
        <w:rPr>
          <w:sz w:val="24"/>
          <w:szCs w:val="24"/>
        </w:rPr>
      </w:pPr>
      <w:r w:rsidRPr="00D57E36">
        <w:rPr>
          <w:sz w:val="24"/>
          <w:szCs w:val="24"/>
        </w:rPr>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14</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Articolul 1 – paragraful 1 – punctul 3 – litera a</w:t>
      </w:r>
      <w:r>
        <w:rPr>
          <w:rStyle w:val="HideTWBExt"/>
          <w:b w:val="0"/>
        </w:rPr>
        <w:t>&lt;/Article&gt;</w:t>
      </w:r>
    </w:p>
    <w:p w:rsidR="00932D06" w:rsidRPr="00D57E36" w:rsidRDefault="00F25F2E" w:rsidP="00932D06">
      <w:pPr>
        <w:keepNext/>
      </w:pPr>
      <w:r>
        <w:rPr>
          <w:rStyle w:val="HideTWBExt"/>
        </w:rPr>
        <w:t>&lt;DocAmend2&gt;</w:t>
      </w:r>
      <w:r>
        <w:t>Directiva 2014/59/UE</w:t>
      </w:r>
      <w:r>
        <w:rPr>
          <w:rStyle w:val="HideTWBExt"/>
        </w:rPr>
        <w:t>&lt;/DocAmend2&gt;</w:t>
      </w:r>
    </w:p>
    <w:p w:rsidR="00932D06" w:rsidRPr="00D57E36" w:rsidRDefault="00F25F2E" w:rsidP="00932D06">
      <w:r>
        <w:rPr>
          <w:rStyle w:val="HideTWBExt"/>
        </w:rPr>
        <w:t>&lt;Article2&gt;</w:t>
      </w:r>
      <w:r>
        <w:t>Articolul 45 f – alineatul 1 – paragraful 3 a – litera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(b)</w:t>
            </w:r>
            <w:r>
              <w:tab/>
              <w:t xml:space="preserve">respectarea cerinței prevăzute la articolul 45c pe bază consolidată nu afectează în mod negativ </w:t>
            </w:r>
            <w:r>
              <w:rPr>
                <w:b/>
                <w:i/>
              </w:rPr>
              <w:t xml:space="preserve">și semnificativ </w:t>
            </w:r>
            <w:r>
              <w:t xml:space="preserve">posibilitatea de </w:t>
            </w:r>
            <w:r>
              <w:t>soluționare a grupului de rezoluție sau reducerea valorii contabile sau conversia, în conformitate cu articolul 59, a instrumentelor de capital și a datoriilor eligibile relevante ale filialei în cauză sau ale altor entități din grupul de rezoluție.</w:t>
            </w:r>
          </w:p>
        </w:tc>
        <w:tc>
          <w:tcPr>
            <w:tcW w:w="4876" w:type="dxa"/>
            <w:hideMark/>
          </w:tcPr>
          <w:p w:rsidR="00932D06" w:rsidRPr="00D57E36" w:rsidRDefault="00F25F2E">
            <w:pPr>
              <w:pStyle w:val="Normal6"/>
              <w:rPr>
                <w:szCs w:val="24"/>
              </w:rPr>
            </w:pPr>
            <w:r>
              <w:t>(b)</w:t>
            </w:r>
            <w:r>
              <w:tab/>
              <w:t>re</w:t>
            </w:r>
            <w:r>
              <w:t>spectarea cerinței prevăzute la articolul 45c pe bază consolidată nu afectează în mod negativ posibilitatea de soluționare a grupului de rezoluție sau reducerea valorii contabile sau conversia, în conformitate cu articolul 59, a instrumentelor de capital ș</w:t>
            </w:r>
            <w:r>
              <w:t>i a datoriilor eligibile relevante ale filialei în cauză sau ale altor entități din grupul de rezoluție.</w:t>
            </w:r>
          </w:p>
        </w:tc>
      </w:tr>
    </w:tbl>
    <w:p w:rsidR="00932D06" w:rsidRPr="00D57E36" w:rsidRDefault="00F25F2E" w:rsidP="00932D06">
      <w:pPr>
        <w:pStyle w:val="Olang"/>
        <w:rPr>
          <w:sz w:val="24"/>
          <w:szCs w:val="24"/>
        </w:rPr>
      </w:pPr>
      <w:r w:rsidRPr="00D57E36">
        <w:rPr>
          <w:sz w:val="24"/>
          <w:szCs w:val="24"/>
        </w:rPr>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15</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Articolul 2 – par</w:t>
      </w:r>
      <w:r>
        <w:t>agraful 1 – punctul 2 – litera b</w:t>
      </w:r>
      <w:r>
        <w:rPr>
          <w:rStyle w:val="HideTWBExt"/>
          <w:b w:val="0"/>
        </w:rPr>
        <w:t>&lt;/Article&gt;</w:t>
      </w:r>
    </w:p>
    <w:p w:rsidR="00932D06" w:rsidRPr="00D57E36" w:rsidRDefault="00F25F2E" w:rsidP="00932D06">
      <w:pPr>
        <w:keepNext/>
      </w:pPr>
      <w:r>
        <w:rPr>
          <w:rStyle w:val="HideTWBExt"/>
        </w:rPr>
        <w:t>&lt;DocAmend2&gt;</w:t>
      </w:r>
      <w:r>
        <w:t>Regulamentul (UE) nr. 806/2014</w:t>
      </w:r>
      <w:r>
        <w:rPr>
          <w:rStyle w:val="HideTWBExt"/>
        </w:rPr>
        <w:t>&lt;/DocAmend2&gt;</w:t>
      </w:r>
    </w:p>
    <w:p w:rsidR="00932D06" w:rsidRPr="00D57E36" w:rsidRDefault="00F25F2E" w:rsidP="00932D06">
      <w:r>
        <w:rPr>
          <w:rStyle w:val="HideTWBExt"/>
        </w:rPr>
        <w:t>&lt;Article2&gt;</w:t>
      </w:r>
      <w:r>
        <w:t>Articolul 12 d – alineatul 2 a – paragraful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Prin derogare de la primul paragraf</w:t>
            </w:r>
            <w:r>
              <w:rPr>
                <w:b/>
                <w:i/>
              </w:rPr>
              <w:t xml:space="preserve"> și în cazul în care acest lucru este necesar având</w:t>
            </w:r>
            <w:r>
              <w:t xml:space="preserve"> în </w:t>
            </w:r>
            <w:r>
              <w:rPr>
                <w:b/>
                <w:i/>
              </w:rPr>
              <w:t>vedere obiectivul de protejare</w:t>
            </w:r>
            <w:r>
              <w:t xml:space="preserve"> a </w:t>
            </w:r>
            <w:r>
              <w:rPr>
                <w:b/>
                <w:i/>
              </w:rPr>
              <w:t>stabilității financiare sau de limitare a contagiunii potențiale a sistemului financiar, comitetul poate stabili în mod excepțional cerința menționată</w:t>
            </w:r>
            <w:r>
              <w:t xml:space="preserve"> la articolul 12a </w:t>
            </w:r>
            <w:r>
              <w:t xml:space="preserve">alineatul (1) pentru entitățile destinate lichidării </w:t>
            </w:r>
            <w:r>
              <w:rPr>
                <w:b/>
                <w:i/>
              </w:rPr>
              <w:t>pe bază individuală, în cuantum</w:t>
            </w:r>
            <w:r>
              <w:t xml:space="preserve"> suficient pentru a absorbi pierderile în conformitate cu alineatul (2) litera (a) de la prezentul articol, </w:t>
            </w:r>
            <w:r>
              <w:rPr>
                <w:b/>
                <w:i/>
              </w:rPr>
              <w:t>majorată până la cuantumul care este necesar pentru îndeplinirea</w:t>
            </w:r>
            <w:r>
              <w:rPr>
                <w:b/>
                <w:i/>
              </w:rPr>
              <w:t xml:space="preserve"> obiectivelor menționate</w:t>
            </w:r>
            <w:r>
              <w:t>. În aceste cazuri, entitățile destinate lichidării trebuie să îndeplinească cerința menționată la articolul 12a alineatul (1) utilizând unul sau mai multe dintre următoarele elemente:</w:t>
            </w:r>
          </w:p>
        </w:tc>
        <w:tc>
          <w:tcPr>
            <w:tcW w:w="4876" w:type="dxa"/>
            <w:hideMark/>
          </w:tcPr>
          <w:p w:rsidR="00932D06" w:rsidRPr="00D57E36" w:rsidRDefault="00F25F2E">
            <w:pPr>
              <w:pStyle w:val="Normal6"/>
              <w:rPr>
                <w:szCs w:val="24"/>
              </w:rPr>
            </w:pPr>
            <w:r>
              <w:t>Prin derogare de la primul paragraf</w:t>
            </w:r>
            <w:r>
              <w:rPr>
                <w:b/>
                <w:i/>
              </w:rPr>
              <w:t xml:space="preserve">, comitetul </w:t>
            </w:r>
            <w:r>
              <w:rPr>
                <w:b/>
                <w:i/>
              </w:rPr>
              <w:t>determină dacă se justifică stabilirea</w:t>
            </w:r>
            <w:r>
              <w:t xml:space="preserve"> în </w:t>
            </w:r>
            <w:r>
              <w:rPr>
                <w:b/>
                <w:i/>
              </w:rPr>
              <w:t>mod individual</w:t>
            </w:r>
            <w:r>
              <w:t xml:space="preserve"> a </w:t>
            </w:r>
            <w:r>
              <w:rPr>
                <w:b/>
                <w:i/>
              </w:rPr>
              <w:t>cerinței menționate</w:t>
            </w:r>
            <w:r>
              <w:t xml:space="preserve"> la articolul 12a alineatul (1) pentru entitățile destinate lichidării </w:t>
            </w:r>
            <w:r>
              <w:rPr>
                <w:b/>
                <w:i/>
              </w:rPr>
              <w:t>într-un cuantum ce depășește cuantumul</w:t>
            </w:r>
            <w:r>
              <w:t xml:space="preserve"> suficient pentru a absorbi pierderile în conformitate cu alineatul (</w:t>
            </w:r>
            <w:r>
              <w:t>2) litera (a) de la prezentul articol</w:t>
            </w:r>
            <w:r>
              <w:rPr>
                <w:b/>
                <w:i/>
              </w:rPr>
              <w:t>. Analiza realizată de comitet examinează posibilele consecințe ale falimentului entității în cauză destinate lichidării și ține seama</w:t>
            </w:r>
            <w:r>
              <w:t xml:space="preserve">, </w:t>
            </w:r>
            <w:r>
              <w:rPr>
                <w:b/>
                <w:i/>
              </w:rPr>
              <w:t>în special, de toate eventualele efecte asupra stabilității financiare și asupra ri</w:t>
            </w:r>
            <w:r>
              <w:rPr>
                <w:b/>
                <w:i/>
              </w:rPr>
              <w:t>scului de contaminare a sistemului financiar</w:t>
            </w:r>
            <w:r>
              <w:t>. În aceste cazuri, entitățile destinate lichidării trebuie să îndeplinească cerința menționată la articolul 12a alineatul (1) utilizând unul sau mai multe dintre următoarele elemente:</w:t>
            </w:r>
          </w:p>
        </w:tc>
      </w:tr>
    </w:tbl>
    <w:p w:rsidR="00932D06" w:rsidRPr="00D57E36" w:rsidRDefault="00F25F2E" w:rsidP="00932D06">
      <w:pPr>
        <w:pStyle w:val="Olang"/>
        <w:rPr>
          <w:sz w:val="24"/>
          <w:szCs w:val="24"/>
        </w:rPr>
      </w:pPr>
      <w:r w:rsidRPr="00D57E36">
        <w:rPr>
          <w:sz w:val="24"/>
          <w:szCs w:val="24"/>
        </w:rPr>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w:t>
      </w:r>
      <w:r w:rsidRPr="00D57E36">
        <w:rPr>
          <w:rStyle w:val="HideTWBExt"/>
        </w:rPr>
        <w:t>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16</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Articolul 2 – paragraful 1 – punctul 2 – litera b</w:t>
      </w:r>
      <w:r>
        <w:rPr>
          <w:rStyle w:val="HideTWBExt"/>
          <w:b w:val="0"/>
        </w:rPr>
        <w:t>&lt;/Article&gt;</w:t>
      </w:r>
    </w:p>
    <w:p w:rsidR="00932D06" w:rsidRPr="00D57E36" w:rsidRDefault="00F25F2E" w:rsidP="00932D06">
      <w:pPr>
        <w:keepNext/>
      </w:pPr>
      <w:r>
        <w:rPr>
          <w:rStyle w:val="HideTWBExt"/>
        </w:rPr>
        <w:t>&lt;DocAmend2&gt;</w:t>
      </w:r>
      <w:r>
        <w:t>Regulamentul (UE) nr. 806/2014</w:t>
      </w:r>
      <w:r>
        <w:rPr>
          <w:rStyle w:val="HideTWBExt"/>
        </w:rPr>
        <w:t>&lt;/DocAmend2&gt;</w:t>
      </w:r>
    </w:p>
    <w:p w:rsidR="00932D06" w:rsidRPr="00D57E36" w:rsidRDefault="00F25F2E" w:rsidP="00932D06">
      <w:r>
        <w:rPr>
          <w:rStyle w:val="HideTWBExt"/>
        </w:rPr>
        <w:t>&lt;Article2&gt;</w:t>
      </w:r>
      <w:r>
        <w:t xml:space="preserve">Articolul 12 d – </w:t>
      </w:r>
      <w:r>
        <w:t>alineatul 2 a – paragraful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 xml:space="preserve">Deținerile de </w:t>
            </w:r>
            <w:r>
              <w:rPr>
                <w:b/>
                <w:i/>
              </w:rPr>
              <w:t>instrumente de fonduri proprii sau</w:t>
            </w:r>
            <w:r>
              <w:t xml:space="preserve"> de </w:t>
            </w:r>
            <w:r>
              <w:rPr>
                <w:b/>
                <w:i/>
              </w:rPr>
              <w:t>datorii</w:t>
            </w:r>
            <w:r>
              <w:t xml:space="preserve"> emise de filiale care sunt entități destinate lichidării pentru care autoritatea de rezoluție nu a stabilit cerința menționată la articolul 12a alineatul (1) nu se deduc în temeiul articolului 72e alineatul (5) din Regulamentul (UE) nr. 575/2013.</w:t>
            </w:r>
          </w:p>
        </w:tc>
        <w:tc>
          <w:tcPr>
            <w:tcW w:w="4876" w:type="dxa"/>
            <w:hideMark/>
          </w:tcPr>
          <w:p w:rsidR="00932D06" w:rsidRPr="00D57E36" w:rsidRDefault="00F25F2E">
            <w:pPr>
              <w:pStyle w:val="Normal6"/>
              <w:rPr>
                <w:szCs w:val="24"/>
              </w:rPr>
            </w:pPr>
            <w:r>
              <w:t>Dețineri</w:t>
            </w:r>
            <w:r>
              <w:t xml:space="preserve">le de </w:t>
            </w:r>
            <w:r>
              <w:rPr>
                <w:b/>
                <w:i/>
              </w:rPr>
              <w:t>datorii care nu pot fi calificate drept instrumente</w:t>
            </w:r>
            <w:r>
              <w:t xml:space="preserve"> de </w:t>
            </w:r>
            <w:r>
              <w:rPr>
                <w:b/>
                <w:i/>
              </w:rPr>
              <w:t>fonduri proprii</w:t>
            </w:r>
            <w:r>
              <w:t xml:space="preserve"> emise de filiale care sunt entități destinate lichidării pentru care autoritatea de rezoluție nu a stabilit cerința menționată la articolul 12a alineatul (1) nu se deduc în temeiu</w:t>
            </w:r>
            <w:r>
              <w:t>l articolului 72e alineatul (5) din Regulamentul (UE) nr. 575/2013.</w:t>
            </w:r>
          </w:p>
        </w:tc>
      </w:tr>
    </w:tbl>
    <w:p w:rsidR="00932D06" w:rsidRPr="00D57E36" w:rsidRDefault="00F25F2E" w:rsidP="00932D06">
      <w:pPr>
        <w:pStyle w:val="Olang"/>
        <w:rPr>
          <w:sz w:val="24"/>
          <w:szCs w:val="24"/>
        </w:rPr>
      </w:pPr>
      <w:r w:rsidRPr="00D57E36">
        <w:rPr>
          <w:sz w:val="24"/>
          <w:szCs w:val="24"/>
        </w:rPr>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17</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Articolul 2 – paragraful 1 – punctul 3 – litera a</w:t>
      </w:r>
      <w:r>
        <w:rPr>
          <w:rStyle w:val="HideTWBExt"/>
          <w:b w:val="0"/>
        </w:rPr>
        <w:t>&lt;/Article&gt;</w:t>
      </w:r>
    </w:p>
    <w:p w:rsidR="00932D06" w:rsidRPr="00D57E36" w:rsidRDefault="00F25F2E" w:rsidP="00932D06">
      <w:pPr>
        <w:keepNext/>
      </w:pPr>
      <w:r>
        <w:rPr>
          <w:rStyle w:val="HideTWBExt"/>
        </w:rPr>
        <w:lastRenderedPageBreak/>
        <w:t>&lt;DocAmend2&gt;</w:t>
      </w:r>
      <w:r>
        <w:t>Regulamentul (UE) nr. 806/2014</w:t>
      </w:r>
      <w:r>
        <w:rPr>
          <w:rStyle w:val="HideTWBExt"/>
        </w:rPr>
        <w:t>&lt;/DocAmend2&gt;</w:t>
      </w:r>
    </w:p>
    <w:p w:rsidR="00932D06" w:rsidRPr="00D57E36" w:rsidRDefault="00F25F2E" w:rsidP="00932D06">
      <w:r>
        <w:rPr>
          <w:rStyle w:val="HideTWBExt"/>
        </w:rPr>
        <w:t>&lt;Article2&gt;</w:t>
      </w:r>
      <w:r>
        <w:t>Articolul 12 g – alineatul 1 – paragraful 3 a – litera a – punctul ii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(ii)</w:t>
            </w:r>
            <w:r>
              <w:tab/>
              <w:t>filiala face obiectul cerinței menționate la articolul</w:t>
            </w:r>
            <w:r>
              <w:t xml:space="preserve"> 104a din Directiva 2013/36/UE </w:t>
            </w:r>
            <w:r>
              <w:rPr>
                <w:b/>
                <w:i/>
              </w:rPr>
              <w:t>sau al cerinței amortizorului combinat</w:t>
            </w:r>
            <w:r>
              <w:t xml:space="preserve"> pe bază consolidată;</w:t>
            </w:r>
          </w:p>
        </w:tc>
        <w:tc>
          <w:tcPr>
            <w:tcW w:w="4876" w:type="dxa"/>
            <w:hideMark/>
          </w:tcPr>
          <w:p w:rsidR="00932D06" w:rsidRPr="00D57E36" w:rsidRDefault="00F25F2E">
            <w:pPr>
              <w:pStyle w:val="Normal6"/>
              <w:rPr>
                <w:szCs w:val="24"/>
              </w:rPr>
            </w:pPr>
            <w:r>
              <w:t>(ii)</w:t>
            </w:r>
            <w:r>
              <w:tab/>
              <w:t xml:space="preserve">filiala face obiectul cerinței menționate la articolul 104a din Directiva 2013/36/UE </w:t>
            </w:r>
            <w:r>
              <w:rPr>
                <w:b/>
                <w:i/>
              </w:rPr>
              <w:t>exclusiv</w:t>
            </w:r>
            <w:r>
              <w:t xml:space="preserve"> pe bază consolidată;</w:t>
            </w:r>
          </w:p>
        </w:tc>
      </w:tr>
    </w:tbl>
    <w:p w:rsidR="00932D06" w:rsidRPr="00D57E36" w:rsidRDefault="00F25F2E" w:rsidP="00932D06">
      <w:pPr>
        <w:pStyle w:val="Olang"/>
        <w:rPr>
          <w:sz w:val="24"/>
          <w:szCs w:val="24"/>
        </w:rPr>
      </w:pPr>
      <w:r w:rsidRPr="00D57E36">
        <w:rPr>
          <w:sz w:val="24"/>
          <w:szCs w:val="24"/>
        </w:rPr>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18</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Articolul 2 – paragraful 1 – punctul 3 – litera a</w:t>
      </w:r>
      <w:r>
        <w:rPr>
          <w:rStyle w:val="HideTWBExt"/>
          <w:b w:val="0"/>
        </w:rPr>
        <w:t>&lt;/Article&gt;</w:t>
      </w:r>
    </w:p>
    <w:p w:rsidR="00932D06" w:rsidRPr="00D57E36" w:rsidRDefault="00F25F2E" w:rsidP="00932D06">
      <w:pPr>
        <w:keepNext/>
      </w:pPr>
      <w:r>
        <w:rPr>
          <w:rStyle w:val="HideTWBExt"/>
        </w:rPr>
        <w:t>&lt;DocAmend2&gt;</w:t>
      </w:r>
      <w:r>
        <w:t>Regulamentul (UE) nr. 806/2014</w:t>
      </w:r>
      <w:r>
        <w:rPr>
          <w:rStyle w:val="HideTWBExt"/>
        </w:rPr>
        <w:t>&lt;/DocAmend2&gt;</w:t>
      </w:r>
    </w:p>
    <w:p w:rsidR="00932D06" w:rsidRPr="00D57E36" w:rsidRDefault="00F25F2E" w:rsidP="00932D06">
      <w:r>
        <w:rPr>
          <w:rStyle w:val="HideTWBExt"/>
        </w:rPr>
        <w:t>&lt;Article2&gt;</w:t>
      </w:r>
      <w:r>
        <w:t>Articolul 12 g – alineatul 1 – paragrafu</w:t>
      </w:r>
      <w:r>
        <w:t>l 3 a – litera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(b)</w:t>
            </w:r>
            <w:r>
              <w:tab/>
              <w:t xml:space="preserve">respectarea cerinței prevăzute la articolul 12d pe bază consolidată nu afectează în mod negativ </w:t>
            </w:r>
            <w:r>
              <w:rPr>
                <w:b/>
                <w:i/>
              </w:rPr>
              <w:t xml:space="preserve">și semnificativ </w:t>
            </w:r>
            <w:r>
              <w:t xml:space="preserve">posibilitatea de soluționare a grupului de rezoluție sau reducerea </w:t>
            </w:r>
            <w:r>
              <w:t>valorii contabile sau conversia, în conformitate cu articolul 21, a instrumentelor de capital și a datoriilor eligibile relevante ale instituției sau ale filialei în cauză sau ale altor entități din grupul de rezoluție</w:t>
            </w:r>
            <w:r>
              <w:rPr>
                <w:b/>
                <w:i/>
              </w:rPr>
              <w:t>.</w:t>
            </w:r>
          </w:p>
        </w:tc>
        <w:tc>
          <w:tcPr>
            <w:tcW w:w="4876" w:type="dxa"/>
            <w:hideMark/>
          </w:tcPr>
          <w:p w:rsidR="00932D06" w:rsidRPr="00D57E36" w:rsidRDefault="00F25F2E">
            <w:pPr>
              <w:pStyle w:val="Normal6"/>
              <w:rPr>
                <w:szCs w:val="24"/>
              </w:rPr>
            </w:pPr>
            <w:r>
              <w:t>(b)</w:t>
            </w:r>
            <w:r>
              <w:tab/>
              <w:t>respectarea cerinței prevăzute l</w:t>
            </w:r>
            <w:r>
              <w:t>a articolul 12d pe bază consolidată nu afectează în mod negativ posibilitatea de soluționare a grupului de rezoluție sau reducerea valorii contabile sau conversia, în conformitate cu articolul 21, a instrumentelor de capital și a datoriilor eligibile relev</w:t>
            </w:r>
            <w:r>
              <w:t>ante ale instituției sau ale filialei în cauză sau ale altor entități din grupul de rezoluție.</w:t>
            </w:r>
          </w:p>
        </w:tc>
      </w:tr>
    </w:tbl>
    <w:p w:rsidR="00932D06" w:rsidRPr="00D57E36" w:rsidRDefault="00F25F2E" w:rsidP="00932D06">
      <w:pPr>
        <w:pStyle w:val="Olang"/>
        <w:rPr>
          <w:sz w:val="24"/>
          <w:szCs w:val="24"/>
        </w:rPr>
      </w:pPr>
      <w:r w:rsidRPr="00D57E36">
        <w:rPr>
          <w:sz w:val="24"/>
          <w:szCs w:val="24"/>
        </w:rPr>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932D06" w:rsidRPr="00D57E36" w:rsidRDefault="00F25F2E" w:rsidP="00932D06">
      <w:pPr>
        <w:rPr>
          <w:szCs w:val="24"/>
        </w:rPr>
      </w:pPr>
      <w:r>
        <w:rPr>
          <w:rStyle w:val="HideTWBExt"/>
        </w:rPr>
        <w:t>&lt;/Amend&gt;</w:t>
      </w:r>
    </w:p>
    <w:p w:rsidR="00932D06" w:rsidRPr="00D57E36" w:rsidRDefault="00F25F2E" w:rsidP="00932D06">
      <w:pPr>
        <w:pStyle w:val="AMNumberTabs0"/>
        <w:keepNext/>
      </w:pPr>
      <w:r>
        <w:rPr>
          <w:rStyle w:val="HideTWBExt"/>
          <w:b w:val="0"/>
        </w:rPr>
        <w:t>&lt;Amend&gt;</w:t>
      </w:r>
      <w:r>
        <w:t>Amendamentul</w:t>
      </w:r>
      <w:r>
        <w:tab/>
      </w:r>
      <w:r>
        <w:tab/>
      </w:r>
      <w:r>
        <w:rPr>
          <w:rStyle w:val="HideTWBExt"/>
          <w:b w:val="0"/>
        </w:rPr>
        <w:t>&lt;NumAm&gt;</w:t>
      </w:r>
      <w:r>
        <w:t>19</w:t>
      </w:r>
      <w:r>
        <w:rPr>
          <w:rStyle w:val="HideTWBExt"/>
          <w:b w:val="0"/>
        </w:rPr>
        <w:t>&lt;/NumAm&gt;</w:t>
      </w:r>
    </w:p>
    <w:p w:rsidR="00932D06" w:rsidRPr="00D57E36" w:rsidRDefault="00F25F2E" w:rsidP="00932D06">
      <w:pPr>
        <w:pStyle w:val="NormalBold12b"/>
        <w:keepNext/>
      </w:pPr>
      <w:r>
        <w:rPr>
          <w:rStyle w:val="HideTWBExt"/>
          <w:b w:val="0"/>
        </w:rPr>
        <w:t>&lt;DocAmend&gt;</w:t>
      </w:r>
      <w:r>
        <w:t>Propunere de directivă</w:t>
      </w:r>
      <w:r>
        <w:rPr>
          <w:rStyle w:val="HideTWBExt"/>
          <w:b w:val="0"/>
        </w:rPr>
        <w:t>&lt;/DocAmend&gt;</w:t>
      </w:r>
    </w:p>
    <w:p w:rsidR="00932D06" w:rsidRPr="00D57E36" w:rsidRDefault="00F25F2E" w:rsidP="00932D06">
      <w:pPr>
        <w:pStyle w:val="NormalBold"/>
      </w:pPr>
      <w:r>
        <w:rPr>
          <w:rStyle w:val="HideTWBExt"/>
          <w:b w:val="0"/>
        </w:rPr>
        <w:t>&lt;Article&gt;</w:t>
      </w:r>
      <w:r>
        <w:t xml:space="preserve">Articolul 2 – paragraful 1 </w:t>
      </w:r>
      <w:r>
        <w:t>– punctul 3 – litera b</w:t>
      </w:r>
      <w:r>
        <w:rPr>
          <w:rStyle w:val="HideTWBExt"/>
          <w:b w:val="0"/>
        </w:rPr>
        <w:t>&lt;/Article&gt;</w:t>
      </w:r>
    </w:p>
    <w:p w:rsidR="00932D06" w:rsidRPr="00D57E36" w:rsidRDefault="00F25F2E" w:rsidP="00932D06">
      <w:pPr>
        <w:keepNext/>
      </w:pPr>
      <w:r>
        <w:rPr>
          <w:rStyle w:val="HideTWBExt"/>
        </w:rPr>
        <w:t>&lt;DocAmend2&gt;</w:t>
      </w:r>
      <w:r>
        <w:t>Regulamentul (UE) nr. 806/2014</w:t>
      </w:r>
      <w:r>
        <w:rPr>
          <w:rStyle w:val="HideTWBExt"/>
        </w:rPr>
        <w:t>&lt;/DocAmend2&gt;</w:t>
      </w:r>
    </w:p>
    <w:p w:rsidR="00932D06" w:rsidRPr="00D57E36" w:rsidRDefault="00F25F2E" w:rsidP="00932D06">
      <w:r>
        <w:rPr>
          <w:rStyle w:val="HideTWBExt"/>
        </w:rPr>
        <w:t>&lt;Article2&gt;</w:t>
      </w:r>
      <w:r>
        <w:t>Articolul 12 g – alineatul 2 a – paragraful 2 – partea introductivă</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7B41" w:rsidTr="00932D06">
        <w:trPr>
          <w:jc w:val="center"/>
        </w:trPr>
        <w:tc>
          <w:tcPr>
            <w:tcW w:w="9752" w:type="dxa"/>
            <w:gridSpan w:val="2"/>
          </w:tcPr>
          <w:p w:rsidR="00932D06" w:rsidRPr="00D57E36" w:rsidRDefault="00932D06">
            <w:pPr>
              <w:keepNext/>
            </w:pPr>
          </w:p>
        </w:tc>
      </w:tr>
      <w:tr w:rsidR="00E77B41" w:rsidTr="00932D06">
        <w:trPr>
          <w:jc w:val="center"/>
        </w:trPr>
        <w:tc>
          <w:tcPr>
            <w:tcW w:w="4876" w:type="dxa"/>
            <w:hideMark/>
          </w:tcPr>
          <w:p w:rsidR="00932D06" w:rsidRPr="00D57E36" w:rsidRDefault="00F25F2E">
            <w:pPr>
              <w:pStyle w:val="ColumnHeading"/>
              <w:keepNext/>
            </w:pPr>
            <w:r>
              <w:t>Textul propus de Comisie</w:t>
            </w:r>
          </w:p>
        </w:tc>
        <w:tc>
          <w:tcPr>
            <w:tcW w:w="4876" w:type="dxa"/>
            <w:hideMark/>
          </w:tcPr>
          <w:p w:rsidR="00932D06" w:rsidRPr="00D57E36" w:rsidRDefault="00F25F2E">
            <w:pPr>
              <w:pStyle w:val="ColumnHeading"/>
              <w:keepNext/>
            </w:pPr>
            <w:r>
              <w:t>Amendamentul</w:t>
            </w:r>
          </w:p>
        </w:tc>
      </w:tr>
      <w:tr w:rsidR="00E77B41" w:rsidTr="00932D06">
        <w:trPr>
          <w:jc w:val="center"/>
        </w:trPr>
        <w:tc>
          <w:tcPr>
            <w:tcW w:w="4876" w:type="dxa"/>
            <w:hideMark/>
          </w:tcPr>
          <w:p w:rsidR="00932D06" w:rsidRPr="00D57E36" w:rsidRDefault="00F25F2E">
            <w:pPr>
              <w:pStyle w:val="Normal6"/>
            </w:pPr>
            <w:r>
              <w:t>Datoriile menționate la primul paragraf</w:t>
            </w:r>
            <w:r>
              <w:t xml:space="preserve"> literele (a) și (b) nu trebuie să depășească cuantumul determinat prin scăderea din cuantumul cerinței menționate la articolul </w:t>
            </w:r>
            <w:r>
              <w:rPr>
                <w:b/>
                <w:i/>
              </w:rPr>
              <w:t>45</w:t>
            </w:r>
            <w:r>
              <w:t xml:space="preserve"> alineatul (1) aplicabile filialei incluse în perimetrul de consolidare a </w:t>
            </w:r>
            <w:r>
              <w:lastRenderedPageBreak/>
              <w:t>sumei tuturor elementelor următoare:</w:t>
            </w:r>
          </w:p>
        </w:tc>
        <w:tc>
          <w:tcPr>
            <w:tcW w:w="4876" w:type="dxa"/>
            <w:hideMark/>
          </w:tcPr>
          <w:p w:rsidR="00932D06" w:rsidRPr="00D57E36" w:rsidRDefault="00F25F2E">
            <w:pPr>
              <w:pStyle w:val="Normal6"/>
              <w:rPr>
                <w:szCs w:val="24"/>
              </w:rPr>
            </w:pPr>
            <w:r>
              <w:lastRenderedPageBreak/>
              <w:t>Datoriile menți</w:t>
            </w:r>
            <w:r>
              <w:t>onate la primul paragraf literele (a) și (b) nu trebuie să depășească cuantumul determinat prin scăderea din cuantumul cerinței menționate la articolul </w:t>
            </w:r>
            <w:r>
              <w:rPr>
                <w:b/>
                <w:i/>
              </w:rPr>
              <w:t>12</w:t>
            </w:r>
            <w:r>
              <w:t xml:space="preserve"> alineatul (1) aplicabile filialei incluse în perimetrul de consolidare a </w:t>
            </w:r>
            <w:r>
              <w:lastRenderedPageBreak/>
              <w:t>sumei tuturor elementelor ur</w:t>
            </w:r>
            <w:r>
              <w:t>mătoare:</w:t>
            </w:r>
          </w:p>
        </w:tc>
      </w:tr>
    </w:tbl>
    <w:p w:rsidR="00932D06" w:rsidRPr="00D57E36" w:rsidRDefault="00F25F2E" w:rsidP="00932D06">
      <w:pPr>
        <w:pStyle w:val="Olang"/>
        <w:rPr>
          <w:sz w:val="24"/>
          <w:szCs w:val="24"/>
        </w:rPr>
      </w:pPr>
      <w:r w:rsidRPr="00D57E36">
        <w:rPr>
          <w:sz w:val="24"/>
          <w:szCs w:val="24"/>
        </w:rPr>
        <w:lastRenderedPageBreak/>
        <w:t xml:space="preserve">Or. </w:t>
      </w:r>
      <w:r w:rsidRPr="00D57E36">
        <w:rPr>
          <w:rStyle w:val="HideTWBExt"/>
        </w:rPr>
        <w:t>&lt;Original&gt;</w:t>
      </w:r>
      <w:r w:rsidRPr="00D57E36">
        <w:rPr>
          <w:rStyle w:val="HideTWBInt"/>
          <w:sz w:val="24"/>
          <w:szCs w:val="24"/>
        </w:rPr>
        <w:t>{EN}</w:t>
      </w:r>
      <w:r w:rsidRPr="00D57E36">
        <w:rPr>
          <w:sz w:val="24"/>
          <w:szCs w:val="24"/>
        </w:rPr>
        <w:t>en</w:t>
      </w:r>
      <w:r w:rsidRPr="00D57E36">
        <w:rPr>
          <w:rStyle w:val="HideTWBExt"/>
        </w:rPr>
        <w:t>&lt;/Original&gt;</w:t>
      </w:r>
    </w:p>
    <w:p w:rsidR="00467F7B" w:rsidRPr="00D57E36" w:rsidRDefault="00F25F2E" w:rsidP="00467F7B">
      <w:r>
        <w:rPr>
          <w:rStyle w:val="HideTWBExt"/>
        </w:rPr>
        <w:t>&lt;/Amend&gt;</w:t>
      </w:r>
    </w:p>
    <w:p w:rsidR="002669B6" w:rsidRPr="00D57E36" w:rsidRDefault="00F25F2E" w:rsidP="002669B6">
      <w:r>
        <w:rPr>
          <w:rStyle w:val="HideTWBExt"/>
        </w:rPr>
        <w:t>&lt;/RepeatBlock-Amend&gt;</w:t>
      </w:r>
    </w:p>
    <w:p w:rsidR="002669B6" w:rsidRPr="00D57E36" w:rsidRDefault="002669B6" w:rsidP="002669B6"/>
    <w:sectPr w:rsidR="002669B6" w:rsidRPr="00D57E36" w:rsidSect="000818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25F2E">
      <w:r>
        <w:separator/>
      </w:r>
    </w:p>
  </w:endnote>
  <w:endnote w:type="continuationSeparator" w:id="0">
    <w:p w:rsidR="00000000" w:rsidRDefault="00F25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881" w:rsidRPr="00D57E36" w:rsidRDefault="00F25F2E" w:rsidP="00081881">
    <w:pPr>
      <w:pStyle w:val="EPFooter"/>
    </w:pPr>
    <w:r w:rsidRPr="00D57E36">
      <w:t>PE</w:t>
    </w:r>
    <w:r w:rsidRPr="00D57E36">
      <w:rPr>
        <w:rStyle w:val="HideTWBExt"/>
      </w:rPr>
      <w:t>&lt;NoPE&gt;</w:t>
    </w:r>
    <w:r w:rsidRPr="00D57E36">
      <w:t>752.913</w:t>
    </w:r>
    <w:r w:rsidRPr="00D57E36">
      <w:rPr>
        <w:rStyle w:val="HideTWBExt"/>
      </w:rPr>
      <w:t>&lt;/NoPE&gt;&lt;Version&gt;</w:t>
    </w:r>
    <w:r w:rsidRPr="00D57E36">
      <w:t>v01-00</w:t>
    </w:r>
    <w:r w:rsidRPr="00D57E36">
      <w:rPr>
        <w:rStyle w:val="HideTWBExt"/>
      </w:rPr>
      <w:t>&lt;/Version&gt;</w:t>
    </w:r>
    <w:r w:rsidRPr="00D57E36">
      <w:tab/>
    </w:r>
    <w:r w:rsidRPr="00D57E36">
      <w:fldChar w:fldCharType="begin"/>
    </w:r>
    <w:r w:rsidRPr="00D57E36">
      <w:instrText xml:space="preserve"> PAGE  \* MERGEFORMAT </w:instrText>
    </w:r>
    <w:r w:rsidRPr="00D57E36">
      <w:fldChar w:fldCharType="separate"/>
    </w:r>
    <w:r>
      <w:rPr>
        <w:noProof/>
      </w:rPr>
      <w:t>2</w:t>
    </w:r>
    <w:r w:rsidRPr="00D57E36">
      <w:fldChar w:fldCharType="end"/>
    </w:r>
    <w:r w:rsidRPr="00D57E36">
      <w:t>/</w:t>
    </w:r>
    <w:r w:rsidR="00AF3962">
      <w:fldChar w:fldCharType="begin"/>
    </w:r>
    <w:r>
      <w:instrText xml:space="preserve"> NUMPAGES  \* MERGEFORMAT </w:instrText>
    </w:r>
    <w:r w:rsidR="00AF3962">
      <w:fldChar w:fldCharType="separate"/>
    </w:r>
    <w:r>
      <w:rPr>
        <w:noProof/>
      </w:rPr>
      <w:t>20</w:t>
    </w:r>
    <w:r w:rsidR="00AF3962">
      <w:rPr>
        <w:noProof/>
      </w:rPr>
      <w:fldChar w:fldCharType="end"/>
    </w:r>
    <w:r w:rsidRPr="00D57E36">
      <w:tab/>
    </w:r>
    <w:r w:rsidRPr="00D57E36">
      <w:rPr>
        <w:rStyle w:val="HideTWBExt"/>
      </w:rPr>
      <w:t>&lt;PathFdR&gt;</w:t>
    </w:r>
    <w:r w:rsidRPr="00D57E36">
      <w:t>PR\1285454RO.docx</w:t>
    </w:r>
    <w:r w:rsidRPr="00D57E36">
      <w:rPr>
        <w:rStyle w:val="HideTWBExt"/>
      </w:rPr>
      <w:t>&lt;/PathFdR&gt;</w:t>
    </w:r>
  </w:p>
  <w:p w:rsidR="0048211B" w:rsidRPr="00D57E36" w:rsidRDefault="00F25F2E" w:rsidP="00081881">
    <w:pPr>
      <w:pStyle w:val="EPFooter2"/>
    </w:pPr>
    <w:r w:rsidRPr="00D57E36">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881" w:rsidRPr="00D57E36" w:rsidRDefault="00F25F2E" w:rsidP="00081881">
    <w:pPr>
      <w:pStyle w:val="EPFooter"/>
    </w:pPr>
    <w:r w:rsidRPr="00D57E36">
      <w:rPr>
        <w:rStyle w:val="HideTWBExt"/>
      </w:rPr>
      <w:t>&lt;PathFdR&gt;</w:t>
    </w:r>
    <w:r w:rsidRPr="00D57E36">
      <w:t>PR\1285454RO.docx</w:t>
    </w:r>
    <w:r w:rsidRPr="00D57E36">
      <w:rPr>
        <w:rStyle w:val="HideTWBExt"/>
      </w:rPr>
      <w:t>&lt;/PathFdR&gt;</w:t>
    </w:r>
    <w:r w:rsidRPr="00D57E36">
      <w:tab/>
    </w:r>
    <w:r w:rsidRPr="00D57E36">
      <w:fldChar w:fldCharType="begin"/>
    </w:r>
    <w:r w:rsidRPr="00D57E36">
      <w:instrText xml:space="preserve"> PAGE  \* MERGEFORMAT </w:instrText>
    </w:r>
    <w:r w:rsidRPr="00D57E36">
      <w:fldChar w:fldCharType="separate"/>
    </w:r>
    <w:r>
      <w:rPr>
        <w:noProof/>
      </w:rPr>
      <w:t>19</w:t>
    </w:r>
    <w:r w:rsidRPr="00D57E36">
      <w:fldChar w:fldCharType="end"/>
    </w:r>
    <w:r w:rsidRPr="00D57E36">
      <w:t>/</w:t>
    </w:r>
    <w:r w:rsidR="00AF3962">
      <w:fldChar w:fldCharType="begin"/>
    </w:r>
    <w:r>
      <w:instrText xml:space="preserve"> NUMPAGES  \* MERGEFORMAT </w:instrText>
    </w:r>
    <w:r w:rsidR="00AF3962">
      <w:fldChar w:fldCharType="separate"/>
    </w:r>
    <w:r>
      <w:rPr>
        <w:noProof/>
      </w:rPr>
      <w:t>20</w:t>
    </w:r>
    <w:r w:rsidR="00AF3962">
      <w:rPr>
        <w:noProof/>
      </w:rPr>
      <w:fldChar w:fldCharType="end"/>
    </w:r>
    <w:r w:rsidRPr="00D57E36">
      <w:tab/>
      <w:t>PE</w:t>
    </w:r>
    <w:r w:rsidRPr="00D57E36">
      <w:rPr>
        <w:rStyle w:val="HideTWBExt"/>
      </w:rPr>
      <w:t>&lt;NoPE&gt;</w:t>
    </w:r>
    <w:r w:rsidRPr="00D57E36">
      <w:t>752.913</w:t>
    </w:r>
    <w:r w:rsidRPr="00D57E36">
      <w:rPr>
        <w:rStyle w:val="HideTWBExt"/>
      </w:rPr>
      <w:t>&lt;/NoPE&gt;&lt;Version&gt;</w:t>
    </w:r>
    <w:r w:rsidRPr="00D57E36">
      <w:t>v01-00</w:t>
    </w:r>
    <w:r w:rsidRPr="00D57E36">
      <w:rPr>
        <w:rStyle w:val="HideTWBExt"/>
      </w:rPr>
      <w:t>&lt;/Version&gt;</w:t>
    </w:r>
  </w:p>
  <w:p w:rsidR="0048211B" w:rsidRPr="00D57E36" w:rsidRDefault="00F25F2E" w:rsidP="00081881">
    <w:pPr>
      <w:pStyle w:val="EPFooter2"/>
    </w:pPr>
    <w:r w:rsidRPr="00D57E36">
      <w:tab/>
    </w:r>
    <w:r w:rsidRPr="00D57E36">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1881" w:rsidRPr="00D57E36" w:rsidRDefault="00F25F2E" w:rsidP="00081881">
    <w:pPr>
      <w:pStyle w:val="EPFooter"/>
    </w:pPr>
    <w:r w:rsidRPr="00D57E36">
      <w:rPr>
        <w:rStyle w:val="HideTWBExt"/>
      </w:rPr>
      <w:t>&lt;PathFdR&gt;</w:t>
    </w:r>
    <w:r w:rsidRPr="00D57E36">
      <w:t>PR\1285454RO.docx</w:t>
    </w:r>
    <w:r w:rsidRPr="00D57E36">
      <w:rPr>
        <w:rStyle w:val="HideTWBExt"/>
      </w:rPr>
      <w:t>&lt;/PathFdR&gt;</w:t>
    </w:r>
    <w:r w:rsidRPr="00D57E36">
      <w:tab/>
    </w:r>
    <w:r w:rsidRPr="00D57E36">
      <w:tab/>
      <w:t>PE</w:t>
    </w:r>
    <w:r w:rsidRPr="00D57E36">
      <w:rPr>
        <w:rStyle w:val="HideTWBExt"/>
      </w:rPr>
      <w:t>&lt;NoPE&gt;</w:t>
    </w:r>
    <w:r w:rsidRPr="00D57E36">
      <w:t>752.913</w:t>
    </w:r>
    <w:r w:rsidRPr="00D57E36">
      <w:rPr>
        <w:rStyle w:val="HideTWBExt"/>
      </w:rPr>
      <w:t>&lt;/NoPE&gt;&lt;Versi</w:t>
    </w:r>
    <w:r w:rsidRPr="00D57E36">
      <w:rPr>
        <w:rStyle w:val="HideTWBExt"/>
      </w:rPr>
      <w:t>on&gt;</w:t>
    </w:r>
    <w:r w:rsidRPr="00D57E36">
      <w:t>v01-00</w:t>
    </w:r>
    <w:r w:rsidRPr="00D57E36">
      <w:rPr>
        <w:rStyle w:val="HideTWBExt"/>
      </w:rPr>
      <w:t>&lt;/Version&gt;</w:t>
    </w:r>
  </w:p>
  <w:p w:rsidR="0048211B" w:rsidRPr="00D57E36" w:rsidRDefault="00F25F2E" w:rsidP="00081881">
    <w:pPr>
      <w:pStyle w:val="EPFooter2"/>
    </w:pPr>
    <w:r w:rsidRPr="00D57E36">
      <w:t>RO</w:t>
    </w:r>
    <w:r w:rsidRPr="00D57E36">
      <w:tab/>
    </w:r>
    <w:r w:rsidRPr="00D57E36">
      <w:rPr>
        <w:b w:val="0"/>
        <w:i/>
        <w:color w:val="C0C0C0"/>
        <w:sz w:val="22"/>
      </w:rPr>
      <w:t>Unită în diversitate</w:t>
    </w:r>
    <w:r w:rsidRPr="00D57E36">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11B" w:rsidRPr="00D57E36" w:rsidRDefault="00F25F2E">
      <w:r w:rsidRPr="00D57E36">
        <w:separator/>
      </w:r>
    </w:p>
  </w:footnote>
  <w:footnote w:type="continuationSeparator" w:id="0">
    <w:p w:rsidR="0048211B" w:rsidRPr="00D57E36" w:rsidRDefault="00F25F2E">
      <w:r w:rsidRPr="00D57E36">
        <w:continuationSeparator/>
      </w:r>
    </w:p>
  </w:footnote>
  <w:footnote w:id="1">
    <w:p w:rsidR="0048211B" w:rsidRPr="00D57E36" w:rsidRDefault="00F25F2E">
      <w:pPr>
        <w:pStyle w:val="FootnoteText"/>
        <w:rPr>
          <w:sz w:val="24"/>
          <w:szCs w:val="24"/>
        </w:rPr>
      </w:pPr>
      <w:r>
        <w:rPr>
          <w:rStyle w:val="FootnoteReference"/>
          <w:sz w:val="24"/>
          <w:szCs w:val="24"/>
        </w:rPr>
        <w:footnoteRef/>
      </w:r>
      <w:r>
        <w:rPr>
          <w:sz w:val="24"/>
        </w:rPr>
        <w:t xml:space="preserve"> </w:t>
      </w:r>
      <w:r>
        <w:rPr>
          <w:sz w:val="24"/>
        </w:rPr>
        <w:tab/>
        <w:t>JO C 307, 31.8.2023, p. 19.</w:t>
      </w:r>
    </w:p>
  </w:footnote>
  <w:footnote w:id="2">
    <w:p w:rsidR="0048211B" w:rsidRPr="00D57E36" w:rsidRDefault="00F25F2E">
      <w:pPr>
        <w:pStyle w:val="FootnoteText"/>
      </w:pPr>
      <w:r>
        <w:rPr>
          <w:rStyle w:val="FootnoteReference"/>
          <w:sz w:val="24"/>
          <w:szCs w:val="24"/>
        </w:rPr>
        <w:footnoteRef/>
      </w:r>
      <w:r>
        <w:t xml:space="preserve"> </w:t>
      </w:r>
      <w:r>
        <w:tab/>
      </w:r>
      <w:r>
        <w:rPr>
          <w:sz w:val="24"/>
        </w:rPr>
        <w:t>Nepublicat încă în Jurnalul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962" w:rsidRDefault="00AF39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962" w:rsidRDefault="00AF39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962" w:rsidRDefault="00AF39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CON"/>
    <w:docVar w:name="CopyToNetwork" w:val="-1"/>
    <w:docVar w:name="CVar" w:val="2"/>
    <w:docVar w:name="DOCMNU" w:val=" 2"/>
    <w:docVar w:name="EPOJMNU" w:val=" 3"/>
    <w:docVar w:name="EPSTATMNU" w:val=" 1"/>
    <w:docVar w:name="EPSTATPLURMNU" w:val=" 1"/>
    <w:docVar w:name="iNoAmend" w:val="2"/>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8872 HideTWBExt;}{\*\cs18 \additive \v\f1\fs20\cf15 _x000d__x000a_\spriority0 \styrsid16658872 HideTWBInt;}{\s19\ql \li0\ri0\sa120\nowidctlpar\wrapdefault\aspalpha\aspnum\faauto\adjustright\rin0\lin0\itap0 \rtlch\fcs1 \af0\afs20\alang1025 \ltrch\fcs0 \fs24\lang2057\langfe2057\cgrid\langnp2057\langfenp2057 _x000d__x000a_\sbasedon0 \snext19 \spriority0 \styrsid16658872 Normal6a;}{\s20\ql \li0\ri0\nowidctlpar\wrapdefault\aspalpha\aspnum\faauto\adjustright\rin0\lin0\itap0 \rtlch\fcs1 \af0\afs20\alang1025 \ltrch\fcs0 \b\fs24\lang2057\langfe2057\cgrid\langnp2057\langfenp2057 _x000d__x000a_\sbasedon0 \snext20 \spriority0 \styrsid16658872 NormalBold;}{\s21\ql \li0\ri0\sa240\nowidctlpar\wrapdefault\aspalpha\aspnum\faauto\adjustright\rin0\lin0\itap0 \rtlch\fcs1 \af0\afs20\alang1025 \ltrch\fcs0 _x000d__x000a_\i\fs24\lang2057\langfe2057\cgrid\langnp2057\langfenp2057 \sbasedon0 \snext21 \spriority0 \styrsid16658872 AmJustText;}{\s22\qc \li0\ri0\sb240\sa240\nowidctlpar\wrapdefault\aspalpha\aspnum\faauto\adjustright\rin0\lin0\itap0 \rtlch\fcs1 _x000d__x000a_\af0\afs20\alang1025 \ltrch\fcs0 \i\fs24\lang2057\langfe2057\cgrid\langnp2057\langfenp2057 \sbasedon0 \snext22 \spriority0 \styrsid16658872 AmCrossRef;}{_x000d__x000a_\s23\qc \li0\ri0\sb240\sa240\keepn\nowidctlpar\wrapdefault\aspalpha\aspnum\faauto\adjustright\rin0\lin0\itap0 \rtlch\fcs1 \af0\afs20\alang1025 \ltrch\fcs0 \i\fs24\lang2057\langfe2057\cgrid\langnp2057\langfenp2057 _x000d__x000a_\sbasedon0 \snext21 \spriority0 \styrsid16658872 AmJustTitle;}{\s24\qr \li0\ri0\sb240\sa240\nowidctlpar\wrapdefault\aspalpha\aspnum\faauto\adjustright\rin0\lin0\itap0 \rtlch\fcs1 \af0\afs20\alang1025 \ltrch\fcs0 _x000d__x000a_\fs24\lang2057\langfe2057\cgrid\langnp2057\langfenp2057 \sbasedon0 \snext24 \spriority0 \styrsid16658872 AmOrLang;}{\s25\qc \li0\ri0\sa240\nowidctlpar\wrapdefault\aspalpha\aspnum\faauto\adjustright\rin0\lin0\itap0 \rtlch\fcs1 \af0\afs20\alang1025 _x000d__x000a_\ltrch\fcs0 \i\fs24\lang2057\langfe2057\cgrid\langnp2057\langfenp2057 \sbasedon0 \snext25 \spriority0 \styrsid166588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658872 AmNumberTabs;}{\s27\ql \li0\ri0\sb240\nowidctlpar\wrapdefault\aspalpha\aspnum\faauto\adjustright\rin0\lin0\itap0 \rtlch\fcs1 _x000d__x000a_\af0\afs20\alang1025 \ltrch\fcs0 \b\fs24\lang2057\langfe2057\cgrid\langnp2057\langfenp2057 \sbasedon0 \snext27 \spriority0 \styrsid16658872 NormalBold12b;}}{\*\rsidtbl \rsid24658\rsid223860\rsid735077\rsid1718133\rsid2892074\rsid3565327\rsid4666813_x000d__x000a_\rsid6641733\rsid7602181\rsid7823322\rsid9636012\rsid10377208\rsid11215221\rsid11549030\rsid12154954\rsid14382809\rsid14424199\rsid15204470\rsid15285974\rsid15950462\rsid16324206\rsid16658872\rsid16662270}{\mmathPr\mmathFont34\mbrkBin0\mbrkBinSub0_x000d__x000a_\msmallFrac0\mdispDef1\mlMargin0\mrMargin0\mdefJc1\mwrapIndent1440\mintLim0\mnaryLim1}{\info{\author TURLUI Emil-Gabriel}{\operator TURLUI Emil-Gabriel}{\creatim\yr2023\mo9\dy8\hr15\min57}{\revtim\yr2023\mo9\dy8\hr15\min57}{\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8872\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7602181 \chftnsep _x000d__x000a_\par }}{\*\ftnsepc \ltrpar \pard\plain \ltrpar\ql \li0\ri0\widctlpar\wrapdefault\aspalpha\aspnum\faauto\adjustright\rin0\lin0\itap0 \rtlch\fcs1 \af0\afs20\alang1025 \ltrch\fcs0 \fs24\lang2057\langfe2057\cgrid\langnp2057\langfenp2057 {\rtlch\fcs1 \af0 _x000d__x000a_\ltrch\fcs0 \insrsid7602181 \chftnsepc _x000d__x000a_\par }}{\*\aftnsep \ltrpar \pard\plain \ltrpar\ql \li0\ri0\widctlpar\wrapdefault\aspalpha\aspnum\faauto\adjustright\rin0\lin0\itap0 \rtlch\fcs1 \af0\afs20\alang1025 \ltrch\fcs0 \fs24\lang2057\langfe2057\cgrid\langnp2057\langfenp2057 {\rtlch\fcs1 \af0 _x000d__x000a_\ltrch\fcs0 \insrsid7602181 \chftnsep _x000d__x000a_\par }}{\*\aftnsepc \ltrpar \pard\plain \ltrpar\ql \li0\ri0\widctlpar\wrapdefault\aspalpha\aspnum\faauto\adjustright\rin0\lin0\itap0 \rtlch\fcs1 \af0\afs20\alang1025 \ltrch\fcs0 \fs24\lang2057\langfe2057\cgrid\langnp2057\langfenp2057 {\rtlch\fcs1 \af0 _x000d__x000a_\ltrch\fcs0 \insrsid76021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658872 \rtlch\fcs1 _x000d__x000a_\af0\afs20\alang1025 \ltrch\fcs0 \b\fs24\lang2057\langfe2057\cgrid\langnp2057\langfenp2057 {\rtlch\fcs1 \af0 \ltrch\fcs0 \cs17\b0\v\fs20\cf9\lang1024\langfe1024\loch\af1\hich\af1\dbch\af31501\noproof\insrsid16658872\charrsid6768093 {\*\bkmkstart restart}_x000d__x000a_\hich\af1\dbch\af31501\loch\f1 &lt;Amend&gt;}{\rtlch\fcs1 \af0 \ltrch\fcs0 \insrsid16658872\charrsid6768093 Amendment\tab \tab }{\rtlch\fcs1 \af0 \ltrch\fcs0 _x000d__x000a_\cs17\b0\v\fs20\cf9\lang1024\langfe1024\loch\af1\hich\af1\dbch\af31501\noproof\insrsid16658872\charrsid6768093 \hich\af1\dbch\af31501\loch\f1 &lt;NumAm&gt;}{\rtlch\fcs1 \af0 \ltrch\fcs0 \insrsid16658872\charrsid6768093 #}{\rtlch\fcs1 \af1 \ltrch\fcs0 _x000d__x000a_\cs18\v\f1\fs20\cf15\insrsid16658872\charrsid6768093 ENMIENDA@NRAM@}{\rtlch\fcs1 \af0 \ltrch\fcs0 \insrsid16658872\charrsid6768093 #}{\rtlch\fcs1 \af0 \ltrch\fcs0 _x000d__x000a_\cs17\b0\v\fs20\cf9\lang1024\langfe1024\loch\af1\hich\af1\dbch\af31501\noproof\insrsid16658872\charrsid6768093 \hich\af1\dbch\af31501\loch\f1 &lt;/NumAm&gt;}{\rtlch\fcs1 \af0 \ltrch\fcs0 \insrsid16658872\charrsid6768093 _x000d__x000a_\par }\pard\plain \ltrpar\s27\ql \li0\ri0\sb240\keepn\nowidctlpar\wrapdefault\aspalpha\aspnum\faauto\adjustright\rin0\lin0\itap0\pararsid16658872 \rtlch\fcs1 \af0\afs20\alang1025 \ltrch\fcs0 \b\fs24\lang2057\langfe2057\cgrid\langnp2057\langfenp2057 {_x000d__x000a_\rtlch\fcs1 \af0 \ltrch\fcs0 \cs17\b0\v\fs20\cf9\lang1024\langfe1024\loch\af1\hich\af1\dbch\af31501\noproof\insrsid16658872\charrsid6768093 \hich\af1\dbch\af31501\loch\f1 &lt;DocAmend&gt;}{\rtlch\fcs1 \af0 \ltrch\fcs0 \insrsid16658872\charrsid6768093 _x000d__x000a_Proposal for a #}{\rtlch\fcs1 \af1 \ltrch\fcs0 \cs18\v\f1\fs20\cf15\insrsid16658872\charrsid6768093 MNU[DOC1][DOC2][DOC3]@DOCMSG@DOCMNU}{\rtlch\fcs1 \af0 \ltrch\fcs0 \insrsid16658872\charrsid6768093 ##}{\rtlch\fcs1 \af1 \ltrch\fcs0 _x000d__x000a_\cs18\v\f1\fs20\cf15\insrsid16658872\charrsid6768093 MNU[AMACTYES][NOTAPP]@CHOICE@AMACTMNU}{\rtlch\fcs1 \af0 \ltrch\fcs0 \insrsid16658872\charrsid6768093 #}{\rtlch\fcs1 \af0 \ltrch\fcs0 _x000d__x000a_\cs17\b0\v\fs20\cf9\lang1024\langfe1024\loch\af1\hich\af1\dbch\af31501\noproof\insrsid16658872\charrsid6768093 \hich\af1\dbch\af31501\loch\f1 &lt;/DocAmend&gt;}{\rtlch\fcs1 \af0 \ltrch\fcs0 \insrsid16658872\charrsid6768093 _x000d__x000a_\par }\pard\plain \ltrpar\s20\ql \li0\ri0\keepn\nowidctlpar\wrapdefault\aspalpha\aspnum\faauto\adjustright\rin0\lin0\itap0\pararsid16658872 \rtlch\fcs1 \af0\afs20\alang1025 \ltrch\fcs0 \b\fs24\lang2057\langfe2057\cgrid\langnp2057\langfenp2057 {\rtlch\fcs1 _x000d__x000a_\af0 \ltrch\fcs0 \cs17\b0\v\fs20\cf9\lang1024\langfe1024\loch\af1\hich\af1\dbch\af31501\noproof\insrsid16658872\charrsid6768093 \hich\af1\dbch\af31501\loch\f1 &lt;Article&gt;}{\rtlch\fcs1 \af0 \ltrch\fcs0 \insrsid16658872\charrsid6768093 #}{\rtlch\fcs1 \af1 _x000d__x000a_\ltrch\fcs0 \cs18\v\f1\fs20\cf15\insrsid16658872\charrsid6768093 MNU[AMACTPARTYES][AMACTPARTNO]@CHOICE@AMACTMNU}{\rtlch\fcs1 \af0 \ltrch\fcs0 \insrsid16658872\charrsid6768093 #}{\rtlch\fcs1 \af0 \ltrch\fcs0 _x000d__x000a_\cs17\b0\v\fs20\cf9\lang1024\langfe1024\loch\af1\hich\af1\dbch\af31501\noproof\insrsid16658872\charrsid6768093 \hich\af1\dbch\af31501\loch\f1 &lt;/Article&gt;}{\rtlch\fcs1 \af0 \ltrch\fcs0 \insrsid16658872\charrsid6768093 _x000d__x000a_\par }\pard\plain \ltrpar\ql \li0\ri0\keepn\widctlpar\wrapdefault\aspalpha\aspnum\faauto\adjustright\rin0\lin0\itap0\pararsid16658872 \rtlch\fcs1 \af0\afs20\alang1025 \ltrch\fcs0 \fs24\lang2057\langfe2057\cgrid\langnp2057\langfenp2057 {\rtlch\fcs1 \af0 _x000d__x000a_\ltrch\fcs0 \cs17\v\fs20\cf9\lang1024\langfe1024\loch\af1\hich\af1\dbch\af31501\noproof\insrsid16658872\charrsid6768093 \hich\af1\dbch\af31501\loch\f1 &lt;DocAmend2&gt;&lt;OptDel&gt;}{\rtlch\fcs1 \af0 \ltrch\fcs0 \insrsid16658872\charrsid6768093 #}{\rtlch\fcs1 \af1 _x000d__x000a_\ltrch\fcs0 \cs18\v\f1\fs20\cf15\insrsid16658872\charrsid6768093 MNU[OPTNRACTYES][NOTAPP]@CHOICE@AMACTMNU}{\rtlch\fcs1 \af0 \ltrch\fcs0 \insrsid16658872\charrsid6768093 #}{\rtlch\fcs1 \af0 \ltrch\fcs0 _x000d__x000a_\cs17\v\fs20\cf9\lang1024\langfe1024\loch\af1\hich\af1\dbch\af31501\noproof\insrsid16658872\charrsid6768093 \hich\af1\dbch\af31501\loch\f1 &lt;/OptDel&gt;&lt;/DocAmend2&gt;}{\rtlch\fcs1 \af0 \ltrch\fcs0 \insrsid16658872\charrsid6768093 _x000d__x000a_\par }\pard \ltrpar\ql \li0\ri0\widctlpar\wrapdefault\aspalpha\aspnum\faauto\adjustright\rin0\lin0\itap0\pararsid16658872 {\rtlch\fcs1 \af0 \ltrch\fcs0 \cs17\v\fs20\cf9\lang1024\langfe1024\loch\af1\hich\af1\dbch\af31501\noproof\insrsid16658872\charrsid6768093 _x000d__x000a_\hich\af1\dbch\af31501\loch\f1 &lt;Article2&gt;&lt;OptDel&gt;}{\rtlch\fcs1 \af0 \ltrch\fcs0 \insrsid16658872\charrsid6768093 #}{\rtlch\fcs1 \af1 \ltrch\fcs0 \cs18\v\f1\fs20\cf15\insrsid16658872\charrsid6768093 MNU[OPTACTPARTYES][NOTAPP]@CHOICE@AMACTMNU}{\rtlch\fcs1 _x000d__x000a_\af0 \ltrch\fcs0 \insrsid16658872\charrsid6768093 #}{\rtlch\fcs1 \af0 \ltrch\fcs0 \cs17\v\fs20\cf9\lang1024\langfe1024\loch\af1\hich\af1\dbch\af31501\noproof\insrsid16658872\charrsid6768093 \hich\af1\dbch\af31501\loch\f1 &lt;/OptDel&gt;&lt;/Article2&gt;}{\rtlch\fcs1 _x000d__x000a_\af0 \ltrch\fcs0 \insrsid16658872\charrsid676809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6658872\charrsid6768093 #}{\rtlch\fcs1 \af1 \ltrch\fcs0 \cs18\v\f1\fs20\cf15\insrsid16658872\charrsid6768093 MNU[OPTLEFTAMACT][LEFTPROP]@CHOICE@AMACTMNU}{\rtlch\fcs1 \af0 \ltrch\fcs0 \insrsid16658872\charrsid6768093 #\cell Amendment\cell _x000d__x000a_}\pard\plain \ltrpar\ql \li0\ri0\widctlpar\intbl\wrapdefault\aspalpha\aspnum\faauto\adjustright\rin0\lin0 \rtlch\fcs1 \af0\afs20\alang1025 \ltrch\fcs0 \fs24\lang2057\langfe2057\cgrid\langnp2057\langfenp2057 {\rtlch\fcs1 \af0 \ltrch\fcs0 _x000d__x000a_\insrsid16658872\charrsid676809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6658872\charrsid6768093 ##\cell ##}{\rtlch\fcs1 \af0\afs24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658872 \rtlch\fcs1 \af0\afs20\alang1025 \ltrch\fcs0 \fs24\lang2057\langfe2057\cgrid\langnp2057\langfenp2057 {\rtlch\fcs1 \af0 \ltrch\fcs0 _x000d__x000a_\insrsid16658872\charrsid6768093 Or. }{\rtlch\fcs1 \af0 \ltrch\fcs0 \cs17\v\fs20\cf9\lang1024\langfe1024\loch\af1\hich\af1\dbch\af31501\noproof\insrsid16658872\charrsid6768093 \hich\af1\dbch\af31501\loch\f1 &lt;Original&gt;}{\rtlch\fcs1 \af0 \ltrch\fcs0 _x000d__x000a_\insrsid16658872\charrsid6768093 #}{\rtlch\fcs1 \af1 \ltrch\fcs0 \cs18\v\f1\fs20\cf15\insrsid16658872\charrsid6768093 MNU[ORLANGONE][ORLANGMORE]@CHOICE@ORLANGMNU}{\rtlch\fcs1 \af0 \ltrch\fcs0 \insrsid16658872\charrsid6768093 #}{\rtlch\fcs1 \af0 _x000d__x000a_\ltrch\fcs0 \cs17\v\fs20\cf9\lang1024\langfe1024\loch\af1\hich\af1\dbch\af31501\noproof\insrsid16658872\charrsid6768093 \hich\af1\dbch\af31501\loch\f1 &lt;/Original&gt;}{\rtlch\fcs1 \af0 \ltrch\fcs0 \insrsid16658872\charrsid6768093 _x000d__x000a_\par }\pard\plain \ltrpar\s22\qc \li0\ri0\sb240\sa240\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OptDel&gt;}{\rtlch\fcs1 \af0 \ltrch\fcs0 \insrsid16658872\charrsid6768093 #}{_x000d__x000a_\rtlch\fcs1 \af1 \ltrch\fcs0 \cs18\v\f1\fs20\cf15\insrsid16658872\charrsid6768093 MNU[CROSSREFNO][CROSSREFYES]@CHOICE@}{\rtlch\fcs1 \af0 \ltrch\fcs0 \insrsid16658872\charrsid6768093 #}{\rtlch\fcs1 \af0 \ltrch\fcs0 _x000d__x000a_\cs17\i0\v\fs20\cf9\lang1024\langfe1024\loch\af1\hich\af1\dbch\af31501\noproof\insrsid16658872\charrsid6768093 \hich\af1\dbch\af31501\loch\f1 &lt;/OptDel&gt;}{\rtlch\fcs1 \af0 \ltrch\fcs0 \insrsid16658872\charrsid6768093 _x000d__x000a_\par }\pard\plain \ltrpar\s23\qc \li0\ri0\sb240\sa240\keepn\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TitreJust&gt;}{\rtlch\fcs1 \af0 \ltrch\fcs0 \insrsid16658872\charrsid6768093 _x000d__x000a_Justification}{\rtlch\fcs1 \af0 \ltrch\fcs0 \cs17\i0\v\fs20\cf9\lang1024\langfe1024\loch\af1\hich\af1\dbch\af31501\noproof\insrsid16658872\charrsid6768093 \hich\af1\dbch\af31501\loch\f1 &lt;/TitreJust&gt;}{\rtlch\fcs1 \af0 \ltrch\fcs0 _x000d__x000a_\insrsid16658872\charrsid6768093 _x000d__x000a_\par }\pard\plain \ltrpar\s21\ql \li0\ri0\sa240\nowidctlpar\wrapdefault\aspalpha\aspnum\faauto\adjustright\rin0\lin0\itap0\pararsid16658872 \rtlch\fcs1 \af0\afs20\alang1025 \ltrch\fcs0 \i\fs24\lang2057\langfe2057\cgrid\langnp2057\langfenp2057 {\rtlch\fcs1 _x000d__x000a_\af0 \ltrch\fcs0 \cs17\i0\v\fs20\cf9\lang1024\langfe1024\loch\af1\hich\af1\dbch\af31501\noproof\insrsid16658872\charrsid6768093 \hich\af1\dbch\af31501\loch\f1 &lt;OptDelPrev&gt;}{\rtlch\fcs1 \af0 \ltrch\fcs0 \insrsid16658872\charrsid6768093 #}{\rtlch\fcs1 \af1 _x000d__x000a_\ltrch\fcs0 \cs18\v\f1\fs20\cf15\insrsid16658872\charrsid6768093 MNU[TEXTJUSTYES][TEXTJUSTNO]@CHOICE@}{\rtlch\fcs1 \af0 \ltrch\fcs0 \insrsid16658872\charrsid6768093 #}{\rtlch\fcs1 \af0 \ltrch\fcs0 _x000d__x000a_\cs17\i0\v\fs20\cf9\lang1024\langfe1024\loch\af1\hich\af1\dbch\af31501\noproof\insrsid16658872\charrsid6768093 \hich\af1\dbch\af31501\loch\f1 &lt;/OptDelPrev&gt;}{\rtlch\fcs1 \af0 \ltrch\fcs0 \insrsid16658872\charrsid6768093 _x000d__x000a_\par }\pard\plain \ltrpar\ql \li0\ri0\widctlpar\wrapdefault\aspalpha\aspnum\faauto\adjustright\rin0\lin0\itap0\pararsid16658872 \rtlch\fcs1 \af0\afs20\alang1025 \ltrch\fcs0 \fs24\lang2057\langfe2057\cgrid\langnp2057\langfenp2057 {\rtlch\fcs1 \af0 \ltrch\fcs0 _x000d__x000a_\cs17\v\fs20\cf9\lang1024\langfe1024\loch\af1\hich\af1\dbch\af31501\noproof\insrsid16658872\charrsid676809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2_x000d__x000a_bc655c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5"/>
    <w:docVar w:name="TVTAMPART" w:val="Recital 1"/>
    <w:docVar w:name="TXTAUTHOR" w:val="Jonás Fernández"/>
    <w:docVar w:name="TXTLANGUE" w:val="RO"/>
    <w:docVar w:name="TXTLANGUEMIN" w:val="ro"/>
    <w:docVar w:name="TXTNRC" w:val="0134/2023"/>
    <w:docVar w:name="TXTNRCOD" w:val="2023/0113"/>
    <w:docVar w:name="TXTNRCOM" w:val="(2023)0229"/>
    <w:docVar w:name="TXTNRFIRSTAM" w:val="1"/>
    <w:docVar w:name="TXTNRLASTAM" w:val="2"/>
    <w:docVar w:name="TXTNRPE" w:val="752.913"/>
    <w:docVar w:name="TXTPEorAP" w:val="PE"/>
    <w:docVar w:name="TXTROUTE" w:val="PR\1285454RO.docx"/>
    <w:docVar w:name="TXTTITLE" w:val="amending Directive 2014/59/EU and Regulation (EU) No 806/2014 as regards certain aspects of the minimum requirement for own funds and eligible liabilities"/>
    <w:docVar w:name="TXTVERSION" w:val="01-00"/>
  </w:docVars>
  <w:rsids>
    <w:rsidRoot w:val="006745DD"/>
    <w:rsid w:val="00011AAB"/>
    <w:rsid w:val="00012351"/>
    <w:rsid w:val="000139E5"/>
    <w:rsid w:val="00081881"/>
    <w:rsid w:val="00084DD2"/>
    <w:rsid w:val="00084E89"/>
    <w:rsid w:val="000A7B09"/>
    <w:rsid w:val="000B7489"/>
    <w:rsid w:val="000F1096"/>
    <w:rsid w:val="00120948"/>
    <w:rsid w:val="00123DD5"/>
    <w:rsid w:val="001277AE"/>
    <w:rsid w:val="00142215"/>
    <w:rsid w:val="001767E2"/>
    <w:rsid w:val="00187008"/>
    <w:rsid w:val="001B3829"/>
    <w:rsid w:val="001C01EE"/>
    <w:rsid w:val="001C5592"/>
    <w:rsid w:val="001C5B44"/>
    <w:rsid w:val="001C63AC"/>
    <w:rsid w:val="001C6FFC"/>
    <w:rsid w:val="001F7C7C"/>
    <w:rsid w:val="00212B84"/>
    <w:rsid w:val="002346B0"/>
    <w:rsid w:val="002667C3"/>
    <w:rsid w:val="002669B6"/>
    <w:rsid w:val="00290BED"/>
    <w:rsid w:val="002D13EE"/>
    <w:rsid w:val="002E33EE"/>
    <w:rsid w:val="002F40BB"/>
    <w:rsid w:val="002F4B02"/>
    <w:rsid w:val="00323EF8"/>
    <w:rsid w:val="00325A50"/>
    <w:rsid w:val="003316DD"/>
    <w:rsid w:val="00366A46"/>
    <w:rsid w:val="00370AC3"/>
    <w:rsid w:val="003824EE"/>
    <w:rsid w:val="003B4689"/>
    <w:rsid w:val="003C2068"/>
    <w:rsid w:val="003C37CF"/>
    <w:rsid w:val="004100B1"/>
    <w:rsid w:val="00426E47"/>
    <w:rsid w:val="00455743"/>
    <w:rsid w:val="00461601"/>
    <w:rsid w:val="0046639E"/>
    <w:rsid w:val="00467F7B"/>
    <w:rsid w:val="0048211B"/>
    <w:rsid w:val="004C0915"/>
    <w:rsid w:val="004D424E"/>
    <w:rsid w:val="004E42C8"/>
    <w:rsid w:val="004E733D"/>
    <w:rsid w:val="004F3FA5"/>
    <w:rsid w:val="0051271F"/>
    <w:rsid w:val="00521F46"/>
    <w:rsid w:val="00551111"/>
    <w:rsid w:val="00551123"/>
    <w:rsid w:val="00557C21"/>
    <w:rsid w:val="00570A6A"/>
    <w:rsid w:val="00586E50"/>
    <w:rsid w:val="0059583D"/>
    <w:rsid w:val="005A42D9"/>
    <w:rsid w:val="005C2BEF"/>
    <w:rsid w:val="005D1A99"/>
    <w:rsid w:val="005D7609"/>
    <w:rsid w:val="005D7EE8"/>
    <w:rsid w:val="00620AA8"/>
    <w:rsid w:val="00642325"/>
    <w:rsid w:val="006606A1"/>
    <w:rsid w:val="006745DD"/>
    <w:rsid w:val="00682F54"/>
    <w:rsid w:val="006A17A3"/>
    <w:rsid w:val="006A1920"/>
    <w:rsid w:val="006A2F5D"/>
    <w:rsid w:val="006F1136"/>
    <w:rsid w:val="006F7907"/>
    <w:rsid w:val="00743189"/>
    <w:rsid w:val="00743D33"/>
    <w:rsid w:val="00775070"/>
    <w:rsid w:val="007932B3"/>
    <w:rsid w:val="00793EA9"/>
    <w:rsid w:val="007D6F68"/>
    <w:rsid w:val="00823E6B"/>
    <w:rsid w:val="00826780"/>
    <w:rsid w:val="00837CCD"/>
    <w:rsid w:val="00862812"/>
    <w:rsid w:val="008633CC"/>
    <w:rsid w:val="00865190"/>
    <w:rsid w:val="008719B9"/>
    <w:rsid w:val="00894ECE"/>
    <w:rsid w:val="00896BB4"/>
    <w:rsid w:val="008A7FB8"/>
    <w:rsid w:val="008C37B3"/>
    <w:rsid w:val="008C7460"/>
    <w:rsid w:val="008F652F"/>
    <w:rsid w:val="009022B8"/>
    <w:rsid w:val="00914537"/>
    <w:rsid w:val="00917CC4"/>
    <w:rsid w:val="00932D06"/>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59CE"/>
    <w:rsid w:val="00AD18C8"/>
    <w:rsid w:val="00AD7FA6"/>
    <w:rsid w:val="00AE4643"/>
    <w:rsid w:val="00AF0416"/>
    <w:rsid w:val="00AF3962"/>
    <w:rsid w:val="00B10CB4"/>
    <w:rsid w:val="00B13D6F"/>
    <w:rsid w:val="00B17848"/>
    <w:rsid w:val="00B23B72"/>
    <w:rsid w:val="00B42702"/>
    <w:rsid w:val="00B57B8B"/>
    <w:rsid w:val="00B85407"/>
    <w:rsid w:val="00B95702"/>
    <w:rsid w:val="00BC6489"/>
    <w:rsid w:val="00BD480C"/>
    <w:rsid w:val="00BE22DA"/>
    <w:rsid w:val="00C10E7F"/>
    <w:rsid w:val="00C20954"/>
    <w:rsid w:val="00C23324"/>
    <w:rsid w:val="00C42A41"/>
    <w:rsid w:val="00C47E74"/>
    <w:rsid w:val="00C57A72"/>
    <w:rsid w:val="00C73602"/>
    <w:rsid w:val="00CF60C8"/>
    <w:rsid w:val="00D30DE2"/>
    <w:rsid w:val="00D32924"/>
    <w:rsid w:val="00D503A3"/>
    <w:rsid w:val="00D57E36"/>
    <w:rsid w:val="00D73518"/>
    <w:rsid w:val="00DA0796"/>
    <w:rsid w:val="00DA6ED0"/>
    <w:rsid w:val="00DC5011"/>
    <w:rsid w:val="00E171B6"/>
    <w:rsid w:val="00E70D3B"/>
    <w:rsid w:val="00E72695"/>
    <w:rsid w:val="00E77B41"/>
    <w:rsid w:val="00EB1753"/>
    <w:rsid w:val="00EB6CFF"/>
    <w:rsid w:val="00EE3996"/>
    <w:rsid w:val="00F07062"/>
    <w:rsid w:val="00F23CFC"/>
    <w:rsid w:val="00F25F2E"/>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DFF2750-D27A-4F52-B6FB-B2D7BB6C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F1136"/>
    <w:pPr>
      <w:tabs>
        <w:tab w:val="right" w:pos="454"/>
        <w:tab w:val="left" w:pos="737"/>
      </w:tabs>
      <w:ind w:left="737" w:hanging="737"/>
    </w:pPr>
    <w:rPr>
      <w:snapToGrid w:val="0"/>
      <w:sz w:val="18"/>
      <w:lang w:eastAsia="en-US"/>
    </w:rPr>
  </w:style>
  <w:style w:type="paragraph" w:customStyle="1" w:styleId="Lgendetitre">
    <w:name w:val="Légende titre"/>
    <w:basedOn w:val="Normal"/>
    <w:rsid w:val="006F1136"/>
    <w:pPr>
      <w:spacing w:before="240" w:after="240"/>
    </w:pPr>
    <w:rPr>
      <w:b/>
      <w:i/>
      <w:snapToGrid w:val="0"/>
      <w:lang w:eastAsia="en-US"/>
    </w:rPr>
  </w:style>
  <w:style w:type="paragraph" w:customStyle="1" w:styleId="Lgendestandard">
    <w:name w:val="Légende standard"/>
    <w:basedOn w:val="Normal"/>
    <w:rsid w:val="006F1136"/>
    <w:rPr>
      <w:sz w:val="18"/>
    </w:rPr>
  </w:style>
  <w:style w:type="paragraph" w:styleId="FootnoteText">
    <w:name w:val="footnote text"/>
    <w:basedOn w:val="Normal"/>
    <w:link w:val="FootnoteTextChar"/>
    <w:rsid w:val="006F1136"/>
    <w:rPr>
      <w:sz w:val="20"/>
    </w:rPr>
  </w:style>
  <w:style w:type="character" w:customStyle="1" w:styleId="FootnoteTextChar">
    <w:name w:val="Footnote Text Char"/>
    <w:basedOn w:val="DefaultParagraphFont"/>
    <w:link w:val="FootnoteText"/>
    <w:rsid w:val="006F1136"/>
  </w:style>
  <w:style w:type="character" w:styleId="FootnoteReference">
    <w:name w:val="footnote reference"/>
    <w:basedOn w:val="DefaultParagraphFont"/>
    <w:rsid w:val="006F1136"/>
    <w:rPr>
      <w:vertAlign w:val="superscript"/>
    </w:rPr>
  </w:style>
  <w:style w:type="character" w:customStyle="1" w:styleId="Normal6Char">
    <w:name w:val="Normal6 Char"/>
    <w:basedOn w:val="DefaultParagraphFont"/>
    <w:link w:val="Normal6"/>
    <w:locked/>
    <w:rsid w:val="00932D06"/>
    <w:rPr>
      <w:sz w:val="24"/>
      <w:lang w:val="ro-RO"/>
    </w:rPr>
  </w:style>
  <w:style w:type="paragraph" w:customStyle="1" w:styleId="Normal6">
    <w:name w:val="Normal6"/>
    <w:basedOn w:val="Normal"/>
    <w:link w:val="Normal6Char"/>
    <w:rsid w:val="00932D06"/>
    <w:pPr>
      <w:spacing w:after="120"/>
    </w:pPr>
  </w:style>
  <w:style w:type="character" w:customStyle="1" w:styleId="NormalBoldChar">
    <w:name w:val="NormalBold Char"/>
    <w:basedOn w:val="DefaultParagraphFont"/>
    <w:link w:val="NormalBold"/>
    <w:locked/>
    <w:rsid w:val="00932D06"/>
    <w:rPr>
      <w:b/>
      <w:sz w:val="24"/>
    </w:rPr>
  </w:style>
  <w:style w:type="paragraph" w:customStyle="1" w:styleId="ColumnHeading">
    <w:name w:val="ColumnHeading"/>
    <w:basedOn w:val="Normal"/>
    <w:rsid w:val="00932D06"/>
    <w:pPr>
      <w:spacing w:after="240"/>
      <w:jc w:val="center"/>
    </w:pPr>
    <w:rPr>
      <w:i/>
    </w:rPr>
  </w:style>
  <w:style w:type="paragraph" w:customStyle="1" w:styleId="AMNumberTabs0">
    <w:name w:val="AMNumberTabs"/>
    <w:basedOn w:val="Normal"/>
    <w:rsid w:val="00932D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32D06"/>
    <w:pPr>
      <w:jc w:val="right"/>
    </w:pPr>
  </w:style>
  <w:style w:type="paragraph" w:styleId="Footer">
    <w:name w:val="footer"/>
    <w:basedOn w:val="Normal"/>
    <w:link w:val="FooterChar"/>
    <w:semiHidden/>
    <w:rsid w:val="00932D06"/>
    <w:pPr>
      <w:tabs>
        <w:tab w:val="center" w:pos="4513"/>
        <w:tab w:val="right" w:pos="9026"/>
      </w:tabs>
    </w:pPr>
  </w:style>
  <w:style w:type="character" w:customStyle="1" w:styleId="FooterChar">
    <w:name w:val="Footer Char"/>
    <w:basedOn w:val="DefaultParagraphFont"/>
    <w:link w:val="Footer"/>
    <w:semiHidden/>
    <w:rsid w:val="00932D06"/>
    <w:rPr>
      <w:sz w:val="24"/>
    </w:rPr>
  </w:style>
  <w:style w:type="paragraph" w:styleId="BalloonText">
    <w:name w:val="Balloon Text"/>
    <w:basedOn w:val="Normal"/>
    <w:link w:val="BalloonTextChar"/>
    <w:semiHidden/>
    <w:unhideWhenUsed/>
    <w:rsid w:val="00557C21"/>
    <w:rPr>
      <w:rFonts w:ascii="Segoe UI" w:hAnsi="Segoe UI" w:cs="Segoe UI"/>
      <w:sz w:val="18"/>
      <w:szCs w:val="18"/>
    </w:rPr>
  </w:style>
  <w:style w:type="character" w:customStyle="1" w:styleId="BalloonTextChar">
    <w:name w:val="Balloon Text Char"/>
    <w:basedOn w:val="DefaultParagraphFont"/>
    <w:link w:val="BalloonText"/>
    <w:semiHidden/>
    <w:rsid w:val="00557C21"/>
    <w:rPr>
      <w:rFonts w:ascii="Segoe UI" w:hAnsi="Segoe UI" w:cs="Segoe UI"/>
      <w:sz w:val="18"/>
      <w:szCs w:val="18"/>
    </w:rPr>
  </w:style>
  <w:style w:type="character" w:styleId="CommentReference">
    <w:name w:val="annotation reference"/>
    <w:basedOn w:val="DefaultParagraphFont"/>
    <w:rsid w:val="001C63AC"/>
    <w:rPr>
      <w:sz w:val="16"/>
      <w:szCs w:val="16"/>
    </w:rPr>
  </w:style>
  <w:style w:type="paragraph" w:styleId="CommentText">
    <w:name w:val="annotation text"/>
    <w:basedOn w:val="Normal"/>
    <w:link w:val="CommentTextChar"/>
    <w:rsid w:val="001C63AC"/>
    <w:rPr>
      <w:sz w:val="20"/>
    </w:rPr>
  </w:style>
  <w:style w:type="character" w:customStyle="1" w:styleId="CommentTextChar">
    <w:name w:val="Comment Text Char"/>
    <w:basedOn w:val="DefaultParagraphFont"/>
    <w:link w:val="CommentText"/>
    <w:rsid w:val="001C63AC"/>
  </w:style>
  <w:style w:type="paragraph" w:styleId="CommentSubject">
    <w:name w:val="annotation subject"/>
    <w:basedOn w:val="CommentText"/>
    <w:next w:val="CommentText"/>
    <w:link w:val="CommentSubjectChar"/>
    <w:semiHidden/>
    <w:unhideWhenUsed/>
    <w:rsid w:val="001C63AC"/>
    <w:rPr>
      <w:b/>
      <w:bCs/>
    </w:rPr>
  </w:style>
  <w:style w:type="character" w:customStyle="1" w:styleId="CommentSubjectChar">
    <w:name w:val="Comment Subject Char"/>
    <w:basedOn w:val="CommentTextChar"/>
    <w:link w:val="CommentSubject"/>
    <w:semiHidden/>
    <w:rsid w:val="001C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97002-2D6F-4209-93D4-85F766A86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6693</Words>
  <Characters>39292</Characters>
  <Application>Microsoft Office Word</Application>
  <DocSecurity>0</DocSecurity>
  <Lines>1267</Lines>
  <Paragraphs>280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TURLUI Emil-Gabriel</dc:creator>
  <cp:lastModifiedBy>ATANASIU Stefania Cristina</cp:lastModifiedBy>
  <cp:revision>2</cp:revision>
  <cp:lastPrinted>2004-11-04T09:41:00Z</cp:lastPrinted>
  <dcterms:created xsi:type="dcterms:W3CDTF">2023-09-26T07:57:00Z</dcterms:created>
  <dcterms:modified xsi:type="dcterms:W3CDTF">2023-09-26T07:57:00Z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1285454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PR\1285454RO.docx</vt:lpwstr>
  </property>
  <property fmtid="{D5CDD505-2E9C-101B-9397-08002B2CF9AE}" pid="10" name="LastEdited with">
    <vt:lpwstr>9.14.1 Build [20230315]</vt:lpwstr>
  </property>
  <property fmtid="{D5CDD505-2E9C-101B-9397-08002B2CF9AE}" pid="11" name="PE number">
    <vt:lpwstr>752.913</vt:lpwstr>
  </property>
  <property fmtid="{D5CDD505-2E9C-101B-9397-08002B2CF9AE}" pid="12" name="SDLStudio">
    <vt:lpwstr/>
  </property>
  <property fmtid="{D5CDD505-2E9C-101B-9397-08002B2CF9AE}" pid="13" name="SendToEpades">
    <vt:lpwstr>OK - 2023/09/11 11:42</vt:lpwstr>
  </property>
  <property fmtid="{D5CDD505-2E9C-101B-9397-08002B2CF9AE}" pid="14" name="Bookout">
    <vt:lpwstr>OK - 2023/09/26 09:57</vt:lpwstr>
  </property>
</Properties>
</file>