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1D3093" w:rsidRPr="00D20917" w:rsidTr="00DA0796">
        <w:trPr>
          <w:trHeight w:hRule="exact" w:val="1418"/>
        </w:trPr>
        <w:tc>
          <w:tcPr>
            <w:tcW w:w="6804" w:type="dxa"/>
            <w:shd w:val="clear" w:color="auto" w:fill="auto"/>
            <w:vAlign w:val="center"/>
          </w:tcPr>
          <w:p w:rsidR="00B13D6F" w:rsidRPr="00D20917" w:rsidRDefault="00952B8E" w:rsidP="00DA0796">
            <w:pPr>
              <w:pStyle w:val="EPName"/>
            </w:pPr>
            <w:bookmarkStart w:id="0" w:name="_GoBack"/>
            <w:bookmarkEnd w:id="0"/>
            <w:r w:rsidRPr="00D20917">
              <w:t>Európsky parlament</w:t>
            </w:r>
          </w:p>
          <w:p w:rsidR="00B13D6F" w:rsidRPr="00D20917" w:rsidRDefault="00952B8E" w:rsidP="006F1136">
            <w:pPr>
              <w:pStyle w:val="EPTerm"/>
            </w:pPr>
            <w:r w:rsidRPr="00D20917">
              <w:t>2019 – 2024</w:t>
            </w:r>
          </w:p>
        </w:tc>
        <w:tc>
          <w:tcPr>
            <w:tcW w:w="2268" w:type="dxa"/>
            <w:shd w:val="clear" w:color="auto" w:fill="auto"/>
          </w:tcPr>
          <w:p w:rsidR="00B13D6F" w:rsidRPr="00D20917" w:rsidRDefault="00952B8E" w:rsidP="00DA0796">
            <w:pPr>
              <w:pStyle w:val="EPLogo"/>
            </w:pPr>
            <w:r w:rsidRPr="00D20917">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D20917" w:rsidRDefault="00461601" w:rsidP="00461601">
      <w:pPr>
        <w:pStyle w:val="LineTop"/>
      </w:pPr>
    </w:p>
    <w:p w:rsidR="00461601" w:rsidRPr="00D20917" w:rsidRDefault="00952B8E" w:rsidP="00461601">
      <w:pPr>
        <w:pStyle w:val="EPBody"/>
      </w:pPr>
      <w:r w:rsidRPr="00D20917">
        <w:rPr>
          <w:rStyle w:val="HideTWBExt"/>
        </w:rPr>
        <w:t>&lt;</w:t>
      </w:r>
      <w:r w:rsidRPr="00D20917">
        <w:rPr>
          <w:rStyle w:val="HideTWBExt"/>
          <w:i w:val="0"/>
        </w:rPr>
        <w:t>Commission</w:t>
      </w:r>
      <w:r w:rsidRPr="00D20917">
        <w:rPr>
          <w:rStyle w:val="HideTWBExt"/>
        </w:rPr>
        <w:t>&gt;</w:t>
      </w:r>
      <w:r w:rsidRPr="00D20917">
        <w:rPr>
          <w:rStyle w:val="HideTWBInt"/>
          <w:color w:val="auto"/>
        </w:rPr>
        <w:t>{ECON}</w:t>
      </w:r>
      <w:r w:rsidRPr="00D20917">
        <w:t>Výbor pre hospodárske a menové veci</w:t>
      </w:r>
      <w:r w:rsidRPr="00D20917">
        <w:rPr>
          <w:rStyle w:val="HideTWBExt"/>
        </w:rPr>
        <w:t>&lt;/</w:t>
      </w:r>
      <w:r w:rsidRPr="00D20917">
        <w:rPr>
          <w:rStyle w:val="HideTWBExt"/>
          <w:i w:val="0"/>
        </w:rPr>
        <w:t>Commission</w:t>
      </w:r>
      <w:r w:rsidRPr="00D20917">
        <w:rPr>
          <w:rStyle w:val="HideTWBExt"/>
        </w:rPr>
        <w:t>&gt;</w:t>
      </w:r>
    </w:p>
    <w:p w:rsidR="00461601" w:rsidRPr="00D20917" w:rsidRDefault="00461601" w:rsidP="00461601">
      <w:pPr>
        <w:pStyle w:val="LineBottom"/>
      </w:pPr>
    </w:p>
    <w:p w:rsidR="00793EA9" w:rsidRPr="00D20917" w:rsidRDefault="00952B8E">
      <w:pPr>
        <w:pStyle w:val="CoverReference"/>
      </w:pPr>
      <w:r w:rsidRPr="00D20917">
        <w:rPr>
          <w:rStyle w:val="HideTWBExt"/>
          <w:b w:val="0"/>
        </w:rPr>
        <w:t>&lt;RefProc&gt;</w:t>
      </w:r>
      <w:r w:rsidRPr="00D20917">
        <w:t>2023/0113</w:t>
      </w:r>
      <w:r w:rsidRPr="00D20917">
        <w:rPr>
          <w:rStyle w:val="HideTWBExt"/>
          <w:b w:val="0"/>
        </w:rPr>
        <w:t>&lt;/RefProc&gt;&lt;RefTypeProc&gt;</w:t>
      </w:r>
      <w:r w:rsidRPr="00D20917">
        <w:t>(COD)</w:t>
      </w:r>
      <w:r w:rsidRPr="00D20917">
        <w:rPr>
          <w:rStyle w:val="HideTWBExt"/>
          <w:b w:val="0"/>
        </w:rPr>
        <w:t>&lt;/RefTypeProc&gt;</w:t>
      </w:r>
    </w:p>
    <w:p w:rsidR="00793EA9" w:rsidRPr="00D20917" w:rsidRDefault="00952B8E">
      <w:pPr>
        <w:pStyle w:val="CoverDate"/>
      </w:pPr>
      <w:r w:rsidRPr="00D20917">
        <w:rPr>
          <w:rStyle w:val="HideTWBExt"/>
        </w:rPr>
        <w:t>&lt;Date&gt;</w:t>
      </w:r>
      <w:r w:rsidRPr="00D20917">
        <w:rPr>
          <w:rStyle w:val="HideTWBInt"/>
          <w:color w:val="auto"/>
        </w:rPr>
        <w:t>{11/09/2023}</w:t>
      </w:r>
      <w:r>
        <w:t>11.</w:t>
      </w:r>
      <w:r w:rsidRPr="00D20917">
        <w:t>9.</w:t>
      </w:r>
      <w:r w:rsidRPr="00D20917">
        <w:t>2023</w:t>
      </w:r>
      <w:r w:rsidRPr="00D20917">
        <w:rPr>
          <w:rStyle w:val="HideTWBExt"/>
        </w:rPr>
        <w:t>&lt;/Date&gt;</w:t>
      </w:r>
    </w:p>
    <w:p w:rsidR="00793EA9" w:rsidRPr="00D20917" w:rsidRDefault="00952B8E">
      <w:pPr>
        <w:pStyle w:val="CoverDocType"/>
      </w:pPr>
      <w:r w:rsidRPr="00D20917">
        <w:rPr>
          <w:rStyle w:val="HideTWBExt"/>
          <w:b w:val="0"/>
        </w:rPr>
        <w:t>&lt;RefProcLect&gt;</w:t>
      </w:r>
      <w:r w:rsidRPr="00D20917">
        <w:t>***I</w:t>
      </w:r>
      <w:r w:rsidRPr="00D20917">
        <w:rPr>
          <w:rStyle w:val="HideTWBExt"/>
          <w:b w:val="0"/>
        </w:rPr>
        <w:t>&lt;/RefProcLect&gt;</w:t>
      </w:r>
    </w:p>
    <w:p w:rsidR="00793EA9" w:rsidRPr="00D20917" w:rsidRDefault="00952B8E">
      <w:pPr>
        <w:pStyle w:val="CoverDocType24a"/>
      </w:pPr>
      <w:r w:rsidRPr="00D20917">
        <w:rPr>
          <w:rStyle w:val="HideTWBExt"/>
          <w:b w:val="0"/>
        </w:rPr>
        <w:t>&lt;TitreType&gt;</w:t>
      </w:r>
      <w:r w:rsidRPr="00D20917">
        <w:t xml:space="preserve">NÁVRH </w:t>
      </w:r>
      <w:r w:rsidRPr="00D20917">
        <w:t>SPRÁVY</w:t>
      </w:r>
      <w:r w:rsidRPr="00D20917">
        <w:rPr>
          <w:rStyle w:val="HideTWBExt"/>
          <w:b w:val="0"/>
        </w:rPr>
        <w:t>&lt;/TitreType&gt;</w:t>
      </w:r>
    </w:p>
    <w:p w:rsidR="00793EA9" w:rsidRPr="00D20917" w:rsidRDefault="00952B8E">
      <w:pPr>
        <w:pStyle w:val="CoverNormal"/>
      </w:pPr>
      <w:r w:rsidRPr="00D20917">
        <w:rPr>
          <w:rStyle w:val="HideTWBExt"/>
        </w:rPr>
        <w:t>&lt;Titre&gt;</w:t>
      </w:r>
      <w:r w:rsidRPr="00D20917">
        <w:t>o návrhu smernice Európskeho parlamentu a Rady, ktorou sa mení smernica 2014/59/EÚ a nariadenie (EÚ) č. 806/2014, pokiaľ ide o určité aspekty minimálnej požiadavky na vlastné zdroje a oprávnené záväzky</w:t>
      </w:r>
      <w:r w:rsidRPr="00D20917">
        <w:rPr>
          <w:rStyle w:val="HideTWBExt"/>
        </w:rPr>
        <w:t>&lt;/Titre&gt;</w:t>
      </w:r>
    </w:p>
    <w:p w:rsidR="00793EA9" w:rsidRPr="00D20917" w:rsidRDefault="00952B8E">
      <w:pPr>
        <w:pStyle w:val="CoverNormal24a"/>
      </w:pPr>
      <w:r w:rsidRPr="00D20917">
        <w:rPr>
          <w:rStyle w:val="HideTWBExt"/>
        </w:rPr>
        <w:t>&lt;DocRef&gt;</w:t>
      </w:r>
      <w:r w:rsidRPr="00D20917">
        <w:t>(COM(2023)02</w:t>
      </w:r>
      <w:r w:rsidRPr="00D20917">
        <w:t>29 – C9</w:t>
      </w:r>
      <w:r w:rsidRPr="00D20917">
        <w:noBreakHyphen/>
        <w:t>0134/2023 – 2023/0113(COD))</w:t>
      </w:r>
      <w:r w:rsidRPr="00D20917">
        <w:rPr>
          <w:rStyle w:val="HideTWBExt"/>
        </w:rPr>
        <w:t>&lt;/DocRef&gt;</w:t>
      </w:r>
    </w:p>
    <w:p w:rsidR="00793EA9" w:rsidRPr="00D20917" w:rsidRDefault="00952B8E">
      <w:pPr>
        <w:pStyle w:val="CoverNormal24a"/>
      </w:pPr>
      <w:r w:rsidRPr="00D20917">
        <w:rPr>
          <w:rStyle w:val="HideTWBExt"/>
        </w:rPr>
        <w:t>&lt;Commission&gt;</w:t>
      </w:r>
      <w:r w:rsidRPr="00D20917">
        <w:rPr>
          <w:rStyle w:val="HideTWBInt"/>
          <w:color w:val="auto"/>
        </w:rPr>
        <w:t>{ECON}</w:t>
      </w:r>
      <w:r w:rsidRPr="00D20917">
        <w:t>Výbor pre hospodárske a menové veci</w:t>
      </w:r>
      <w:r w:rsidRPr="00D20917">
        <w:rPr>
          <w:rStyle w:val="HideTWBExt"/>
        </w:rPr>
        <w:t>&lt;/Commission&gt;</w:t>
      </w:r>
    </w:p>
    <w:p w:rsidR="00793EA9" w:rsidRPr="00D20917" w:rsidRDefault="00952B8E">
      <w:pPr>
        <w:pStyle w:val="CoverNormal24a"/>
      </w:pPr>
      <w:r w:rsidRPr="00D20917">
        <w:t xml:space="preserve">Spravodajca: </w:t>
      </w:r>
      <w:r w:rsidRPr="00D20917">
        <w:rPr>
          <w:rStyle w:val="HideTWBExt"/>
        </w:rPr>
        <w:t>&lt;Depute&gt;</w:t>
      </w:r>
      <w:r w:rsidRPr="00D20917">
        <w:t>Jonás Fernández</w:t>
      </w:r>
      <w:r w:rsidRPr="00D20917">
        <w:rPr>
          <w:rStyle w:val="HideTWBExt"/>
        </w:rPr>
        <w:t>&lt;/Depute&gt;</w:t>
      </w:r>
    </w:p>
    <w:p w:rsidR="001C5B44" w:rsidRPr="00D20917" w:rsidRDefault="001C5B44" w:rsidP="001C5B44">
      <w:pPr>
        <w:pStyle w:val="CoverNormal"/>
      </w:pPr>
    </w:p>
    <w:p w:rsidR="006F1136" w:rsidRPr="00D20917" w:rsidRDefault="00952B8E" w:rsidP="00DA0796">
      <w:r w:rsidRPr="00D20917">
        <w:br w:type="page"/>
      </w:r>
      <w:fldSimple w:instr=" TITLE  \* MERGEFORMAT ">
        <w:r>
          <w:t>PR_COD_1amCom</w:t>
        </w:r>
      </w:fldSimple>
    </w:p>
    <w:p w:rsidR="006F1136" w:rsidRPr="00D20917" w:rsidRDefault="006F1136" w:rsidP="00DA0796"/>
    <w:p w:rsidR="006F1136" w:rsidRPr="00D20917" w:rsidRDefault="006F1136" w:rsidP="00DA0796"/>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1D3093" w:rsidRPr="00D20917">
        <w:tc>
          <w:tcPr>
            <w:tcW w:w="5811" w:type="dxa"/>
          </w:tcPr>
          <w:p w:rsidR="006F1136" w:rsidRPr="00D20917" w:rsidRDefault="00952B8E" w:rsidP="00DA0796">
            <w:pPr>
              <w:pStyle w:val="Lgendetitre"/>
            </w:pPr>
            <w:r w:rsidRPr="00D20917">
              <w:t>Označenie postupov</w:t>
            </w:r>
          </w:p>
        </w:tc>
      </w:tr>
      <w:tr w:rsidR="001D3093" w:rsidRPr="00D20917" w:rsidTr="00DA0796">
        <w:trPr>
          <w:cantSplit/>
          <w:trHeight w:val="1807"/>
        </w:trPr>
        <w:tc>
          <w:tcPr>
            <w:tcW w:w="5811" w:type="dxa"/>
            <w:tcBorders>
              <w:bottom w:val="single" w:sz="4" w:space="0" w:color="auto"/>
            </w:tcBorders>
          </w:tcPr>
          <w:p w:rsidR="006F1136" w:rsidRPr="00D20917" w:rsidRDefault="00952B8E" w:rsidP="00DA0796">
            <w:pPr>
              <w:pStyle w:val="Lgendesigne"/>
            </w:pPr>
            <w:r w:rsidRPr="00D20917">
              <w:tab/>
              <w:t>*</w:t>
            </w:r>
            <w:r w:rsidRPr="00D20917">
              <w:tab/>
              <w:t>Konzultácia</w:t>
            </w:r>
          </w:p>
          <w:p w:rsidR="006F1136" w:rsidRPr="00D20917" w:rsidRDefault="00952B8E" w:rsidP="00DA0796">
            <w:pPr>
              <w:pStyle w:val="Lgendesigne"/>
            </w:pPr>
            <w:r w:rsidRPr="00D20917">
              <w:tab/>
              <w:t>***</w:t>
            </w:r>
            <w:r w:rsidRPr="00D20917">
              <w:tab/>
              <w:t>Súhlas</w:t>
            </w:r>
          </w:p>
          <w:p w:rsidR="006F1136" w:rsidRPr="00D20917" w:rsidRDefault="00952B8E" w:rsidP="00DA0796">
            <w:pPr>
              <w:pStyle w:val="Lgendesigne"/>
            </w:pPr>
            <w:r w:rsidRPr="00D20917">
              <w:tab/>
              <w:t>***I</w:t>
            </w:r>
            <w:r w:rsidRPr="00D20917">
              <w:tab/>
            </w:r>
            <w:r w:rsidRPr="00D20917">
              <w:t>Riadny legislatívny postup (prvé čítanie)</w:t>
            </w:r>
          </w:p>
          <w:p w:rsidR="006F1136" w:rsidRPr="00D20917" w:rsidRDefault="00952B8E" w:rsidP="00DA0796">
            <w:pPr>
              <w:pStyle w:val="Lgendesigne"/>
            </w:pPr>
            <w:r w:rsidRPr="00D20917">
              <w:tab/>
              <w:t>***II</w:t>
            </w:r>
            <w:r w:rsidRPr="00D20917">
              <w:tab/>
              <w:t>Riadny legislatívny postup (druhé čítanie)</w:t>
            </w:r>
          </w:p>
          <w:p w:rsidR="006F1136" w:rsidRPr="00D20917" w:rsidRDefault="00952B8E" w:rsidP="00DA0796">
            <w:pPr>
              <w:pStyle w:val="Lgendesigne"/>
            </w:pPr>
            <w:r w:rsidRPr="00D20917">
              <w:tab/>
              <w:t>***III</w:t>
            </w:r>
            <w:r w:rsidRPr="00D20917">
              <w:tab/>
              <w:t>Riadny legislatívny postup (tretie čítanie)</w:t>
            </w:r>
          </w:p>
          <w:p w:rsidR="006F1136" w:rsidRPr="00D20917" w:rsidRDefault="006F1136" w:rsidP="00DA0796">
            <w:pPr>
              <w:pStyle w:val="Lgendestandard"/>
            </w:pPr>
          </w:p>
          <w:p w:rsidR="006F1136" w:rsidRPr="00D20917" w:rsidRDefault="00952B8E" w:rsidP="00DA0796">
            <w:pPr>
              <w:pStyle w:val="Lgendestandard"/>
            </w:pPr>
            <w:r w:rsidRPr="00D20917">
              <w:t>(Typ postupu závisí od právneho základu navrhnutého v návrhu aktu.)</w:t>
            </w:r>
          </w:p>
          <w:p w:rsidR="006F1136" w:rsidRPr="00D20917" w:rsidRDefault="006F1136" w:rsidP="00DA0796">
            <w:pPr>
              <w:pStyle w:val="Lgendestandard"/>
            </w:pPr>
          </w:p>
        </w:tc>
      </w:tr>
    </w:tbl>
    <w:p w:rsidR="006F1136" w:rsidRPr="00D20917" w:rsidRDefault="006F1136" w:rsidP="00DA0796"/>
    <w:p w:rsidR="006F1136" w:rsidRPr="00D20917" w:rsidRDefault="006F1136" w:rsidP="00DA0796"/>
    <w:p w:rsidR="006F1136" w:rsidRPr="00D20917" w:rsidRDefault="006F1136" w:rsidP="00DA0796"/>
    <w:p w:rsidR="006F1136" w:rsidRPr="00D20917" w:rsidRDefault="006F1136" w:rsidP="00DA0796"/>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1D3093" w:rsidRPr="00D20917">
        <w:tc>
          <w:tcPr>
            <w:tcW w:w="5811" w:type="dxa"/>
          </w:tcPr>
          <w:p w:rsidR="006F1136" w:rsidRPr="00D20917" w:rsidRDefault="00952B8E" w:rsidP="00DA0796">
            <w:pPr>
              <w:pStyle w:val="Lgendetitre"/>
            </w:pPr>
            <w:r w:rsidRPr="00D20917">
              <w:t>Pozmeňujúce návrhy k návrhu aktu</w:t>
            </w:r>
          </w:p>
        </w:tc>
      </w:tr>
      <w:tr w:rsidR="001D3093" w:rsidRPr="00D20917" w:rsidTr="00DA0796">
        <w:trPr>
          <w:trHeight w:val="4496"/>
        </w:trPr>
        <w:tc>
          <w:tcPr>
            <w:tcW w:w="5811" w:type="dxa"/>
          </w:tcPr>
          <w:p w:rsidR="006F1136" w:rsidRPr="00D20917" w:rsidRDefault="00952B8E" w:rsidP="00DA0796">
            <w:pPr>
              <w:pStyle w:val="Lgendestandard"/>
              <w:rPr>
                <w:szCs w:val="24"/>
              </w:rPr>
            </w:pPr>
            <w:r w:rsidRPr="00D20917">
              <w:rPr>
                <w:b/>
              </w:rPr>
              <w:t>Pozmeňujúce návrhy Európskeho parlamentu vo dvoch stĺpcoch</w:t>
            </w:r>
          </w:p>
          <w:p w:rsidR="006F1136" w:rsidRPr="00D20917" w:rsidRDefault="006F1136" w:rsidP="00DA0796">
            <w:pPr>
              <w:pStyle w:val="Lgendestandard"/>
              <w:rPr>
                <w:szCs w:val="24"/>
              </w:rPr>
            </w:pPr>
          </w:p>
          <w:p w:rsidR="006F1136" w:rsidRPr="00D20917" w:rsidRDefault="00952B8E" w:rsidP="00DA0796">
            <w:pPr>
              <w:pStyle w:val="Lgendestandard"/>
              <w:rPr>
                <w:szCs w:val="24"/>
              </w:rPr>
            </w:pPr>
            <w:r w:rsidRPr="00D20917">
              <w:t xml:space="preserve">Vypustenia sa označujú </w:t>
            </w:r>
            <w:r w:rsidRPr="00D20917">
              <w:rPr>
                <w:b/>
                <w:i/>
              </w:rPr>
              <w:t>hrubou kurzívou</w:t>
            </w:r>
            <w:r w:rsidRPr="00D20917">
              <w:t xml:space="preserve"> v ľavom stĺpci. Nahradenia sa označujú </w:t>
            </w:r>
            <w:r w:rsidRPr="00D20917">
              <w:rPr>
                <w:b/>
                <w:i/>
              </w:rPr>
              <w:t>hrubou kurzívou</w:t>
            </w:r>
            <w:r w:rsidRPr="00D20917">
              <w:t xml:space="preserve"> v oboch stĺpcoch. Nový text sa označuje </w:t>
            </w:r>
            <w:r w:rsidRPr="00D20917">
              <w:rPr>
                <w:b/>
                <w:i/>
              </w:rPr>
              <w:t>hrubou kurzívou</w:t>
            </w:r>
            <w:r w:rsidRPr="00D20917">
              <w:t xml:space="preserve"> v pravom stĺpci.</w:t>
            </w:r>
          </w:p>
          <w:p w:rsidR="006F1136" w:rsidRPr="00D20917" w:rsidRDefault="006F1136" w:rsidP="00DA0796">
            <w:pPr>
              <w:pStyle w:val="Lgendestandard"/>
              <w:rPr>
                <w:szCs w:val="24"/>
              </w:rPr>
            </w:pPr>
          </w:p>
          <w:p w:rsidR="006F1136" w:rsidRPr="00D20917" w:rsidRDefault="00952B8E" w:rsidP="00DA0796">
            <w:pPr>
              <w:pStyle w:val="Lgendestandard"/>
              <w:rPr>
                <w:szCs w:val="24"/>
              </w:rPr>
            </w:pPr>
            <w:r w:rsidRPr="00D20917">
              <w:t>Prvý a druhý riadok záhlavia</w:t>
            </w:r>
            <w:r w:rsidRPr="00D20917">
              <w:t xml:space="preserve"> každého pozmeňujúceho návrhu vymedzujú príslušnú časť v návrhu aktu predloženého na prerokovanie. Ak sa pozmeňujúci návrh týka platného aktu, ktorý sa má návrhom aktu zmeniť, záhlavie navyše obsahuje tretí riadok uvádzajúci platný akt a štvrtý riadok uvád</w:t>
            </w:r>
            <w:r w:rsidRPr="00D20917">
              <w:t>zajúci príslušné ustanovenie tohto aktu.</w:t>
            </w:r>
          </w:p>
          <w:p w:rsidR="006F1136" w:rsidRPr="00D20917" w:rsidRDefault="006F1136" w:rsidP="00DA0796">
            <w:pPr>
              <w:pStyle w:val="Lgendestandard"/>
              <w:rPr>
                <w:szCs w:val="24"/>
              </w:rPr>
            </w:pPr>
          </w:p>
          <w:p w:rsidR="006F1136" w:rsidRPr="00D20917" w:rsidRDefault="00952B8E" w:rsidP="00DA0796">
            <w:pPr>
              <w:pStyle w:val="Lgendestandard"/>
              <w:rPr>
                <w:b/>
                <w:szCs w:val="24"/>
              </w:rPr>
            </w:pPr>
            <w:r w:rsidRPr="00D20917">
              <w:rPr>
                <w:b/>
              </w:rPr>
              <w:t>Pozmeňujúce návrhy Európskeho parlamentu v podobe konsolidovaného textu</w:t>
            </w:r>
          </w:p>
          <w:p w:rsidR="006F1136" w:rsidRPr="00D20917" w:rsidRDefault="006F1136" w:rsidP="00DA0796">
            <w:pPr>
              <w:pStyle w:val="Lgendestandard"/>
              <w:rPr>
                <w:szCs w:val="24"/>
              </w:rPr>
            </w:pPr>
          </w:p>
          <w:p w:rsidR="006F1136" w:rsidRPr="00D20917" w:rsidRDefault="00952B8E" w:rsidP="00DA0796">
            <w:pPr>
              <w:pStyle w:val="Lgendestandard"/>
              <w:rPr>
                <w:szCs w:val="24"/>
              </w:rPr>
            </w:pPr>
            <w:r w:rsidRPr="00D20917">
              <w:t xml:space="preserve">Nové časti textov sa označujú </w:t>
            </w:r>
            <w:r w:rsidRPr="00D20917">
              <w:rPr>
                <w:b/>
                <w:i/>
              </w:rPr>
              <w:t>hrubou kurzívou</w:t>
            </w:r>
            <w:r w:rsidRPr="00D20917">
              <w:t>. Vypustené časti textu sa označujú symbolom ▌ alebo sa prečiarkujú. V prípade nahradenia sa nov</w:t>
            </w:r>
            <w:r w:rsidRPr="00D20917">
              <w:t xml:space="preserve">ý text vyznačí </w:t>
            </w:r>
            <w:r w:rsidRPr="00D20917">
              <w:rPr>
                <w:b/>
                <w:i/>
              </w:rPr>
              <w:t>hrubou kurzívou</w:t>
            </w:r>
            <w:r w:rsidRPr="00D20917">
              <w:t xml:space="preserve"> a nahradený text sa vymaže alebo sa prečiarkne. </w:t>
            </w:r>
          </w:p>
          <w:p w:rsidR="006F1136" w:rsidRPr="00D20917" w:rsidRDefault="00952B8E" w:rsidP="00DA0796">
            <w:pPr>
              <w:pStyle w:val="Lgendestandard"/>
            </w:pPr>
            <w:r w:rsidRPr="00D20917">
              <w:t>Čisto technické zmeny, ktoré vykonávajú útvary s cieľom vypracovať konečný text, sa však nevyznačujú.</w:t>
            </w:r>
          </w:p>
          <w:p w:rsidR="006F1136" w:rsidRPr="00D20917" w:rsidRDefault="006F1136" w:rsidP="00DA0796">
            <w:pPr>
              <w:pStyle w:val="Lgendestandard"/>
            </w:pPr>
          </w:p>
        </w:tc>
      </w:tr>
    </w:tbl>
    <w:p w:rsidR="006F1136" w:rsidRPr="00D20917" w:rsidRDefault="006F1136" w:rsidP="00DA0796"/>
    <w:p w:rsidR="00793EA9" w:rsidRPr="00D20917" w:rsidRDefault="00793EA9" w:rsidP="00012351">
      <w:pPr>
        <w:widowControl/>
        <w:tabs>
          <w:tab w:val="center" w:pos="4677"/>
        </w:tabs>
      </w:pPr>
    </w:p>
    <w:p w:rsidR="00793EA9" w:rsidRPr="00D20917" w:rsidRDefault="00952B8E">
      <w:pPr>
        <w:pStyle w:val="TOCHeading"/>
      </w:pPr>
      <w:r w:rsidRPr="00D20917">
        <w:br w:type="page"/>
      </w:r>
      <w:r w:rsidRPr="00D20917">
        <w:lastRenderedPageBreak/>
        <w:t>OBSAH</w:t>
      </w:r>
    </w:p>
    <w:p w:rsidR="00793EA9" w:rsidRPr="00D20917" w:rsidRDefault="00952B8E">
      <w:pPr>
        <w:pStyle w:val="TOCPage"/>
      </w:pPr>
      <w:r w:rsidRPr="00D20917">
        <w:t>Strana</w:t>
      </w:r>
    </w:p>
    <w:p w:rsidR="00952B8E" w:rsidRDefault="00952B8E">
      <w:pPr>
        <w:pStyle w:val="TOC1"/>
        <w:tabs>
          <w:tab w:val="right" w:leader="dot" w:pos="9060"/>
        </w:tabs>
        <w:rPr>
          <w:rFonts w:asciiTheme="minorHAnsi" w:eastAsiaTheme="minorEastAsia" w:hAnsiTheme="minorHAnsi" w:cstheme="minorBidi"/>
          <w:noProof/>
          <w:sz w:val="22"/>
          <w:szCs w:val="22"/>
          <w:lang w:val="en-GB"/>
        </w:rPr>
      </w:pPr>
      <w:r w:rsidRPr="00D20917">
        <w:rPr>
          <w:b/>
        </w:rPr>
        <w:fldChar w:fldCharType="begin"/>
      </w:r>
      <w:r w:rsidRPr="00D20917">
        <w:rPr>
          <w:b/>
        </w:rPr>
        <w:instrText xml:space="preserve"> TOC \t "PageHeading</w:instrText>
      </w:r>
      <w:r w:rsidR="00E70D3B" w:rsidRPr="00D20917">
        <w:rPr>
          <w:b/>
        </w:rPr>
        <w:instrText>;</w:instrText>
      </w:r>
      <w:r w:rsidRPr="00D20917">
        <w:rPr>
          <w:b/>
        </w:rPr>
        <w:instrText xml:space="preserve">1" </w:instrText>
      </w:r>
      <w:r w:rsidRPr="00D20917">
        <w:rPr>
          <w:b/>
        </w:rPr>
        <w:fldChar w:fldCharType="separate"/>
      </w:r>
      <w:r>
        <w:rPr>
          <w:noProof/>
        </w:rPr>
        <w:t>NÁVRH LEGISLATÍVNEHO UZNESENIA EURÓPSKEHO PARLAMENTU</w:t>
      </w:r>
      <w:r>
        <w:rPr>
          <w:noProof/>
        </w:rPr>
        <w:tab/>
      </w:r>
      <w:r>
        <w:rPr>
          <w:noProof/>
        </w:rPr>
        <w:fldChar w:fldCharType="begin"/>
      </w:r>
      <w:r>
        <w:rPr>
          <w:noProof/>
        </w:rPr>
        <w:instrText xml:space="preserve"> PAGEREF _Toc146614607 \h </w:instrText>
      </w:r>
      <w:r>
        <w:rPr>
          <w:noProof/>
        </w:rPr>
      </w:r>
      <w:r>
        <w:rPr>
          <w:noProof/>
        </w:rPr>
        <w:fldChar w:fldCharType="separate"/>
      </w:r>
      <w:r>
        <w:rPr>
          <w:noProof/>
        </w:rPr>
        <w:t>5</w:t>
      </w:r>
      <w:r>
        <w:rPr>
          <w:noProof/>
        </w:rPr>
        <w:fldChar w:fldCharType="end"/>
      </w:r>
    </w:p>
    <w:p w:rsidR="002346B0" w:rsidRPr="00D20917" w:rsidRDefault="00952B8E" w:rsidP="00C23324">
      <w:r w:rsidRPr="00D20917">
        <w:rPr>
          <w:b/>
        </w:rPr>
        <w:fldChar w:fldCharType="end"/>
      </w:r>
    </w:p>
    <w:p w:rsidR="00793EA9" w:rsidRPr="00D20917" w:rsidRDefault="00952B8E">
      <w:pPr>
        <w:pStyle w:val="PageHeading"/>
      </w:pPr>
      <w:r w:rsidRPr="00D20917">
        <w:br w:type="page"/>
      </w:r>
      <w:r w:rsidRPr="00D20917">
        <w:lastRenderedPageBreak/>
        <w:br w:type="page"/>
      </w:r>
      <w:bookmarkStart w:id="1" w:name="_Toc146614607"/>
      <w:r w:rsidRPr="00D20917">
        <w:lastRenderedPageBreak/>
        <w:t>NÁVRH LEGISLATÍVNEHO UZNESENIA EURÓPSKEHO PARLAMENTU</w:t>
      </w:r>
      <w:bookmarkEnd w:id="1"/>
    </w:p>
    <w:p w:rsidR="00793EA9" w:rsidRPr="00D20917" w:rsidRDefault="00952B8E">
      <w:pPr>
        <w:pStyle w:val="NormalBold"/>
      </w:pPr>
      <w:r w:rsidRPr="00D20917">
        <w:t>o návrhu smernice Európskeho parlamentu a Rady, ktorou sa mení smernica 2014/5</w:t>
      </w:r>
      <w:r w:rsidRPr="00D20917">
        <w:t>9/EÚ a nariadenie (EÚ) č. 806/2014, pokiaľ ide o určité aspekty minimálnej požiadavky na vlastné zdroje a oprávnené záväzky</w:t>
      </w:r>
    </w:p>
    <w:p w:rsidR="00793EA9" w:rsidRPr="00D20917" w:rsidRDefault="00952B8E">
      <w:pPr>
        <w:pStyle w:val="NormalBold12a"/>
      </w:pPr>
      <w:r w:rsidRPr="00D20917">
        <w:t>(COM(2023)0229 – C9</w:t>
      </w:r>
      <w:r w:rsidRPr="00D20917">
        <w:noBreakHyphen/>
        <w:t>0134/2023 – 2023/0113(COD))</w:t>
      </w:r>
    </w:p>
    <w:p w:rsidR="00793EA9" w:rsidRPr="00D20917" w:rsidRDefault="00952B8E" w:rsidP="00A910C9">
      <w:pPr>
        <w:pStyle w:val="NormalBold"/>
      </w:pPr>
      <w:r w:rsidRPr="00D20917">
        <w:t>(Riadny legislatívny postup: prvé čítanie)</w:t>
      </w:r>
    </w:p>
    <w:p w:rsidR="00793EA9" w:rsidRPr="00D20917" w:rsidRDefault="00952B8E" w:rsidP="00A910C9">
      <w:pPr>
        <w:pStyle w:val="EPComma"/>
      </w:pPr>
      <w:r w:rsidRPr="00D20917">
        <w:rPr>
          <w:i/>
        </w:rPr>
        <w:t>Európsky parlament</w:t>
      </w:r>
      <w:r w:rsidRPr="00D20917">
        <w:t>,</w:t>
      </w:r>
    </w:p>
    <w:p w:rsidR="00793EA9" w:rsidRPr="00D20917" w:rsidRDefault="00952B8E">
      <w:pPr>
        <w:pStyle w:val="NormalHanging12a"/>
      </w:pPr>
      <w:r w:rsidRPr="00D20917">
        <w:t>–</w:t>
      </w:r>
      <w:r w:rsidRPr="00D20917">
        <w:tab/>
        <w:t xml:space="preserve">so zreteľom na </w:t>
      </w:r>
      <w:r w:rsidRPr="00D20917">
        <w:t>návrh Komisie pre Európsky parlament a Radu (COM(2023)0229),</w:t>
      </w:r>
    </w:p>
    <w:p w:rsidR="00793EA9" w:rsidRPr="00D20917" w:rsidRDefault="00952B8E">
      <w:pPr>
        <w:pStyle w:val="NormalHanging12a"/>
      </w:pPr>
      <w:r w:rsidRPr="00D20917">
        <w:t>–</w:t>
      </w:r>
      <w:r w:rsidRPr="00D20917">
        <w:tab/>
        <w:t>so zreteľom na článok 294 ods. 2 a článok 114 Zmluvy o fungovaní Európskej únie, v</w:t>
      </w:r>
      <w:r>
        <w:t> </w:t>
      </w:r>
      <w:r w:rsidRPr="00D20917">
        <w:t>súlade s ktorými Komisia predložila návrh Európskemu parlamentu (C9</w:t>
      </w:r>
      <w:r w:rsidRPr="00D20917">
        <w:noBreakHyphen/>
        <w:t>0134/2023),</w:t>
      </w:r>
    </w:p>
    <w:p w:rsidR="00A26F46" w:rsidRPr="00D20917" w:rsidRDefault="00952B8E" w:rsidP="00A26F46">
      <w:pPr>
        <w:pStyle w:val="NormalHanging12a"/>
      </w:pPr>
      <w:r w:rsidRPr="00D20917">
        <w:t>–</w:t>
      </w:r>
      <w:r w:rsidRPr="00D20917">
        <w:tab/>
        <w:t>so zreteľom na článok 294 od</w:t>
      </w:r>
      <w:r w:rsidRPr="00D20917">
        <w:t>s. 3 Zmluvy o fungovaní Európskej únie,</w:t>
      </w:r>
    </w:p>
    <w:p w:rsidR="006F1136" w:rsidRPr="00D20917" w:rsidRDefault="00952B8E" w:rsidP="00AD7FA6">
      <w:pPr>
        <w:pStyle w:val="NormalHanging12a"/>
      </w:pPr>
      <w:r w:rsidRPr="00D20917">
        <w:t>–</w:t>
      </w:r>
      <w:r w:rsidRPr="00D20917">
        <w:tab/>
        <w:t>so zreteľom na stanovisko Európskej centrálnej banky z 5. júla 2023</w:t>
      </w:r>
      <w:r w:rsidRPr="00D20917">
        <w:rPr>
          <w:rStyle w:val="FootnoteReference"/>
        </w:rPr>
        <w:footnoteReference w:id="1"/>
      </w:r>
      <w:r w:rsidRPr="00D20917">
        <w:t>,</w:t>
      </w:r>
    </w:p>
    <w:p w:rsidR="00D73518" w:rsidRPr="00D20917" w:rsidRDefault="00952B8E" w:rsidP="00AD7FA6">
      <w:pPr>
        <w:pStyle w:val="NormalHanging12a"/>
      </w:pPr>
      <w:r w:rsidRPr="00D20917">
        <w:t>–</w:t>
      </w:r>
      <w:r w:rsidRPr="00D20917">
        <w:tab/>
        <w:t>so zreteľom na stanovisko Európskeho hospodárskeho a sociálneho výboru zo 13. júla 2023</w:t>
      </w:r>
      <w:r w:rsidRPr="00D20917">
        <w:rPr>
          <w:rStyle w:val="FootnoteReference"/>
          <w:szCs w:val="24"/>
        </w:rPr>
        <w:footnoteReference w:id="2"/>
      </w:r>
      <w:r w:rsidRPr="00D20917">
        <w:t>,</w:t>
      </w:r>
    </w:p>
    <w:p w:rsidR="00793EA9" w:rsidRPr="00D20917" w:rsidRDefault="00952B8E">
      <w:pPr>
        <w:pStyle w:val="NormalHanging12a"/>
      </w:pPr>
      <w:r w:rsidRPr="00D20917">
        <w:t>–</w:t>
      </w:r>
      <w:r w:rsidRPr="00D20917">
        <w:tab/>
        <w:t>so zreteľom na článok 59 rokovacieho poriadku,</w:t>
      </w:r>
    </w:p>
    <w:p w:rsidR="006A2F5D" w:rsidRPr="00D20917" w:rsidRDefault="00952B8E" w:rsidP="006A2F5D">
      <w:pPr>
        <w:pStyle w:val="NormalHanging12a"/>
      </w:pPr>
      <w:r w:rsidRPr="00D20917">
        <w:t>–</w:t>
      </w:r>
      <w:r w:rsidRPr="00D20917">
        <w:tab/>
        <w:t>s</w:t>
      </w:r>
      <w:r w:rsidRPr="00D20917">
        <w:t>o zreteľom na správu Výboru pre hospodárske a menové veci (A9</w:t>
      </w:r>
      <w:r w:rsidRPr="00D20917">
        <w:noBreakHyphen/>
        <w:t>0000/2023),</w:t>
      </w:r>
    </w:p>
    <w:p w:rsidR="009F6C2F" w:rsidRPr="00D20917" w:rsidRDefault="00952B8E" w:rsidP="00B17848">
      <w:pPr>
        <w:pStyle w:val="NormalHanging12a"/>
      </w:pPr>
      <w:r w:rsidRPr="00D20917">
        <w:t>1.</w:t>
      </w:r>
      <w:r w:rsidRPr="00D20917">
        <w:tab/>
        <w:t>prijíma nasledujúcu pozíciu v prvom čítaní;</w:t>
      </w:r>
    </w:p>
    <w:p w:rsidR="009F6C2F" w:rsidRPr="00D20917" w:rsidRDefault="00952B8E" w:rsidP="009F6C2F">
      <w:pPr>
        <w:pStyle w:val="NormalHanging12a"/>
      </w:pPr>
      <w:r w:rsidRPr="00D20917">
        <w:t>2.</w:t>
      </w:r>
      <w:r w:rsidRPr="00D20917">
        <w:tab/>
        <w:t>žiada Komisiu, aby mu vec znovu predložila, ak nahrádza, podstatne mení alebo má v</w:t>
      </w:r>
      <w:r>
        <w:t> </w:t>
      </w:r>
      <w:r w:rsidRPr="00D20917">
        <w:t>úmysle podstatne zmeniť svoj návrh;</w:t>
      </w:r>
    </w:p>
    <w:p w:rsidR="009F6C2F" w:rsidRPr="00D20917" w:rsidRDefault="00952B8E" w:rsidP="009F6C2F">
      <w:pPr>
        <w:pStyle w:val="NormalHanging12a"/>
      </w:pPr>
      <w:r w:rsidRPr="00D20917">
        <w:t>3.</w:t>
      </w:r>
      <w:r w:rsidRPr="00D20917">
        <w:tab/>
        <w:t>poveruje s</w:t>
      </w:r>
      <w:r w:rsidRPr="00D20917">
        <w:t>voju predsedníčku, aby postúpila túto pozíciu Rade, Komisii a národným parlamentom.</w:t>
      </w:r>
    </w:p>
    <w:p w:rsidR="00D30DE2" w:rsidRPr="00D20917" w:rsidRDefault="00D30DE2" w:rsidP="00D30DE2"/>
    <w:p w:rsidR="008C37B3" w:rsidRPr="00D20917" w:rsidRDefault="008C37B3" w:rsidP="00D30DE2"/>
    <w:p w:rsidR="008C37B3" w:rsidRPr="00D20917" w:rsidRDefault="008C37B3" w:rsidP="00D30DE2"/>
    <w:p w:rsidR="008C37B3" w:rsidRPr="00D20917" w:rsidRDefault="008C37B3" w:rsidP="00D30DE2"/>
    <w:p w:rsidR="008C37B3" w:rsidRPr="00D20917" w:rsidRDefault="008C37B3" w:rsidP="00D30DE2"/>
    <w:p w:rsidR="002669B6" w:rsidRPr="00D20917" w:rsidRDefault="00952B8E" w:rsidP="00212B84">
      <w:pPr>
        <w:pStyle w:val="AmNumberTabs"/>
        <w:keepNext/>
      </w:pPr>
      <w:r w:rsidRPr="00D20917">
        <w:rPr>
          <w:rStyle w:val="HideTWBExt"/>
          <w:b w:val="0"/>
        </w:rPr>
        <w:t>&lt;RepeatBlock-Amend&gt;</w:t>
      </w:r>
      <w:bookmarkStart w:id="2" w:name="restart"/>
      <w:r w:rsidRPr="00D20917">
        <w:rPr>
          <w:rStyle w:val="HideTWBExt"/>
          <w:b w:val="0"/>
        </w:rPr>
        <w:t>&lt;Amend&gt;</w:t>
      </w:r>
      <w:r w:rsidRPr="00D20917">
        <w:t>Pozmeňujúci návrh</w:t>
      </w:r>
      <w:r w:rsidRPr="00D20917">
        <w:tab/>
      </w:r>
      <w:r w:rsidRPr="00D20917">
        <w:tab/>
      </w:r>
      <w:r w:rsidRPr="00D20917">
        <w:rPr>
          <w:rStyle w:val="HideTWBExt"/>
          <w:b w:val="0"/>
        </w:rPr>
        <w:t>&lt;NumAm&gt;</w:t>
      </w:r>
      <w:r w:rsidRPr="00D20917">
        <w:t>1</w:t>
      </w:r>
      <w:r w:rsidRPr="00D20917">
        <w:rPr>
          <w:rStyle w:val="HideTWBExt"/>
          <w:b w:val="0"/>
        </w:rPr>
        <w:t>&lt;/NumAm&gt;</w:t>
      </w:r>
    </w:p>
    <w:p w:rsidR="002669B6" w:rsidRPr="00D20917" w:rsidRDefault="00952B8E" w:rsidP="00212B84">
      <w:pPr>
        <w:pStyle w:val="NormalBold12b"/>
        <w:keepNext/>
      </w:pPr>
      <w:r w:rsidRPr="00D20917">
        <w:rPr>
          <w:rStyle w:val="HideTWBExt"/>
          <w:b w:val="0"/>
        </w:rPr>
        <w:t>&lt;DocAmend&gt;</w:t>
      </w:r>
      <w:r w:rsidRPr="00D20917">
        <w:t>Návrh smernice</w:t>
      </w:r>
      <w:r w:rsidRPr="00D20917">
        <w:rPr>
          <w:rStyle w:val="HideTWBExt"/>
          <w:b w:val="0"/>
        </w:rPr>
        <w:t>&lt;/DocAmend&gt;</w:t>
      </w:r>
    </w:p>
    <w:p w:rsidR="00932D06" w:rsidRPr="00D20917" w:rsidRDefault="00952B8E" w:rsidP="00932D06">
      <w:pPr>
        <w:pStyle w:val="NormalBold"/>
      </w:pPr>
      <w:r w:rsidRPr="00D20917">
        <w:rPr>
          <w:rStyle w:val="HideTWBExt"/>
          <w:b w:val="0"/>
        </w:rPr>
        <w:t>&lt;Article&gt;</w:t>
      </w:r>
      <w:r w:rsidRPr="00D20917">
        <w:t>Odôvodnenie 1</w:t>
      </w:r>
      <w:r w:rsidRPr="00D20917">
        <w:rPr>
          <w:rStyle w:val="HideTWBExt"/>
          <w:b w:val="0"/>
        </w:rPr>
        <w:t>&lt;/Article&gt;</w:t>
      </w:r>
      <w:bookmarkEnd w:id="2"/>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093" w:rsidRPr="00D20917" w:rsidTr="00932D06">
        <w:trPr>
          <w:jc w:val="center"/>
        </w:trPr>
        <w:tc>
          <w:tcPr>
            <w:tcW w:w="9752" w:type="dxa"/>
            <w:gridSpan w:val="2"/>
          </w:tcPr>
          <w:p w:rsidR="00932D06" w:rsidRPr="00D20917" w:rsidRDefault="00932D06">
            <w:pPr>
              <w:keepNext/>
            </w:pPr>
          </w:p>
        </w:tc>
      </w:tr>
      <w:tr w:rsidR="001D3093" w:rsidRPr="00D20917" w:rsidTr="00932D06">
        <w:trPr>
          <w:jc w:val="center"/>
        </w:trPr>
        <w:tc>
          <w:tcPr>
            <w:tcW w:w="4876" w:type="dxa"/>
            <w:hideMark/>
          </w:tcPr>
          <w:p w:rsidR="00932D06" w:rsidRPr="00D20917" w:rsidRDefault="00952B8E">
            <w:pPr>
              <w:pStyle w:val="ColumnHeading"/>
              <w:keepNext/>
            </w:pPr>
            <w:r w:rsidRPr="00D20917">
              <w:t>Text predložený Komisiou</w:t>
            </w:r>
          </w:p>
        </w:tc>
        <w:tc>
          <w:tcPr>
            <w:tcW w:w="4876" w:type="dxa"/>
            <w:hideMark/>
          </w:tcPr>
          <w:p w:rsidR="00932D06" w:rsidRPr="00D20917" w:rsidRDefault="00952B8E">
            <w:pPr>
              <w:pStyle w:val="ColumnHeading"/>
              <w:keepNext/>
            </w:pPr>
            <w:r w:rsidRPr="00D20917">
              <w:t>Pozmeňujúci návrh</w:t>
            </w:r>
          </w:p>
        </w:tc>
      </w:tr>
      <w:tr w:rsidR="001D3093" w:rsidRPr="00D20917" w:rsidTr="00932D06">
        <w:trPr>
          <w:jc w:val="center"/>
        </w:trPr>
        <w:tc>
          <w:tcPr>
            <w:tcW w:w="4876" w:type="dxa"/>
            <w:hideMark/>
          </w:tcPr>
          <w:p w:rsidR="00932D06" w:rsidRPr="00D20917" w:rsidRDefault="00952B8E">
            <w:pPr>
              <w:pStyle w:val="Normal6"/>
            </w:pPr>
            <w:r w:rsidRPr="00D20917">
              <w:t>(1)</w:t>
            </w:r>
            <w:r w:rsidRPr="00D20917">
              <w:tab/>
              <w:t>Smernicou Európskeho parlamentu a Rady (EÚ) 2019/879</w:t>
            </w:r>
            <w:r w:rsidRPr="00D20917">
              <w:rPr>
                <w:vertAlign w:val="superscript"/>
              </w:rPr>
              <w:t>16</w:t>
            </w:r>
            <w:r w:rsidRPr="00D20917">
              <w:t xml:space="preserve"> a nariadením Európskeho parlamentu a Rady (EÚ) 2019/877</w:t>
            </w:r>
            <w:r w:rsidRPr="00D20917">
              <w:rPr>
                <w:vertAlign w:val="superscript"/>
              </w:rPr>
              <w:t>17</w:t>
            </w:r>
            <w:r w:rsidRPr="00D20917">
              <w:t xml:space="preserve"> sa zmenila minimálna požiadavka na vlastné zdroje a oprávnené záväzky (ďalej len „MREL“) stanovená v smernici Európskeho</w:t>
            </w:r>
            <w:r w:rsidRPr="00D20917">
              <w:t xml:space="preserve"> parlamentu a Rady 2014/59/EÚ</w:t>
            </w:r>
            <w:r w:rsidRPr="00D20917">
              <w:rPr>
                <w:vertAlign w:val="superscript"/>
              </w:rPr>
              <w:t>18</w:t>
            </w:r>
            <w:r w:rsidRPr="00D20917">
              <w:t xml:space="preserve"> a v nariadení Európskeho parlamentu a Rady (EÚ) č. 806/2014</w:t>
            </w:r>
            <w:r w:rsidRPr="00D20917">
              <w:rPr>
                <w:vertAlign w:val="superscript"/>
              </w:rPr>
              <w:t>19</w:t>
            </w:r>
            <w:r w:rsidRPr="00D20917">
              <w:t>, ktorá sa uplatňuje na úverové inštitúcie a investičné spoločnosti (inštitúcie) usadené v Únii, ako aj na akýkoľvek iný subjekt, ktorý patrí do rozsahu pôsobnosti</w:t>
            </w:r>
            <w:r w:rsidRPr="00D20917">
              <w:t xml:space="preserve"> smernice 2014/59/EÚ alebo nariadenia (EÚ) č. 806/2014 (subjekty). Týmito zmenami sa stanovilo, že internú MREL, t. j. MREL uplatniteľnú na inštitúcie a subjekty, ktoré sú dcérskymi spoločnosťami subjektov, ktorých krízová situácia sa rieši, ale nie sú sam</w:t>
            </w:r>
            <w:r w:rsidRPr="00D20917">
              <w:t>y subjektmi, ktorých krízová situácia sa rieši, môžu tieto subjekty splniť za použitia nástrojov emitovaných v prospech subjektu, ktorého krízová situácia sa rieši, a kúpených týmto subjektom, a to buď priamo, alebo nepriamo prostredníctvom iných subjektov</w:t>
            </w:r>
            <w:r w:rsidRPr="00D20917">
              <w:t xml:space="preserve"> tej istej skupiny, ktorej krízová situácia sa rieši.</w:t>
            </w:r>
          </w:p>
        </w:tc>
        <w:tc>
          <w:tcPr>
            <w:tcW w:w="4876" w:type="dxa"/>
            <w:hideMark/>
          </w:tcPr>
          <w:p w:rsidR="00932D06" w:rsidRPr="00D20917" w:rsidRDefault="00952B8E" w:rsidP="00952B8E">
            <w:pPr>
              <w:pStyle w:val="Normal6"/>
              <w:rPr>
                <w:szCs w:val="24"/>
              </w:rPr>
            </w:pPr>
            <w:r w:rsidRPr="00D20917">
              <w:t>(1)</w:t>
            </w:r>
            <w:r w:rsidRPr="00D20917">
              <w:tab/>
              <w:t>Smernicou Európskeho parlamentu a Rady (EÚ) 2019/879</w:t>
            </w:r>
            <w:r w:rsidRPr="00D20917">
              <w:rPr>
                <w:vertAlign w:val="superscript"/>
              </w:rPr>
              <w:t>16</w:t>
            </w:r>
            <w:r w:rsidRPr="00D20917">
              <w:t xml:space="preserve"> a nariadením Európskeho parlamentu a Rady (EÚ) 2019/877</w:t>
            </w:r>
            <w:r w:rsidRPr="00D20917">
              <w:rPr>
                <w:vertAlign w:val="superscript"/>
              </w:rPr>
              <w:t>17</w:t>
            </w:r>
            <w:r w:rsidRPr="00D20917">
              <w:t xml:space="preserve"> sa zmenila minimálna požiadavka na vlastné zdroje a oprávnené záväzky (ďalej len „MRE</w:t>
            </w:r>
            <w:r w:rsidRPr="00D20917">
              <w:t>L“) stanovená v smernici Európskeho parlamentu a Rady 2014/59/EÚ</w:t>
            </w:r>
            <w:r w:rsidRPr="00D20917">
              <w:rPr>
                <w:vertAlign w:val="superscript"/>
              </w:rPr>
              <w:t>18</w:t>
            </w:r>
            <w:r w:rsidRPr="00D20917">
              <w:t xml:space="preserve"> a v nariadení Európskeho parlamentu a Rady (EÚ) č. 806/2014</w:t>
            </w:r>
            <w:r w:rsidRPr="00D20917">
              <w:rPr>
                <w:vertAlign w:val="superscript"/>
              </w:rPr>
              <w:t>19</w:t>
            </w:r>
            <w:r w:rsidRPr="00D20917">
              <w:t>, ktorá sa uplatňuje na úverové inštitúcie a investičné spoločnosti (inštitúcie) usadené v Únii, ako aj na akýkoľvek iný subjekt</w:t>
            </w:r>
            <w:r w:rsidRPr="00D20917">
              <w:t>, ktorý patrí do rozsahu pôsobnosti smernice 2014/59/EÚ alebo nariadenia (EÚ) č. 806/2014 (subjekty). Týmito zmenami sa stanovilo, že internú MREL, t.</w:t>
            </w:r>
            <w:r>
              <w:t> </w:t>
            </w:r>
            <w:r w:rsidRPr="00D20917">
              <w:t>j. MREL uplatniteľnú na inštitúcie a subjekty, ktoré sú dcérskymi spoločnosťami subjektov, ktorých krízov</w:t>
            </w:r>
            <w:r w:rsidRPr="00D20917">
              <w:t xml:space="preserve">á situácia sa rieši, ale nie sú samy subjektmi, ktorých krízová situácia sa rieši, môžu tieto </w:t>
            </w:r>
            <w:r w:rsidRPr="00D20917">
              <w:rPr>
                <w:b/>
                <w:bCs/>
                <w:i/>
                <w:iCs/>
              </w:rPr>
              <w:t xml:space="preserve">inštitúcie a </w:t>
            </w:r>
            <w:r w:rsidRPr="00D20917">
              <w:t>subjekty splniť za použitia nástrojov emitovaných v prospech subjektu, ktorého krízová situácia sa rieši, a kúpených týmto subjektom, a to buď priamo</w:t>
            </w:r>
            <w:r w:rsidRPr="00D20917">
              <w:t>, alebo nepriamo prostredníctvom iných subjektov tej istej skupiny, ktorej krízová situácia sa rieši.</w:t>
            </w:r>
          </w:p>
        </w:tc>
      </w:tr>
      <w:tr w:rsidR="001D3093" w:rsidRPr="00D20917" w:rsidTr="00932D06">
        <w:trPr>
          <w:jc w:val="center"/>
        </w:trPr>
        <w:tc>
          <w:tcPr>
            <w:tcW w:w="4876" w:type="dxa"/>
            <w:hideMark/>
          </w:tcPr>
          <w:p w:rsidR="00932D06" w:rsidRPr="00D20917" w:rsidRDefault="00952B8E">
            <w:pPr>
              <w:pStyle w:val="Normal6"/>
            </w:pPr>
            <w:r w:rsidRPr="00D20917">
              <w:t>__________________</w:t>
            </w:r>
          </w:p>
        </w:tc>
        <w:tc>
          <w:tcPr>
            <w:tcW w:w="4876" w:type="dxa"/>
            <w:hideMark/>
          </w:tcPr>
          <w:p w:rsidR="00932D06" w:rsidRPr="00D20917" w:rsidRDefault="00952B8E">
            <w:pPr>
              <w:pStyle w:val="Normal6"/>
              <w:rPr>
                <w:szCs w:val="24"/>
              </w:rPr>
            </w:pPr>
            <w:r w:rsidRPr="00D20917">
              <w:t>__________________</w:t>
            </w:r>
          </w:p>
        </w:tc>
      </w:tr>
      <w:tr w:rsidR="001D3093" w:rsidRPr="00D20917" w:rsidTr="00932D06">
        <w:trPr>
          <w:jc w:val="center"/>
        </w:trPr>
        <w:tc>
          <w:tcPr>
            <w:tcW w:w="4876" w:type="dxa"/>
            <w:hideMark/>
          </w:tcPr>
          <w:p w:rsidR="00932D06" w:rsidRPr="00D20917" w:rsidRDefault="00952B8E">
            <w:pPr>
              <w:pStyle w:val="Normal6"/>
            </w:pPr>
            <w:r w:rsidRPr="00D20917">
              <w:rPr>
                <w:vertAlign w:val="superscript"/>
              </w:rPr>
              <w:t xml:space="preserve">16 </w:t>
            </w:r>
            <w:r w:rsidRPr="00D20917">
              <w:t>Smernica Európskeho parlamentu a Rady (EÚ) 2019/879 z 20. mája 2019, ktorou sa mení smernica 2014/59/EÚ, pokiaľ</w:t>
            </w:r>
            <w:r w:rsidRPr="00D20917">
              <w:t xml:space="preserve"> ide o kapacitu úverových inštitúcií a investičných spoločností na absorpciu strát a rekapitalizáciu, a smernica 98/26/ES (Ú. v. EÚ L 150, 7.6.2019, s. 296).</w:t>
            </w:r>
          </w:p>
        </w:tc>
        <w:tc>
          <w:tcPr>
            <w:tcW w:w="4876" w:type="dxa"/>
            <w:hideMark/>
          </w:tcPr>
          <w:p w:rsidR="00932D06" w:rsidRPr="00D20917" w:rsidRDefault="00952B8E">
            <w:pPr>
              <w:pStyle w:val="Normal6"/>
              <w:rPr>
                <w:szCs w:val="24"/>
              </w:rPr>
            </w:pPr>
            <w:r w:rsidRPr="00D20917">
              <w:rPr>
                <w:vertAlign w:val="superscript"/>
              </w:rPr>
              <w:t xml:space="preserve">16 </w:t>
            </w:r>
            <w:r w:rsidRPr="00D20917">
              <w:t>Smernica Európskeho parlamentu a Rady (EÚ) 2019/879 z 20. mája 2019, ktorou sa mení smernica 20</w:t>
            </w:r>
            <w:r w:rsidRPr="00D20917">
              <w:t>14/59/EÚ, pokiaľ ide o kapacitu úverových inštitúcií a investičných spoločností na absorpciu strát a rekapitalizáciu, a smernica 98/26/ES (Ú. v. EÚ L 150, 7.6.2019, s. 296).</w:t>
            </w:r>
          </w:p>
        </w:tc>
      </w:tr>
      <w:tr w:rsidR="001D3093" w:rsidRPr="00D20917" w:rsidTr="00932D06">
        <w:trPr>
          <w:jc w:val="center"/>
        </w:trPr>
        <w:tc>
          <w:tcPr>
            <w:tcW w:w="4876" w:type="dxa"/>
            <w:hideMark/>
          </w:tcPr>
          <w:p w:rsidR="00932D06" w:rsidRPr="00D20917" w:rsidRDefault="00952B8E">
            <w:pPr>
              <w:pStyle w:val="Normal6"/>
            </w:pPr>
            <w:r w:rsidRPr="00D20917">
              <w:rPr>
                <w:vertAlign w:val="superscript"/>
              </w:rPr>
              <w:t xml:space="preserve">17 </w:t>
            </w:r>
            <w:r w:rsidRPr="00D20917">
              <w:t xml:space="preserve">Nariadenie Európskeho parlamentu a Rady (EÚ) 2019/877 z 20. mája 2019, ktorým </w:t>
            </w:r>
            <w:r w:rsidRPr="00D20917">
              <w:t>sa mení nariadenie (EÚ) č. 806/2014, pokiaľ ide o kapacitu úverových inštitúcií a investičných spoločností na absorpciu strát a rekapitalizáciu (Ú. v. EÚ L 150, 7.6.2019, s. 226).</w:t>
            </w:r>
          </w:p>
        </w:tc>
        <w:tc>
          <w:tcPr>
            <w:tcW w:w="4876" w:type="dxa"/>
            <w:hideMark/>
          </w:tcPr>
          <w:p w:rsidR="00932D06" w:rsidRPr="00D20917" w:rsidRDefault="00952B8E">
            <w:pPr>
              <w:pStyle w:val="Normal6"/>
              <w:rPr>
                <w:szCs w:val="24"/>
              </w:rPr>
            </w:pPr>
            <w:r w:rsidRPr="00D20917">
              <w:rPr>
                <w:vertAlign w:val="superscript"/>
              </w:rPr>
              <w:t xml:space="preserve">17 </w:t>
            </w:r>
            <w:r w:rsidRPr="00D20917">
              <w:t xml:space="preserve">Nariadenie Európskeho parlamentu a Rady (EÚ) 2019/877 z 20. mája 2019, </w:t>
            </w:r>
            <w:r w:rsidRPr="00D20917">
              <w:t>ktorým sa mení nariadenie (EÚ) č. 806/2014, pokiaľ ide o kapacitu úverových inštitúcií a investičných spoločností na absorpciu strát a rekapitalizáciu (Ú. v. EÚ L 150, 7.6.2019, s. 226).</w:t>
            </w:r>
          </w:p>
        </w:tc>
      </w:tr>
      <w:tr w:rsidR="001D3093" w:rsidRPr="00D20917" w:rsidTr="00932D06">
        <w:trPr>
          <w:jc w:val="center"/>
        </w:trPr>
        <w:tc>
          <w:tcPr>
            <w:tcW w:w="4876" w:type="dxa"/>
            <w:hideMark/>
          </w:tcPr>
          <w:p w:rsidR="00932D06" w:rsidRPr="00D20917" w:rsidRDefault="00952B8E">
            <w:pPr>
              <w:pStyle w:val="Normal6"/>
            </w:pPr>
            <w:r w:rsidRPr="00D20917">
              <w:rPr>
                <w:vertAlign w:val="superscript"/>
              </w:rPr>
              <w:t xml:space="preserve">18 </w:t>
            </w:r>
            <w:r w:rsidRPr="00D20917">
              <w:t xml:space="preserve">Smernica Európskeho parlamentu a Rady </w:t>
            </w:r>
            <w:r w:rsidRPr="00D20917">
              <w:lastRenderedPageBreak/>
              <w:t>2014/59/EÚ z 15. mája 2014,</w:t>
            </w:r>
            <w:r w:rsidRPr="00D20917">
              <w:t xml:space="preserve"> ktorou sa stanovuje rámec pre ozdravenie a riešenie krízových situácií úverových inštitúcií a investičných spoločností a ktorou sa mení smernica Rady 82/891/EHS a smernice Európskeho parlamentu a Rady 2001/24/ES, 2002/47/ES, 2004/25/ES, 2005/56/ES, 2007/3</w:t>
            </w:r>
            <w:r w:rsidRPr="00D20917">
              <w:t>6/ES, 2011/35/EÚ, 2012/30/EÚ a 2013/36/EÚ a nariadenia Európskeho parlamentu a Rady (EÚ) č. 1093/2010 a (EÚ) č. 648/2012 (Ú. v. EÚ L 173, 12.6.2014, s. 190).</w:t>
            </w:r>
          </w:p>
        </w:tc>
        <w:tc>
          <w:tcPr>
            <w:tcW w:w="4876" w:type="dxa"/>
            <w:hideMark/>
          </w:tcPr>
          <w:p w:rsidR="00932D06" w:rsidRPr="00D20917" w:rsidRDefault="00952B8E" w:rsidP="00952B8E">
            <w:pPr>
              <w:pStyle w:val="Normal6"/>
              <w:rPr>
                <w:szCs w:val="24"/>
              </w:rPr>
            </w:pPr>
            <w:r w:rsidRPr="00D20917">
              <w:rPr>
                <w:vertAlign w:val="superscript"/>
              </w:rPr>
              <w:lastRenderedPageBreak/>
              <w:t xml:space="preserve">18 </w:t>
            </w:r>
            <w:r w:rsidRPr="00D20917">
              <w:t xml:space="preserve">Smernica Európskeho parlamentu a Rady </w:t>
            </w:r>
            <w:r w:rsidRPr="00D20917">
              <w:lastRenderedPageBreak/>
              <w:t>2014/59/EÚ z 15. mája 2014, ktorou sa stanovuje rámec pre</w:t>
            </w:r>
            <w:r w:rsidRPr="00D20917">
              <w:t xml:space="preserve"> ozdravenie a riešenie krízových situácií úverových inštitúcií a investičných spoločností a ktorou sa mení smernica Rady 82/891/EHS a smernice Európskeho parlamentu a Rady 2001/24/ES, 2002/47/ES, 2004/25/ES, 2005/56/ES, 2007/36/ES, 2011/35/EÚ, 2012/30/EÚ a</w:t>
            </w:r>
            <w:r w:rsidRPr="00D20917">
              <w:t> 2013/36/EÚ a nariadenia Európskeho parlamentu a Rady (EÚ) č.</w:t>
            </w:r>
            <w:r>
              <w:t> </w:t>
            </w:r>
            <w:r w:rsidRPr="00D20917">
              <w:t>1093/2010 a (EÚ) č. 648/2012 (Ú. v. EÚ L 173, 12.6.2014, s. 190).</w:t>
            </w:r>
          </w:p>
        </w:tc>
      </w:tr>
      <w:tr w:rsidR="001D3093" w:rsidRPr="00D20917" w:rsidTr="00932D06">
        <w:trPr>
          <w:jc w:val="center"/>
        </w:trPr>
        <w:tc>
          <w:tcPr>
            <w:tcW w:w="4876" w:type="dxa"/>
            <w:hideMark/>
          </w:tcPr>
          <w:p w:rsidR="00932D06" w:rsidRPr="00D20917" w:rsidRDefault="00952B8E">
            <w:pPr>
              <w:pStyle w:val="Normal6"/>
            </w:pPr>
            <w:r w:rsidRPr="00D20917">
              <w:rPr>
                <w:vertAlign w:val="superscript"/>
              </w:rPr>
              <w:lastRenderedPageBreak/>
              <w:t>19</w:t>
            </w:r>
            <w:r w:rsidRPr="00D20917">
              <w:t xml:space="preserve"> Nariadenie Európskeho parlamentu a Rady (EÚ) č. 806/2014 z 15. júla 2014, ktorým sa stanovujú jednotné pravidlá a jednotný p</w:t>
            </w:r>
            <w:r w:rsidRPr="00D20917">
              <w:t>ostup riešenia krízových situácií úverových inštitúcií a určitých investičných spoločností v rámci jednotného mechanizmu riešenia krízových situácií a jednotného fondu na riešenie krízových situácií a ktorým sa mení nariadenie (EÚ) č. 1093/2010 (Ú. v. EÚ L</w:t>
            </w:r>
            <w:r w:rsidRPr="00D20917">
              <w:t> 225, 30.7.2014, s. 1).</w:t>
            </w:r>
          </w:p>
        </w:tc>
        <w:tc>
          <w:tcPr>
            <w:tcW w:w="4876" w:type="dxa"/>
            <w:hideMark/>
          </w:tcPr>
          <w:p w:rsidR="00932D06" w:rsidRPr="00D20917" w:rsidRDefault="00952B8E">
            <w:pPr>
              <w:pStyle w:val="Normal6"/>
              <w:rPr>
                <w:szCs w:val="24"/>
              </w:rPr>
            </w:pPr>
            <w:r w:rsidRPr="00D20917">
              <w:rPr>
                <w:vertAlign w:val="superscript"/>
              </w:rPr>
              <w:t>19</w:t>
            </w:r>
            <w:r w:rsidRPr="00D20917">
              <w:t xml:space="preserve"> Nariadenie Európskeho parlamentu a Rady (EÚ) č. 806/2014 z 15. júla 2014, ktorým sa stanovujú jednotné pravidlá a jednotný postup riešenia krízových situácií úverových inštitúcií a určitých investičných spoločností v rámci jednot</w:t>
            </w:r>
            <w:r w:rsidRPr="00D20917">
              <w:t>ného mechanizmu riešenia krízových situácií a jednotného fondu na riešenie krízových situácií a ktorým sa mení nariadenie (EÚ) č. 1093/2010 (Ú. v. EÚ L 225, 30.7.2014, s. 1).</w:t>
            </w:r>
          </w:p>
        </w:tc>
      </w:tr>
    </w:tbl>
    <w:p w:rsidR="00932D06" w:rsidRPr="00D20917" w:rsidRDefault="00952B8E" w:rsidP="00932D06">
      <w:pPr>
        <w:pStyle w:val="Olang"/>
        <w:rPr>
          <w:sz w:val="24"/>
          <w:szCs w:val="24"/>
        </w:rPr>
      </w:pPr>
      <w:r w:rsidRPr="00D20917">
        <w:rPr>
          <w:sz w:val="24"/>
          <w:szCs w:val="24"/>
        </w:rPr>
        <w:t xml:space="preserve">Or. </w:t>
      </w:r>
      <w:r w:rsidRPr="00D20917">
        <w:rPr>
          <w:rStyle w:val="HideTWBExt"/>
        </w:rPr>
        <w:t>&lt;Original&gt;</w:t>
      </w:r>
      <w:r w:rsidRPr="00D20917">
        <w:rPr>
          <w:rStyle w:val="HideTWBInt"/>
          <w:sz w:val="24"/>
          <w:szCs w:val="24"/>
        </w:rPr>
        <w:t>{EN}</w:t>
      </w:r>
      <w:r w:rsidRPr="00D20917">
        <w:rPr>
          <w:sz w:val="24"/>
          <w:szCs w:val="24"/>
        </w:rPr>
        <w:t>en</w:t>
      </w:r>
      <w:r w:rsidRPr="00D20917">
        <w:rPr>
          <w:rStyle w:val="HideTWBExt"/>
        </w:rPr>
        <w:t>&lt;/Original&gt;</w:t>
      </w:r>
    </w:p>
    <w:p w:rsidR="00932D06" w:rsidRPr="00D20917" w:rsidRDefault="00952B8E" w:rsidP="00932D06">
      <w:pPr>
        <w:rPr>
          <w:szCs w:val="24"/>
        </w:rPr>
      </w:pPr>
      <w:r w:rsidRPr="00D20917">
        <w:rPr>
          <w:rStyle w:val="HideTWBExt"/>
        </w:rPr>
        <w:t>&lt;/Amend&gt;</w:t>
      </w:r>
    </w:p>
    <w:p w:rsidR="00932D06" w:rsidRPr="00D20917" w:rsidRDefault="00952B8E" w:rsidP="00932D06">
      <w:pPr>
        <w:pStyle w:val="AMNumberTabs0"/>
        <w:keepNext/>
      </w:pPr>
      <w:r w:rsidRPr="00D20917">
        <w:rPr>
          <w:rStyle w:val="HideTWBExt"/>
          <w:b w:val="0"/>
        </w:rPr>
        <w:t>&lt;Amend&gt;</w:t>
      </w:r>
      <w:r w:rsidRPr="00D20917">
        <w:t>Pozmeňujúci návrh</w:t>
      </w:r>
      <w:r w:rsidRPr="00D20917">
        <w:tab/>
      </w:r>
      <w:r w:rsidRPr="00D20917">
        <w:tab/>
      </w:r>
      <w:r w:rsidRPr="00D20917">
        <w:rPr>
          <w:rStyle w:val="HideTWBExt"/>
          <w:b w:val="0"/>
        </w:rPr>
        <w:t>&lt;NumAm&gt;</w:t>
      </w:r>
      <w:r w:rsidRPr="00D20917">
        <w:t>2</w:t>
      </w:r>
      <w:r w:rsidRPr="00D20917">
        <w:rPr>
          <w:rStyle w:val="HideTWBExt"/>
          <w:b w:val="0"/>
        </w:rPr>
        <w:t>&lt;/NumAm&gt;</w:t>
      </w:r>
    </w:p>
    <w:p w:rsidR="00932D06" w:rsidRPr="00D20917" w:rsidRDefault="00952B8E" w:rsidP="00932D06">
      <w:pPr>
        <w:pStyle w:val="NormalBold12b"/>
        <w:keepNext/>
      </w:pPr>
      <w:r w:rsidRPr="00D20917">
        <w:rPr>
          <w:rStyle w:val="HideTWBExt"/>
          <w:b w:val="0"/>
        </w:rPr>
        <w:t>&lt;DocAmend&gt;</w:t>
      </w:r>
      <w:r w:rsidRPr="00D20917">
        <w:t>Návrh smernice</w:t>
      </w:r>
      <w:r w:rsidRPr="00D20917">
        <w:rPr>
          <w:rStyle w:val="HideTWBExt"/>
          <w:b w:val="0"/>
        </w:rPr>
        <w:t>&lt;/DocAmend&gt;</w:t>
      </w:r>
    </w:p>
    <w:p w:rsidR="00932D06" w:rsidRPr="00D20917" w:rsidRDefault="00952B8E" w:rsidP="00932D06">
      <w:pPr>
        <w:pStyle w:val="NormalBold"/>
      </w:pPr>
      <w:r w:rsidRPr="00D20917">
        <w:rPr>
          <w:rStyle w:val="HideTWBExt"/>
          <w:b w:val="0"/>
        </w:rPr>
        <w:t>&lt;Article&gt;</w:t>
      </w:r>
      <w:r w:rsidRPr="00D20917">
        <w:t>Odôvodnenie 3</w:t>
      </w:r>
      <w:r w:rsidRPr="00D209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093" w:rsidRPr="00D20917" w:rsidTr="00932D06">
        <w:trPr>
          <w:jc w:val="center"/>
        </w:trPr>
        <w:tc>
          <w:tcPr>
            <w:tcW w:w="9752" w:type="dxa"/>
            <w:gridSpan w:val="2"/>
          </w:tcPr>
          <w:p w:rsidR="00932D06" w:rsidRPr="00D20917" w:rsidRDefault="00932D06">
            <w:pPr>
              <w:keepNext/>
            </w:pPr>
          </w:p>
        </w:tc>
      </w:tr>
      <w:tr w:rsidR="001D3093" w:rsidRPr="00D20917" w:rsidTr="00932D06">
        <w:trPr>
          <w:jc w:val="center"/>
        </w:trPr>
        <w:tc>
          <w:tcPr>
            <w:tcW w:w="4876" w:type="dxa"/>
            <w:hideMark/>
          </w:tcPr>
          <w:p w:rsidR="00932D06" w:rsidRPr="00D20917" w:rsidRDefault="00952B8E">
            <w:pPr>
              <w:pStyle w:val="ColumnHeading"/>
              <w:keepNext/>
            </w:pPr>
            <w:r w:rsidRPr="00D20917">
              <w:t>Text predložený Komisiou</w:t>
            </w:r>
          </w:p>
        </w:tc>
        <w:tc>
          <w:tcPr>
            <w:tcW w:w="4876" w:type="dxa"/>
            <w:hideMark/>
          </w:tcPr>
          <w:p w:rsidR="00932D06" w:rsidRPr="00D20917" w:rsidRDefault="00952B8E">
            <w:pPr>
              <w:pStyle w:val="ColumnHeading"/>
              <w:keepNext/>
            </w:pPr>
            <w:r w:rsidRPr="00D20917">
              <w:t>Pozmeňujúci návrh</w:t>
            </w:r>
          </w:p>
        </w:tc>
      </w:tr>
      <w:tr w:rsidR="001D3093" w:rsidRPr="00D20917" w:rsidTr="00932D06">
        <w:trPr>
          <w:jc w:val="center"/>
        </w:trPr>
        <w:tc>
          <w:tcPr>
            <w:tcW w:w="4876" w:type="dxa"/>
            <w:hideMark/>
          </w:tcPr>
          <w:p w:rsidR="00932D06" w:rsidRPr="00D20917" w:rsidRDefault="00952B8E" w:rsidP="00952B8E">
            <w:pPr>
              <w:pStyle w:val="Normal6"/>
            </w:pPr>
            <w:r w:rsidRPr="00D20917">
              <w:t>(3)</w:t>
            </w:r>
            <w:r w:rsidRPr="00D20917">
              <w:tab/>
              <w:t xml:space="preserve">Z preskúmania Komisie vyplynulo, že vzhľadom na ciele, ktoré sa sledujú pravidlami internej MREL, by bolo vhodné a primerané </w:t>
            </w:r>
            <w:r w:rsidRPr="00D20917">
              <w:t>povoliť orgánom pre riešenie krízových situácií, aby stanovili internú MREL na konsolidovanom základe pre širší rozsah subjektov, než je rozsah subjektov vyplývajúci z uplatňovania smernice 2014/59/EÚ a nariadenia (EÚ) č.</w:t>
            </w:r>
            <w:r>
              <w:t> </w:t>
            </w:r>
            <w:r w:rsidRPr="00D20917">
              <w:t>806/2014, pričom takýto širší rozs</w:t>
            </w:r>
            <w:r w:rsidRPr="00D20917">
              <w:t>ah zahŕňa inštitúcie a subjekty, ktoré nie sú samy subjektmi, ktorých krízová situácia sa rieši, ale sú dcérskymi spoločnosťami subjektov, ktorých krízová situácia sa rieši, a samy ovládajú dcérske spoločnosti</w:t>
            </w:r>
            <w:r w:rsidRPr="00D20917">
              <w:rPr>
                <w:b/>
                <w:bCs/>
                <w:i/>
                <w:iCs/>
              </w:rPr>
              <w:t>, na ktoré sa vzťahuje MREL</w:t>
            </w:r>
            <w:r w:rsidRPr="00D20917">
              <w:t xml:space="preserve"> (ďalej len </w:t>
            </w:r>
            <w:r w:rsidRPr="00D20917">
              <w:lastRenderedPageBreak/>
              <w:t>„sprostr</w:t>
            </w:r>
            <w:r w:rsidRPr="00D20917">
              <w:t xml:space="preserve">edkovateľské subjekty“). Bol by to prípad najmä tých bankových skupín, na čele ktorých stojí holdingová spoločnosť. V takýchto prípadoch sprostredkovateľské subjekty prirodzene centralizujú vnútroskupinové expozície a usmerňujú zdroje oprávnené na internú </w:t>
            </w:r>
            <w:r w:rsidRPr="00D20917">
              <w:t>MREL, ktoré boli vopred pripravené subjektom, ktorého krízová situácia sa rieši. Vzhľadom na takúto štruktúru by boli takéto sprostredkovateľské subjekty pravidlami odpočtu neprimerane postihnuté. Komisia okrem toho dospela aj k záveru, že rámec MREL by bo</w:t>
            </w:r>
            <w:r w:rsidRPr="00D20917">
              <w:t xml:space="preserve">l primeranejší, keby sa </w:t>
            </w:r>
            <w:r w:rsidRPr="00D20917">
              <w:rPr>
                <w:b/>
                <w:bCs/>
                <w:i/>
                <w:iCs/>
              </w:rPr>
              <w:t>emisie likvidačných subjektov vyňali z rozsahu</w:t>
            </w:r>
            <w:r w:rsidRPr="00D20917">
              <w:t xml:space="preserve"> expozícií, ktoré je sprostredkovateľský subjekt povinný odpočítať </w:t>
            </w:r>
            <w:r w:rsidRPr="00D20917">
              <w:rPr>
                <w:b/>
                <w:bCs/>
                <w:i/>
                <w:iCs/>
              </w:rPr>
              <w:t>podľa mechanizmu odpočtov v prípade nepriameho upisovania zdrojov oprávnených na internú MREL</w:t>
            </w:r>
            <w:r w:rsidRPr="00D20917">
              <w:t>. Subjekt, ktorého krízová</w:t>
            </w:r>
            <w:r w:rsidRPr="00D20917">
              <w:t xml:space="preserve"> situácia sa rieši, </w:t>
            </w:r>
            <w:r w:rsidRPr="00D20917">
              <w:rPr>
                <w:b/>
                <w:bCs/>
                <w:i/>
                <w:iCs/>
              </w:rPr>
              <w:t xml:space="preserve">nebude </w:t>
            </w:r>
            <w:r w:rsidRPr="00D20917">
              <w:t xml:space="preserve">musieť </w:t>
            </w:r>
            <w:r w:rsidRPr="00D20917">
              <w:rPr>
                <w:b/>
                <w:bCs/>
                <w:i/>
                <w:iCs/>
              </w:rPr>
              <w:t>podporovať likvidačný subjekt v prípade zlyhania</w:t>
            </w:r>
            <w:r w:rsidRPr="00D20917">
              <w:t xml:space="preserve">, takže zanikne potreba zabezpečiť </w:t>
            </w:r>
            <w:r w:rsidRPr="00D20917">
              <w:rPr>
                <w:b/>
                <w:bCs/>
                <w:i/>
                <w:iCs/>
              </w:rPr>
              <w:t>akékoľvek</w:t>
            </w:r>
            <w:r w:rsidRPr="00D20917">
              <w:t xml:space="preserve"> mechanizmy prevodu strát a kapitálu v rámci skupín, ktorých krízová situácia sa rieši, čo bolo účelom pravidiel odpočtov zavedený</w:t>
            </w:r>
            <w:r w:rsidRPr="00D20917">
              <w:t>ch nariadením (EÚ) 2022/2036. Subjekt, ktorého krízová situácia sa rieši, však naopak bude musieť podporovať v prípade ťažkostí alebo zlyhania ostatné subjekty skupiny, ktorej krízová situácia sa rieši. Potrebné zdroje MREL by preto mali byť k dispozícii n</w:t>
            </w:r>
            <w:r w:rsidRPr="00D20917">
              <w:t>a všetkých úrovniach skupiny, ktorej krízová situácia sa rieši, a ich dostupnosť na účely absorpcie strát a rekapitalizácie by sa mala zabezpečiť prostredníctvom mechanizmu odpočtov. Komisia tak vo svojom preskúmaní dospela k záveru, že sprostredkovateľské</w:t>
            </w:r>
            <w:r w:rsidRPr="00D20917">
              <w:t xml:space="preserve"> subjekty by mali aj naďalej odpočítavať celú sumu svojich podielov vo forme zdrojov oprávnených na internú MREL emitovaných ostatnými nelikvidačnými subjektmi tej istej skupiny, ktorej krízová situácia sa rieši.</w:t>
            </w:r>
          </w:p>
        </w:tc>
        <w:tc>
          <w:tcPr>
            <w:tcW w:w="4876" w:type="dxa"/>
            <w:hideMark/>
          </w:tcPr>
          <w:p w:rsidR="00932D06" w:rsidRPr="00D20917" w:rsidRDefault="00952B8E" w:rsidP="00952B8E">
            <w:pPr>
              <w:pStyle w:val="Normal6"/>
              <w:rPr>
                <w:szCs w:val="24"/>
              </w:rPr>
            </w:pPr>
            <w:r w:rsidRPr="00D20917">
              <w:lastRenderedPageBreak/>
              <w:t>(3)</w:t>
            </w:r>
            <w:r w:rsidRPr="00D20917">
              <w:tab/>
              <w:t>Z preskúmania Komisie vyplynulo, že vzh</w:t>
            </w:r>
            <w:r w:rsidRPr="00D20917">
              <w:t>ľadom na ciele, ktoré sa sledujú pravidlami internej MREL, by bolo vhodné a primerané povoliť orgánom pre riešenie krízových situácií, aby stanovili internú MREL na konsolidovanom základe pre širší rozsah subjektov, než je rozsah subjektov vyplývajúci z up</w:t>
            </w:r>
            <w:r w:rsidRPr="00D20917">
              <w:t>latňovania smernice 2014/59/EÚ a nariadenia (EÚ) č.</w:t>
            </w:r>
            <w:r>
              <w:t> </w:t>
            </w:r>
            <w:r w:rsidRPr="00D20917">
              <w:t>806/2014, pričom takýto širší rozsah zahŕňa inštitúcie a subjekty, ktoré nie sú samy subjektmi, ktorých krízová situácia sa rieši, ale sú dcérskymi spoločnosťami subjektov, ktorých krízová situácia sa rie</w:t>
            </w:r>
            <w:r w:rsidRPr="00D20917">
              <w:t xml:space="preserve">ši, a samy ovládajú </w:t>
            </w:r>
            <w:r w:rsidRPr="00D20917">
              <w:rPr>
                <w:b/>
                <w:bCs/>
                <w:i/>
                <w:iCs/>
              </w:rPr>
              <w:t xml:space="preserve">iné </w:t>
            </w:r>
            <w:r w:rsidRPr="00D20917">
              <w:t>dcérske spoločnosti</w:t>
            </w:r>
            <w:r w:rsidRPr="00D20917">
              <w:rPr>
                <w:b/>
                <w:bCs/>
                <w:i/>
                <w:iCs/>
              </w:rPr>
              <w:t xml:space="preserve"> </w:t>
            </w:r>
            <w:r w:rsidRPr="00D20917">
              <w:t>(ďalej len „sprostredkovateľské subjekty“)</w:t>
            </w:r>
            <w:r w:rsidRPr="00D20917">
              <w:rPr>
                <w:b/>
                <w:bCs/>
                <w:i/>
                <w:iCs/>
              </w:rPr>
              <w:t xml:space="preserve"> </w:t>
            </w:r>
            <w:r w:rsidRPr="00D20917">
              <w:rPr>
                <w:b/>
                <w:bCs/>
                <w:i/>
                <w:iCs/>
              </w:rPr>
              <w:lastRenderedPageBreak/>
              <w:t>v tej istej skupine, ktorej krízová situácia sa rieši</w:t>
            </w:r>
            <w:r w:rsidRPr="00D20917">
              <w:t>. Bol by to prípad najmä tých bankových skupín, na čele ktorých stojí holdingová spoločnosť. V takýchto prípadoch sp</w:t>
            </w:r>
            <w:r w:rsidRPr="00D20917">
              <w:t xml:space="preserve">rostredkovateľské subjekty prirodzene centralizujú vnútroskupinové expozície a usmerňujú zdroje oprávnené na internú MREL, ktoré boli vopred pripravené subjektom, ktorého krízová situácia sa rieši. Vzhľadom na takúto štruktúru by </w:t>
            </w:r>
            <w:r w:rsidRPr="00D20917">
              <w:rPr>
                <w:b/>
                <w:bCs/>
                <w:i/>
                <w:iCs/>
              </w:rPr>
              <w:t xml:space="preserve">mohli </w:t>
            </w:r>
            <w:r w:rsidRPr="00D20917">
              <w:t>takéto sprostredkova</w:t>
            </w:r>
            <w:r w:rsidRPr="00D20917">
              <w:t xml:space="preserve">teľské subjekty </w:t>
            </w:r>
            <w:r w:rsidRPr="00D20917">
              <w:rPr>
                <w:b/>
                <w:bCs/>
                <w:i/>
                <w:iCs/>
              </w:rPr>
              <w:t>byť</w:t>
            </w:r>
            <w:r w:rsidRPr="00D20917">
              <w:t xml:space="preserve"> pravidlami odpočtu neprimerane postihnuté. Komisia takisto dospela k</w:t>
            </w:r>
            <w:r>
              <w:t> </w:t>
            </w:r>
            <w:r w:rsidRPr="00D20917">
              <w:t xml:space="preserve">záveru, že rámec MREL by </w:t>
            </w:r>
            <w:r w:rsidRPr="00D20917">
              <w:rPr>
                <w:b/>
                <w:bCs/>
                <w:i/>
                <w:iCs/>
              </w:rPr>
              <w:t>bol</w:t>
            </w:r>
            <w:r w:rsidRPr="00D20917">
              <w:t xml:space="preserve"> primeranejší, keby </w:t>
            </w:r>
            <w:r w:rsidRPr="00D20917">
              <w:rPr>
                <w:b/>
                <w:bCs/>
                <w:i/>
                <w:iCs/>
              </w:rPr>
              <w:t>sa upravili pravidlá pre</w:t>
            </w:r>
            <w:r>
              <w:t> </w:t>
            </w:r>
            <w:r w:rsidRPr="00D20917">
              <w:t>rozsah expozícií, ktoré je sprostredkovateľský subjekt povinný odpočítať</w:t>
            </w:r>
            <w:r w:rsidRPr="00D20917">
              <w:rPr>
                <w:b/>
                <w:bCs/>
                <w:i/>
                <w:iCs/>
              </w:rPr>
              <w:t>, ak je emitujúcim sub</w:t>
            </w:r>
            <w:r w:rsidRPr="00D20917">
              <w:rPr>
                <w:b/>
                <w:bCs/>
                <w:i/>
                <w:iCs/>
              </w:rPr>
              <w:t xml:space="preserve">jektom </w:t>
            </w:r>
            <w:r w:rsidRPr="00D20917">
              <w:t>likvidačný subjekt,</w:t>
            </w:r>
            <w:r w:rsidRPr="00D20917">
              <w:rPr>
                <w:b/>
                <w:bCs/>
                <w:i/>
                <w:iCs/>
              </w:rPr>
              <w:t xml:space="preserve"> na ktorý sa nevzťahuje rozhodnutie o MREL</w:t>
            </w:r>
            <w:r w:rsidRPr="00D20917">
              <w:t>.</w:t>
            </w:r>
            <w:r w:rsidRPr="00D20917">
              <w:rPr>
                <w:b/>
                <w:i/>
              </w:rPr>
              <w:t xml:space="preserve"> </w:t>
            </w:r>
            <w:r w:rsidRPr="00D20917">
              <w:rPr>
                <w:b/>
                <w:bCs/>
                <w:i/>
                <w:iCs/>
              </w:rPr>
              <w:t>V tých prípadoch sa nepredpokladá, že na takéto likvidačné subjekty bude treba uplatniť právomoc odpísať dlh a vykonať konverziu,</w:t>
            </w:r>
            <w:r w:rsidRPr="00D20917">
              <w:t xml:space="preserve"> takže zanikne potreba zabezpečiť mechanizmy prevodu strá</w:t>
            </w:r>
            <w:r w:rsidRPr="00D20917">
              <w:t>t a kapitálu v rámci skupín, ktorých krízová situácia sa rieši, čo bolo účelom pravidiel odpočtov zavedených nariadením (EÚ) 2022/2036. Subjekt, ktorého krízová situácia sa rieši, však naopak bude musieť podporovať v prípade ťažkostí alebo zlyhania ostatné</w:t>
            </w:r>
            <w:r w:rsidRPr="00D20917">
              <w:t xml:space="preserve"> subjekty skupiny, ktorej krízová situácia sa rieši. Potrebné zdroje MREL by preto mali byť k dispozícii na všetkých úrovniach skupiny, ktorej krízová situácia sa rieši, a ich dostupnosť na účely absorpcie strát a rekapitalizácie by sa mala zabezpečiť pros</w:t>
            </w:r>
            <w:r w:rsidRPr="00D20917">
              <w:t xml:space="preserve">tredníctvom mechanizmu odpočtov. Komisia tak vo svojom preskúmaní dospela k záveru, že sprostredkovateľské subjekty by mali aj naďalej odpočítavať celú sumu svojich podielov vo forme zdrojov oprávnených na internú MREL emitovaných ostatnými nelikvidačnými </w:t>
            </w:r>
            <w:r w:rsidRPr="00D20917">
              <w:t>subjektmi tej istej skupiny, ktorej krízová situácia sa rieši.</w:t>
            </w:r>
          </w:p>
        </w:tc>
      </w:tr>
    </w:tbl>
    <w:p w:rsidR="00932D06" w:rsidRPr="00D20917" w:rsidRDefault="00952B8E" w:rsidP="00932D06">
      <w:pPr>
        <w:pStyle w:val="Olang"/>
        <w:rPr>
          <w:sz w:val="24"/>
          <w:szCs w:val="24"/>
        </w:rPr>
      </w:pPr>
      <w:r w:rsidRPr="00D20917">
        <w:rPr>
          <w:sz w:val="24"/>
          <w:szCs w:val="24"/>
        </w:rPr>
        <w:lastRenderedPageBreak/>
        <w:t xml:space="preserve">Or. </w:t>
      </w:r>
      <w:r w:rsidRPr="00D20917">
        <w:rPr>
          <w:rStyle w:val="HideTWBExt"/>
        </w:rPr>
        <w:t>&lt;Original&gt;</w:t>
      </w:r>
      <w:r w:rsidRPr="00D20917">
        <w:rPr>
          <w:rStyle w:val="HideTWBInt"/>
          <w:sz w:val="24"/>
          <w:szCs w:val="24"/>
        </w:rPr>
        <w:t>{EN}</w:t>
      </w:r>
      <w:r w:rsidRPr="00D20917">
        <w:rPr>
          <w:sz w:val="24"/>
          <w:szCs w:val="24"/>
        </w:rPr>
        <w:t>en</w:t>
      </w:r>
      <w:r w:rsidRPr="00D20917">
        <w:rPr>
          <w:rStyle w:val="HideTWBExt"/>
        </w:rPr>
        <w:t>&lt;/Original&gt;</w:t>
      </w:r>
    </w:p>
    <w:p w:rsidR="00932D06" w:rsidRPr="00D20917" w:rsidRDefault="00952B8E" w:rsidP="00932D06">
      <w:pPr>
        <w:rPr>
          <w:szCs w:val="24"/>
        </w:rPr>
      </w:pPr>
      <w:r w:rsidRPr="00D20917">
        <w:rPr>
          <w:rStyle w:val="HideTWBExt"/>
        </w:rPr>
        <w:t>&lt;/Amend&gt;</w:t>
      </w:r>
    </w:p>
    <w:p w:rsidR="00932D06" w:rsidRPr="00D20917" w:rsidRDefault="00952B8E" w:rsidP="00932D06">
      <w:pPr>
        <w:pStyle w:val="AMNumberTabs0"/>
        <w:keepNext/>
      </w:pPr>
      <w:r w:rsidRPr="00D20917">
        <w:rPr>
          <w:rStyle w:val="HideTWBExt"/>
          <w:b w:val="0"/>
        </w:rPr>
        <w:lastRenderedPageBreak/>
        <w:t>&lt;Amend&gt;</w:t>
      </w:r>
      <w:r w:rsidRPr="00D20917">
        <w:t>Pozmeňujúci návrh</w:t>
      </w:r>
      <w:r w:rsidRPr="00D20917">
        <w:tab/>
      </w:r>
      <w:r w:rsidRPr="00D20917">
        <w:tab/>
      </w:r>
      <w:r w:rsidRPr="00D20917">
        <w:rPr>
          <w:rStyle w:val="HideTWBExt"/>
          <w:b w:val="0"/>
        </w:rPr>
        <w:t>&lt;NumAm&gt;</w:t>
      </w:r>
      <w:r w:rsidRPr="00D20917">
        <w:t>3</w:t>
      </w:r>
      <w:r w:rsidRPr="00D20917">
        <w:rPr>
          <w:rStyle w:val="HideTWBExt"/>
          <w:b w:val="0"/>
        </w:rPr>
        <w:t>&lt;/NumAm&gt;</w:t>
      </w:r>
    </w:p>
    <w:p w:rsidR="00932D06" w:rsidRPr="00D20917" w:rsidRDefault="00952B8E" w:rsidP="00932D06">
      <w:pPr>
        <w:pStyle w:val="NormalBold12b"/>
        <w:keepNext/>
      </w:pPr>
      <w:r w:rsidRPr="00D20917">
        <w:rPr>
          <w:rStyle w:val="HideTWBExt"/>
          <w:b w:val="0"/>
        </w:rPr>
        <w:t>&lt;DocAmend&gt;</w:t>
      </w:r>
      <w:r w:rsidRPr="00D20917">
        <w:t>Návrh smernice</w:t>
      </w:r>
      <w:r w:rsidRPr="00D20917">
        <w:rPr>
          <w:rStyle w:val="HideTWBExt"/>
          <w:b w:val="0"/>
        </w:rPr>
        <w:t>&lt;/DocAmend&gt;</w:t>
      </w:r>
    </w:p>
    <w:p w:rsidR="00932D06" w:rsidRPr="00D20917" w:rsidRDefault="00952B8E" w:rsidP="00932D06">
      <w:pPr>
        <w:pStyle w:val="NormalBold"/>
      </w:pPr>
      <w:r w:rsidRPr="00D20917">
        <w:rPr>
          <w:rStyle w:val="HideTWBExt"/>
          <w:b w:val="0"/>
        </w:rPr>
        <w:t>&lt;Article&gt;</w:t>
      </w:r>
      <w:r w:rsidRPr="00D20917">
        <w:t>Odôvodnenie 5</w:t>
      </w:r>
      <w:r w:rsidRPr="00D209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093" w:rsidRPr="00D20917" w:rsidTr="00932D06">
        <w:trPr>
          <w:jc w:val="center"/>
        </w:trPr>
        <w:tc>
          <w:tcPr>
            <w:tcW w:w="9752" w:type="dxa"/>
            <w:gridSpan w:val="2"/>
          </w:tcPr>
          <w:p w:rsidR="00932D06" w:rsidRPr="00D20917" w:rsidRDefault="00932D06">
            <w:pPr>
              <w:keepNext/>
            </w:pPr>
          </w:p>
        </w:tc>
      </w:tr>
      <w:tr w:rsidR="001D3093" w:rsidRPr="00D20917" w:rsidTr="00932D06">
        <w:trPr>
          <w:jc w:val="center"/>
        </w:trPr>
        <w:tc>
          <w:tcPr>
            <w:tcW w:w="4876" w:type="dxa"/>
            <w:hideMark/>
          </w:tcPr>
          <w:p w:rsidR="00932D06" w:rsidRPr="00D20917" w:rsidRDefault="00952B8E">
            <w:pPr>
              <w:pStyle w:val="ColumnHeading"/>
              <w:keepNext/>
            </w:pPr>
            <w:r w:rsidRPr="00D20917">
              <w:t>Text predložený Komisiou</w:t>
            </w:r>
          </w:p>
        </w:tc>
        <w:tc>
          <w:tcPr>
            <w:tcW w:w="4876" w:type="dxa"/>
            <w:hideMark/>
          </w:tcPr>
          <w:p w:rsidR="00932D06" w:rsidRPr="00D20917" w:rsidRDefault="00952B8E">
            <w:pPr>
              <w:pStyle w:val="ColumnHeading"/>
              <w:keepNext/>
            </w:pPr>
            <w:r w:rsidRPr="00D20917">
              <w:t xml:space="preserve">Pozmeňujúci </w:t>
            </w:r>
            <w:r w:rsidRPr="00D20917">
              <w:t>návrh</w:t>
            </w:r>
          </w:p>
        </w:tc>
      </w:tr>
      <w:tr w:rsidR="001D3093" w:rsidRPr="00D20917" w:rsidTr="00932D06">
        <w:trPr>
          <w:jc w:val="center"/>
        </w:trPr>
        <w:tc>
          <w:tcPr>
            <w:tcW w:w="4876" w:type="dxa"/>
            <w:hideMark/>
          </w:tcPr>
          <w:p w:rsidR="00932D06" w:rsidRPr="00D20917" w:rsidRDefault="00952B8E">
            <w:pPr>
              <w:pStyle w:val="Normal6"/>
            </w:pPr>
            <w:r w:rsidRPr="00D20917">
              <w:t>(5)</w:t>
            </w:r>
            <w:r w:rsidRPr="00D20917">
              <w:tab/>
              <w:t>S cieľom zabezpečiť, aby plnenie MREL na konsolidovanom základe bolo možné len v relevantných prípadoch identifikovaných v preskúmaní Komisie a neviedlo k nedostatku zdrojov oprávnených na internú MREL v skupine, ktorej krízová situácia sa rieši</w:t>
            </w:r>
            <w:r w:rsidRPr="00D20917">
              <w:t>, by právomoc stanoviť internú MREL na konsolidovanom základe pre sprostredkovateľské subjekty mala byť diskrečnou právomocou orgánu pre riešenie krízových situácií a mala by podliehať určitým podmienkam. Sprostredkovateľský subjekt by mal byť jedinou pria</w:t>
            </w:r>
            <w:r w:rsidRPr="00D20917">
              <w:t xml:space="preserve">mou dcérskou spoločnosťou, t. j. inštitúciou alebo subjektom, subjektu, ktorého krízová situácia sa rieši a ktorý je </w:t>
            </w:r>
            <w:r w:rsidRPr="00D20917">
              <w:rPr>
                <w:b/>
                <w:bCs/>
                <w:i/>
                <w:iCs/>
              </w:rPr>
              <w:t>materskou</w:t>
            </w:r>
            <w:r w:rsidRPr="00D20917">
              <w:t xml:space="preserve"> finančnou holdingovou spoločnosťou v Únii alebo materskou zmiešanou finančnou holdingovou spoločnosťou v Únii, je usadený v tom i</w:t>
            </w:r>
            <w:r w:rsidRPr="00D20917">
              <w:t>stom členskom štáte a je súčasťou tej istej skupiny, ktorej krízová situácia sa rieši. Dotknutý sprostredkovateľský subjekt by mal prípadne spĺňať dodatočnú požiadavku na vlastné zdroje alebo požiadavku na kombinovaný vankúš na základe svojej konsolidovane</w:t>
            </w:r>
            <w:r w:rsidRPr="00D20917">
              <w:t xml:space="preserve">j situácie. Plnenie internej MREL na konsolidovanom základe by však ani v jednom z uvedených dvoch prípadov nemalo podľa posúdenia orgánu pre riešenie krízových situácií </w:t>
            </w:r>
            <w:r w:rsidRPr="00D20917">
              <w:rPr>
                <w:b/>
                <w:bCs/>
                <w:i/>
                <w:iCs/>
              </w:rPr>
              <w:t xml:space="preserve">výrazne </w:t>
            </w:r>
            <w:r w:rsidRPr="00D20917">
              <w:t>ovplyvniť riešiteľnosť krízovej situácie dotknutej skupiny, ktorej krízová sit</w:t>
            </w:r>
            <w:r w:rsidRPr="00D20917">
              <w:t>uácia sa rieši, ani uplatnenie právomoci orgánu pre riešenie krízových situácií odpísať alebo konvertovať príslušné kapitálové nástroje a oprávnené záväzky dotknutého sprostredkovateľského subjektu alebo iných subjektov v jeho skupine, ktorej krízová situá</w:t>
            </w:r>
            <w:r w:rsidRPr="00D20917">
              <w:t>cia sa rieši.</w:t>
            </w:r>
          </w:p>
        </w:tc>
        <w:tc>
          <w:tcPr>
            <w:tcW w:w="4876" w:type="dxa"/>
            <w:hideMark/>
          </w:tcPr>
          <w:p w:rsidR="00932D06" w:rsidRPr="00D20917" w:rsidRDefault="00952B8E" w:rsidP="001C63AC">
            <w:pPr>
              <w:pStyle w:val="Normal6"/>
              <w:rPr>
                <w:szCs w:val="24"/>
              </w:rPr>
            </w:pPr>
            <w:r w:rsidRPr="00D20917">
              <w:t>(5)</w:t>
            </w:r>
            <w:r w:rsidRPr="00D20917">
              <w:tab/>
              <w:t>S cieľom zabezpečiť, aby plnenie MREL na konsolidovanom základe bolo možné len v relevantných prípadoch identifikovaných v preskúmaní Komisie a neviedlo k nedostatku zdrojov oprávnených na internú MREL v skupine, ktorej krízová situácia s</w:t>
            </w:r>
            <w:r w:rsidRPr="00D20917">
              <w:t>a rieši, by právomoc stanoviť internú MREL na konsolidovanom základe pre sprostredkovateľské subjekty mala byť diskrečnou právomocou orgánu pre riešenie krízových situácií a mala by podliehať určitým podmienkam. Sprostredkovateľský subjekt by mal byť jedin</w:t>
            </w:r>
            <w:r w:rsidRPr="00D20917">
              <w:t xml:space="preserve">ou priamou dcérskou spoločnosťou, t. j. inštitúciou alebo subjektom, subjektu, ktorého krízová situácia sa rieši a ktorý je materskou finančnou holdingovou spoločnosťou v Únii alebo materskou zmiešanou finančnou holdingovou spoločnosťou v Únii, je usadený </w:t>
            </w:r>
            <w:r w:rsidRPr="00D20917">
              <w:t>v tom istom členskom štáte a je súčasťou tej istej skupiny, ktorej krízová situácia sa rieši. Dotknutý sprostredkovateľský subjekt by mal prípadne spĺňať dodatočnú požiadavku na vlastné zdroje alebo požiadavku na kombinovaný vankúš na základe svojej konsol</w:t>
            </w:r>
            <w:r w:rsidRPr="00D20917">
              <w:t>idovanej situácie. Plnenie internej MREL na konsolidovanom základe by však ani v jednom z uvedených dvoch prípadov nemalo podľa posúdenia orgánu pre riešenie krízových situácií negatívne ovplyvniť riešiteľnosť krízovej situácie dotknutej skupiny, ktorej kr</w:t>
            </w:r>
            <w:r w:rsidRPr="00D20917">
              <w:t>ízová situácia sa rieši, ani uplatnenie právomoci orgánu pre riešenie krízových situácií odpísať alebo konvertovať príslušné kapitálové nástroje a oprávnené záväzky dotknutého sprostredkovateľského subjektu alebo iných subjektov v jeho skupine, ktorej kríz</w:t>
            </w:r>
            <w:r w:rsidRPr="00D20917">
              <w:t xml:space="preserve">ová situácia sa rieši. </w:t>
            </w:r>
            <w:r w:rsidRPr="00D20917">
              <w:rPr>
                <w:b/>
                <w:i/>
              </w:rPr>
              <w:t xml:space="preserve">Jedna zo situácií, keď by stanovenie internej MREL na konsolidovanom základe bolo škodlivé pre </w:t>
            </w:r>
            <w:r w:rsidRPr="00D20917">
              <w:rPr>
                <w:b/>
                <w:i/>
              </w:rPr>
              <w:lastRenderedPageBreak/>
              <w:t xml:space="preserve">riešiteľnosť krízovej situácie skupiny, ktorá sa rieši, nastáva, keď výška tejto MREL negarantuje dodržanie individuálnych požiadaviek na </w:t>
            </w:r>
            <w:r w:rsidRPr="00D20917">
              <w:rPr>
                <w:b/>
                <w:i/>
              </w:rPr>
              <w:t>vlastné zdroje uplatniteľné po výkone právomoci odpísať dlh a vykonať konverziu.</w:t>
            </w:r>
          </w:p>
        </w:tc>
      </w:tr>
    </w:tbl>
    <w:p w:rsidR="00932D06" w:rsidRPr="00D20917" w:rsidRDefault="00952B8E" w:rsidP="00932D06">
      <w:pPr>
        <w:pStyle w:val="Olang"/>
        <w:rPr>
          <w:sz w:val="24"/>
          <w:szCs w:val="24"/>
        </w:rPr>
      </w:pPr>
      <w:r w:rsidRPr="00D20917">
        <w:rPr>
          <w:sz w:val="24"/>
          <w:szCs w:val="24"/>
        </w:rPr>
        <w:lastRenderedPageBreak/>
        <w:t xml:space="preserve">Or. </w:t>
      </w:r>
      <w:r w:rsidRPr="00D20917">
        <w:rPr>
          <w:rStyle w:val="HideTWBExt"/>
        </w:rPr>
        <w:t>&lt;Original&gt;</w:t>
      </w:r>
      <w:r w:rsidRPr="00D20917">
        <w:rPr>
          <w:rStyle w:val="HideTWBInt"/>
          <w:sz w:val="24"/>
          <w:szCs w:val="24"/>
        </w:rPr>
        <w:t>{EN}</w:t>
      </w:r>
      <w:r w:rsidRPr="00D20917">
        <w:rPr>
          <w:sz w:val="24"/>
          <w:szCs w:val="24"/>
        </w:rPr>
        <w:t>en</w:t>
      </w:r>
      <w:r w:rsidRPr="00D20917">
        <w:rPr>
          <w:rStyle w:val="HideTWBExt"/>
        </w:rPr>
        <w:t>&lt;/Original&gt;</w:t>
      </w:r>
    </w:p>
    <w:p w:rsidR="00932D06" w:rsidRPr="00D20917" w:rsidRDefault="00952B8E" w:rsidP="00932D06">
      <w:pPr>
        <w:rPr>
          <w:szCs w:val="24"/>
        </w:rPr>
      </w:pPr>
      <w:r w:rsidRPr="00D20917">
        <w:rPr>
          <w:rStyle w:val="HideTWBExt"/>
        </w:rPr>
        <w:t>&lt;/Amend&gt;</w:t>
      </w:r>
    </w:p>
    <w:p w:rsidR="00932D06" w:rsidRPr="00D20917" w:rsidRDefault="00952B8E" w:rsidP="00932D06">
      <w:pPr>
        <w:pStyle w:val="AMNumberTabs0"/>
        <w:keepNext/>
      </w:pPr>
      <w:r w:rsidRPr="00D20917">
        <w:rPr>
          <w:rStyle w:val="HideTWBExt"/>
          <w:b w:val="0"/>
        </w:rPr>
        <w:t>&lt;Amend&gt;</w:t>
      </w:r>
      <w:r w:rsidRPr="00D20917">
        <w:t>Pozmeňujúci návrh</w:t>
      </w:r>
      <w:r w:rsidRPr="00D20917">
        <w:tab/>
      </w:r>
      <w:r w:rsidRPr="00D20917">
        <w:tab/>
      </w:r>
      <w:r w:rsidRPr="00D20917">
        <w:rPr>
          <w:rStyle w:val="HideTWBExt"/>
          <w:b w:val="0"/>
        </w:rPr>
        <w:t>&lt;NumAm&gt;</w:t>
      </w:r>
      <w:r w:rsidRPr="00D20917">
        <w:t>4</w:t>
      </w:r>
      <w:r w:rsidRPr="00D20917">
        <w:rPr>
          <w:rStyle w:val="HideTWBExt"/>
          <w:b w:val="0"/>
        </w:rPr>
        <w:t>&lt;/NumAm&gt;</w:t>
      </w:r>
    </w:p>
    <w:p w:rsidR="00932D06" w:rsidRPr="00D20917" w:rsidRDefault="00952B8E" w:rsidP="00932D06">
      <w:pPr>
        <w:pStyle w:val="NormalBold12b"/>
        <w:keepNext/>
      </w:pPr>
      <w:r w:rsidRPr="00D20917">
        <w:rPr>
          <w:rStyle w:val="HideTWBExt"/>
          <w:b w:val="0"/>
        </w:rPr>
        <w:t>&lt;DocAmend&gt;</w:t>
      </w:r>
      <w:r w:rsidRPr="00D20917">
        <w:t>Návrh smernice</w:t>
      </w:r>
      <w:r w:rsidRPr="00D20917">
        <w:rPr>
          <w:rStyle w:val="HideTWBExt"/>
          <w:b w:val="0"/>
        </w:rPr>
        <w:t>&lt;/DocAmend&gt;</w:t>
      </w:r>
    </w:p>
    <w:p w:rsidR="00932D06" w:rsidRPr="00D20917" w:rsidRDefault="00952B8E" w:rsidP="00932D06">
      <w:pPr>
        <w:pStyle w:val="NormalBold"/>
      </w:pPr>
      <w:r w:rsidRPr="00D20917">
        <w:rPr>
          <w:rStyle w:val="HideTWBExt"/>
          <w:b w:val="0"/>
        </w:rPr>
        <w:t>&lt;Article&gt;</w:t>
      </w:r>
      <w:r w:rsidRPr="00D20917">
        <w:t>Odôvodnenie 6</w:t>
      </w:r>
      <w:r w:rsidRPr="00D209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093" w:rsidRPr="00D20917" w:rsidTr="00932D06">
        <w:trPr>
          <w:jc w:val="center"/>
        </w:trPr>
        <w:tc>
          <w:tcPr>
            <w:tcW w:w="9752" w:type="dxa"/>
            <w:gridSpan w:val="2"/>
          </w:tcPr>
          <w:p w:rsidR="00932D06" w:rsidRPr="00D20917" w:rsidRDefault="00932D06">
            <w:pPr>
              <w:keepNext/>
            </w:pPr>
          </w:p>
        </w:tc>
      </w:tr>
      <w:tr w:rsidR="001D3093" w:rsidRPr="00D20917" w:rsidTr="00932D06">
        <w:trPr>
          <w:jc w:val="center"/>
        </w:trPr>
        <w:tc>
          <w:tcPr>
            <w:tcW w:w="4876" w:type="dxa"/>
            <w:hideMark/>
          </w:tcPr>
          <w:p w:rsidR="00932D06" w:rsidRPr="00D20917" w:rsidRDefault="00952B8E">
            <w:pPr>
              <w:pStyle w:val="ColumnHeading"/>
              <w:keepNext/>
            </w:pPr>
            <w:r w:rsidRPr="00D20917">
              <w:t xml:space="preserve">Text predložený </w:t>
            </w:r>
            <w:r w:rsidRPr="00D20917">
              <w:t>Komisiou</w:t>
            </w:r>
          </w:p>
        </w:tc>
        <w:tc>
          <w:tcPr>
            <w:tcW w:w="4876" w:type="dxa"/>
            <w:hideMark/>
          </w:tcPr>
          <w:p w:rsidR="00932D06" w:rsidRPr="00D20917" w:rsidRDefault="00952B8E">
            <w:pPr>
              <w:pStyle w:val="ColumnHeading"/>
              <w:keepNext/>
            </w:pPr>
            <w:r w:rsidRPr="00D20917">
              <w:t>Pozmeňujúci návrh</w:t>
            </w:r>
          </w:p>
        </w:tc>
      </w:tr>
      <w:tr w:rsidR="001D3093" w:rsidRPr="00D20917" w:rsidTr="00932D06">
        <w:trPr>
          <w:jc w:val="center"/>
        </w:trPr>
        <w:tc>
          <w:tcPr>
            <w:tcW w:w="4876" w:type="dxa"/>
            <w:hideMark/>
          </w:tcPr>
          <w:p w:rsidR="00932D06" w:rsidRPr="00D20917" w:rsidRDefault="00952B8E">
            <w:pPr>
              <w:pStyle w:val="Normal6"/>
            </w:pPr>
            <w:r w:rsidRPr="00D20917">
              <w:t>(6)</w:t>
            </w:r>
            <w:r w:rsidRPr="00D20917">
              <w:tab/>
              <w:t xml:space="preserve">Podľa článku 45f ods. 2 smernice 2014/59/EÚ a článku 12 g ods. 2 nariadenia (EÚ) č. 806/2014 môžu sprostredkovateľské subjekty splniť konsolidovanú internú MREL za použitia vlastných zdrojov a oprávnených záväzkov. Aby bolo </w:t>
            </w:r>
            <w:r w:rsidRPr="00D20917">
              <w:t xml:space="preserve">možné plne využiť možnosť plniť MREL na konsolidovanom základe, je potrebné zabezpečiť, aby sa oprávnené záväzky sprostredkovateľských subjektov vypočítavali podobným spôsobom ako pri výpočte vlastných zdrojov. Kritériá oprávnenosti pre oprávnené záväzky, </w:t>
            </w:r>
            <w:r w:rsidRPr="00D20917">
              <w:t>ktoré sa môžu použiť na splnenie internej MREL na konsolidovanom základe, by sa preto mali zosúladiť s pravidlami výpočtu konsolidovaných vlastných zdrojov stanovenými v nariadení (EÚ) č. 575/2013. S cieľom zabezpečiť konzistentnosť s existujúcimi pravidla</w:t>
            </w:r>
            <w:r w:rsidRPr="00D20917">
              <w:t xml:space="preserve">mi pre externú MREL by toto zosúladenie malo odrážať aj existujúce pravidlá stanovené v článku 45b ods. 3 smernice 2014/59/EÚ a článku 12d ods. 3 nariadenia (EÚ) č. 806/2014 na výpočet oprávnených záväzkov, ktoré môžu subjekty, ktorých krízová situácia sa </w:t>
            </w:r>
            <w:r w:rsidRPr="00D20917">
              <w:t xml:space="preserve">rieši, použiť na splnenie svojej konsolidovanej MREL. Predovšetkým je potrebné zabezpečiť, aby sa oprávnené záväzky emitované dcérskymi spoločnosťami subjektu, na ktorý sa vzťahuje konsolidovaná interná MREL, a ktoré sú v držbe iných subjektov tej istej </w:t>
            </w:r>
            <w:r w:rsidRPr="00D20917">
              <w:lastRenderedPageBreak/>
              <w:t>sk</w:t>
            </w:r>
            <w:r w:rsidRPr="00D20917">
              <w:t xml:space="preserve">upiny, ktorej krízová situácia sa rieši, ale mimo rozsahu konsolidácie, </w:t>
            </w:r>
            <w:r w:rsidRPr="00D20917">
              <w:rPr>
                <w:b/>
                <w:bCs/>
                <w:i/>
                <w:iCs/>
              </w:rPr>
              <w:t>vrátane subjektu, ktorého krízová situácia sa rieši,</w:t>
            </w:r>
            <w:r w:rsidRPr="00D20917">
              <w:t xml:space="preserve"> alebo v držbe existujúcich akcionárov, ktorí nepatria do tej istej skupiny, ktorej krízová situácia sa rieši, započítali do vlastný</w:t>
            </w:r>
            <w:r w:rsidRPr="00D20917">
              <w:t>ch zdrojov a oprávnených záväzkov subjektu, na ktorý sa vzťahuje konsolidovaná interná MREL.</w:t>
            </w:r>
          </w:p>
        </w:tc>
        <w:tc>
          <w:tcPr>
            <w:tcW w:w="4876" w:type="dxa"/>
            <w:hideMark/>
          </w:tcPr>
          <w:p w:rsidR="00932D06" w:rsidRPr="00D20917" w:rsidRDefault="00952B8E">
            <w:pPr>
              <w:pStyle w:val="Normal6"/>
              <w:rPr>
                <w:szCs w:val="24"/>
              </w:rPr>
            </w:pPr>
            <w:r w:rsidRPr="00D20917">
              <w:lastRenderedPageBreak/>
              <w:t>(6)</w:t>
            </w:r>
            <w:r w:rsidRPr="00D20917">
              <w:tab/>
              <w:t>Podľa článku 45f ods. 2 smernice 2014/59/EÚ a článku 12 g ods. 2 nariadenia (EÚ) č. 806/2014 môžu sprostredkovateľské subjekty splniť konsolidovanú internú MRE</w:t>
            </w:r>
            <w:r w:rsidRPr="00D20917">
              <w:t>L za použitia vlastných zdrojov a oprávnených záväzkov. Aby bolo možné plne využiť možnosť plniť MREL na konsolidovanom základe, je potrebné zabezpečiť, aby sa oprávnené záväzky sprostredkovateľských subjektov vypočítavali podobným spôsobom ako pri výpočte</w:t>
            </w:r>
            <w:r w:rsidRPr="00D20917">
              <w:t xml:space="preserve"> vlastných zdrojov. Kritériá oprávnenosti pre oprávnené záväzky, ktoré sa môžu použiť na splnenie internej MREL na konsolidovanom základe, by sa preto mali zosúladiť s pravidlami výpočtu konsolidovaných vlastných zdrojov stanovenými v nariadení (EÚ) č. 575</w:t>
            </w:r>
            <w:r w:rsidRPr="00D20917">
              <w:t>/2013. S cieľom zabezpečiť konzistentnosť s existujúcimi pravidlami pre externú MREL by toto zosúladenie malo odrážať aj existujúce pravidlá stanovené v článku 45b ods. 3 smernice 2014/59/EÚ a článku 12d ods. 3 nariadenia (EÚ) č. 806/2014 na výpočet oprávn</w:t>
            </w:r>
            <w:r w:rsidRPr="00D20917">
              <w:t>ených záväzkov, ktoré môžu subjekty, ktorých krízová situácia sa rieši, použiť na splnenie svojej konsolidovanej MREL. Predovšetkým je potrebné zabezpečiť, aby sa oprávnené záväzky emitované dcérskymi spoločnosťami subjektu, na ktorý sa vzťahuje konsolidov</w:t>
            </w:r>
            <w:r w:rsidRPr="00D20917">
              <w:t xml:space="preserve">aná interná MREL, a ktoré sú v držbe </w:t>
            </w:r>
            <w:r w:rsidRPr="00D20917">
              <w:rPr>
                <w:b/>
                <w:bCs/>
                <w:i/>
                <w:iCs/>
              </w:rPr>
              <w:t xml:space="preserve">subjektu, ktorého </w:t>
            </w:r>
            <w:r w:rsidRPr="00D20917">
              <w:rPr>
                <w:b/>
                <w:bCs/>
                <w:i/>
                <w:iCs/>
              </w:rPr>
              <w:lastRenderedPageBreak/>
              <w:t xml:space="preserve">krízová situácia sa rieši buď priamo alebo nepriamo prostredníctvom </w:t>
            </w:r>
            <w:r w:rsidRPr="00D20917">
              <w:t>iných subjektov tej istej skupiny, ktorej krízová situácia sa rieši, ale sú mimo rozsahu konsolidácie alebo v držbe existujúcich akci</w:t>
            </w:r>
            <w:r w:rsidRPr="00D20917">
              <w:t>onárov, ktorí nepatria do tej istej skupiny, ktorej krízová situácia sa rieši, započítali do vlastných zdrojov a oprávnených záväzkov subjektu, na ktorý sa vzťahuje konsolidovaná interná MREL.</w:t>
            </w:r>
          </w:p>
        </w:tc>
      </w:tr>
    </w:tbl>
    <w:p w:rsidR="00932D06" w:rsidRPr="00D20917" w:rsidRDefault="00952B8E" w:rsidP="00932D06">
      <w:pPr>
        <w:pStyle w:val="Olang"/>
        <w:rPr>
          <w:sz w:val="24"/>
          <w:szCs w:val="24"/>
        </w:rPr>
      </w:pPr>
      <w:r w:rsidRPr="00D20917">
        <w:rPr>
          <w:sz w:val="24"/>
          <w:szCs w:val="24"/>
        </w:rPr>
        <w:lastRenderedPageBreak/>
        <w:t xml:space="preserve">Or. </w:t>
      </w:r>
      <w:r w:rsidRPr="00D20917">
        <w:rPr>
          <w:rStyle w:val="HideTWBExt"/>
        </w:rPr>
        <w:t>&lt;Original&gt;</w:t>
      </w:r>
      <w:r w:rsidRPr="00D20917">
        <w:rPr>
          <w:rStyle w:val="HideTWBInt"/>
          <w:sz w:val="24"/>
          <w:szCs w:val="24"/>
        </w:rPr>
        <w:t>{EN}</w:t>
      </w:r>
      <w:r w:rsidRPr="00D20917">
        <w:rPr>
          <w:sz w:val="24"/>
          <w:szCs w:val="24"/>
        </w:rPr>
        <w:t>en</w:t>
      </w:r>
      <w:r w:rsidRPr="00D20917">
        <w:rPr>
          <w:rStyle w:val="HideTWBExt"/>
        </w:rPr>
        <w:t>&lt;/Original&gt;</w:t>
      </w:r>
    </w:p>
    <w:p w:rsidR="00932D06" w:rsidRPr="00D20917" w:rsidRDefault="00952B8E" w:rsidP="00932D06">
      <w:pPr>
        <w:rPr>
          <w:szCs w:val="24"/>
        </w:rPr>
      </w:pPr>
      <w:r w:rsidRPr="00D20917">
        <w:rPr>
          <w:rStyle w:val="HideTWBExt"/>
        </w:rPr>
        <w:t>&lt;/Amend&gt;</w:t>
      </w:r>
    </w:p>
    <w:p w:rsidR="00932D06" w:rsidRPr="00D20917" w:rsidRDefault="00952B8E" w:rsidP="00932D06">
      <w:pPr>
        <w:pStyle w:val="AMNumberTabs0"/>
        <w:keepNext/>
      </w:pPr>
      <w:r w:rsidRPr="00D20917">
        <w:rPr>
          <w:rStyle w:val="HideTWBExt"/>
          <w:b w:val="0"/>
        </w:rPr>
        <w:t>&lt;Amend&gt;</w:t>
      </w:r>
      <w:r w:rsidRPr="00D20917">
        <w:t xml:space="preserve">Pozmeňujúci </w:t>
      </w:r>
      <w:r w:rsidRPr="00D20917">
        <w:t>návrh</w:t>
      </w:r>
      <w:r w:rsidRPr="00D20917">
        <w:tab/>
      </w:r>
      <w:r w:rsidRPr="00D20917">
        <w:tab/>
      </w:r>
      <w:r w:rsidRPr="00D20917">
        <w:rPr>
          <w:rStyle w:val="HideTWBExt"/>
          <w:b w:val="0"/>
        </w:rPr>
        <w:t>&lt;NumAm&gt;</w:t>
      </w:r>
      <w:r w:rsidRPr="00D20917">
        <w:t>5</w:t>
      </w:r>
      <w:r w:rsidRPr="00D20917">
        <w:rPr>
          <w:rStyle w:val="HideTWBExt"/>
          <w:b w:val="0"/>
        </w:rPr>
        <w:t>&lt;/NumAm&gt;</w:t>
      </w:r>
    </w:p>
    <w:p w:rsidR="00932D06" w:rsidRPr="00D20917" w:rsidRDefault="00952B8E" w:rsidP="00932D06">
      <w:pPr>
        <w:pStyle w:val="NormalBold12b"/>
        <w:keepNext/>
      </w:pPr>
      <w:r w:rsidRPr="00D20917">
        <w:rPr>
          <w:rStyle w:val="HideTWBExt"/>
          <w:b w:val="0"/>
        </w:rPr>
        <w:t>&lt;DocAmend&gt;</w:t>
      </w:r>
      <w:r w:rsidRPr="00D20917">
        <w:t>Návrh smernice</w:t>
      </w:r>
      <w:r w:rsidRPr="00D20917">
        <w:rPr>
          <w:rStyle w:val="HideTWBExt"/>
          <w:b w:val="0"/>
        </w:rPr>
        <w:t>&lt;/DocAmend&gt;</w:t>
      </w:r>
    </w:p>
    <w:p w:rsidR="00932D06" w:rsidRPr="00D20917" w:rsidRDefault="00952B8E" w:rsidP="00932D06">
      <w:pPr>
        <w:pStyle w:val="NormalBold"/>
      </w:pPr>
      <w:r w:rsidRPr="00D20917">
        <w:rPr>
          <w:rStyle w:val="HideTWBExt"/>
          <w:b w:val="0"/>
        </w:rPr>
        <w:t>&lt;Article&gt;</w:t>
      </w:r>
      <w:r w:rsidRPr="00D20917">
        <w:t>Odôvodnenie 7</w:t>
      </w:r>
      <w:r w:rsidRPr="00D209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093" w:rsidRPr="00D20917" w:rsidTr="00932D06">
        <w:trPr>
          <w:jc w:val="center"/>
        </w:trPr>
        <w:tc>
          <w:tcPr>
            <w:tcW w:w="9752" w:type="dxa"/>
            <w:gridSpan w:val="2"/>
          </w:tcPr>
          <w:p w:rsidR="00932D06" w:rsidRPr="00D20917" w:rsidRDefault="00932D06">
            <w:pPr>
              <w:keepNext/>
            </w:pPr>
          </w:p>
        </w:tc>
      </w:tr>
      <w:tr w:rsidR="001D3093" w:rsidRPr="00D20917" w:rsidTr="00932D06">
        <w:trPr>
          <w:jc w:val="center"/>
        </w:trPr>
        <w:tc>
          <w:tcPr>
            <w:tcW w:w="4876" w:type="dxa"/>
            <w:hideMark/>
          </w:tcPr>
          <w:p w:rsidR="00932D06" w:rsidRPr="00D20917" w:rsidRDefault="00952B8E">
            <w:pPr>
              <w:pStyle w:val="ColumnHeading"/>
              <w:keepNext/>
            </w:pPr>
            <w:r w:rsidRPr="00D20917">
              <w:t>Text predložený Komisiou</w:t>
            </w:r>
          </w:p>
        </w:tc>
        <w:tc>
          <w:tcPr>
            <w:tcW w:w="4876" w:type="dxa"/>
            <w:hideMark/>
          </w:tcPr>
          <w:p w:rsidR="00932D06" w:rsidRPr="00D20917" w:rsidRDefault="00952B8E">
            <w:pPr>
              <w:pStyle w:val="ColumnHeading"/>
              <w:keepNext/>
            </w:pPr>
            <w:r w:rsidRPr="00D20917">
              <w:t>Pozmeňujúci návrh</w:t>
            </w:r>
          </w:p>
        </w:tc>
      </w:tr>
      <w:tr w:rsidR="001D3093" w:rsidRPr="00D20917" w:rsidTr="00932D06">
        <w:trPr>
          <w:jc w:val="center"/>
        </w:trPr>
        <w:tc>
          <w:tcPr>
            <w:tcW w:w="4876" w:type="dxa"/>
            <w:hideMark/>
          </w:tcPr>
          <w:p w:rsidR="00932D06" w:rsidRPr="00D20917" w:rsidRDefault="00952B8E">
            <w:pPr>
              <w:pStyle w:val="Normal6"/>
            </w:pPr>
            <w:r w:rsidRPr="00D20917">
              <w:t>(7)</w:t>
            </w:r>
            <w:r w:rsidRPr="00D20917">
              <w:tab/>
              <w:t xml:space="preserve">V prípade likvidačných </w:t>
            </w:r>
            <w:r w:rsidRPr="00D20917">
              <w:rPr>
                <w:b/>
                <w:bCs/>
                <w:i/>
                <w:iCs/>
              </w:rPr>
              <w:t>subjektov</w:t>
            </w:r>
            <w:r w:rsidRPr="00D20917">
              <w:t xml:space="preserve"> je MREL </w:t>
            </w:r>
            <w:r w:rsidRPr="00D20917">
              <w:rPr>
                <w:b/>
                <w:bCs/>
                <w:i/>
                <w:iCs/>
              </w:rPr>
              <w:t>obyčajne obmedzená</w:t>
            </w:r>
            <w:r w:rsidRPr="00D20917">
              <w:t xml:space="preserve"> na sumu potrebnú na absorpciu strát, ktorá zodpovedá </w:t>
            </w:r>
            <w:r w:rsidRPr="00D20917">
              <w:t>požiadavkám na vlastné zdroje. V takýchto prípadoch z MREL nevyplýva pre likvidačný subjekt žiadna dodatočná požiadavka, ktorá by priamo súvisela s rámcom pre riešenie krízových situácií. To znamená, že likvidačný subjekt môže v plnej miere splniť MREL tak</w:t>
            </w:r>
            <w:r w:rsidRPr="00D20917">
              <w:t>, že splní požiadavky na vlastné zdroje, a že osobitné rozhodnutie orgánu pre riešenie krízových situácií určujúce MREL neprispieva zmysluplným spôsobom k riešiteľnosti krízovej situácie likvidačných subjektov. Z takéhoto rozhodnutia vyplýva pre orgány pre</w:t>
            </w:r>
            <w:r w:rsidRPr="00D20917">
              <w:t xml:space="preserve"> riešenie krízových situácií, ako aj pre likvidačné subjekty mnoho procedurálnych povinností, no neprispieva to v zodpovedajúcej miere k lepšej riešiteľnosti krízovej situácie. Orgány pre riešenie krízových situácií by preto nemali stanovovať MREL pre likv</w:t>
            </w:r>
            <w:r w:rsidRPr="00D20917">
              <w:t>idačné subjekty.</w:t>
            </w:r>
          </w:p>
        </w:tc>
        <w:tc>
          <w:tcPr>
            <w:tcW w:w="4876" w:type="dxa"/>
            <w:hideMark/>
          </w:tcPr>
          <w:p w:rsidR="00932D06" w:rsidRPr="00D20917" w:rsidRDefault="00952B8E" w:rsidP="006A17A3">
            <w:pPr>
              <w:pStyle w:val="Normal6"/>
              <w:rPr>
                <w:szCs w:val="24"/>
              </w:rPr>
            </w:pPr>
            <w:r w:rsidRPr="00D20917">
              <w:t>(7)</w:t>
            </w:r>
            <w:r w:rsidRPr="00D20917">
              <w:tab/>
            </w:r>
            <w:r w:rsidRPr="00D20917">
              <w:rPr>
                <w:b/>
                <w:bCs/>
                <w:i/>
                <w:iCs/>
              </w:rPr>
              <w:t xml:space="preserve">Podľa súčasného rámca MREL sa </w:t>
            </w:r>
            <w:r w:rsidRPr="00D20917">
              <w:t xml:space="preserve">MREL </w:t>
            </w:r>
            <w:r w:rsidRPr="00D20917">
              <w:rPr>
                <w:b/>
                <w:bCs/>
                <w:i/>
                <w:iCs/>
              </w:rPr>
              <w:t xml:space="preserve">pre subjekty určené </w:t>
            </w:r>
            <w:r w:rsidRPr="00D20917">
              <w:t>na likvidáciu</w:t>
            </w:r>
            <w:r w:rsidRPr="00D20917">
              <w:rPr>
                <w:b/>
                <w:bCs/>
                <w:i/>
                <w:iCs/>
              </w:rPr>
              <w:t xml:space="preserve"> vo väčšine prípadov stanovuje</w:t>
            </w:r>
            <w:r w:rsidRPr="00D20917">
              <w:t xml:space="preserve"> na sumu potrebnú na absorpciu strát, ktorá zodpovedá požiadavkám na vlastné zdroje. V takýchto prípadoch z MREL nevyplýva pre likvidačný</w:t>
            </w:r>
            <w:r w:rsidRPr="00D20917">
              <w:t xml:space="preserve"> subjekt žiadna dodatočná požiadavka, ktorá by priamo súvisela s rámcom pre riešenie krízových situácií. To znamená, že likvidačný subjekt môže v plnej miere splniť MREL tak, že splní požiadavky na vlastné zdroje, a že osobitné rozhodnutie orgánu pre rieše</w:t>
            </w:r>
            <w:r w:rsidRPr="00D20917">
              <w:t>nie krízových situácií určujúce MREL neprispieva zmysluplným spôsobom k riešiteľnosti krízovej situácie likvidačných subjektov. Z takéhoto rozhodnutia vyplýva pre orgány pre riešenie krízových situácií, ako aj pre likvidačné subjekty mnoho procedurálnych p</w:t>
            </w:r>
            <w:r w:rsidRPr="00D20917">
              <w:t>ovinností, no neprispieva to v zodpovedajúcej miere k lepšej riešiteľnosti krízovej situácie. Orgány pre riešenie krízových situácií by preto nemali stanovovať MREL pre likvidačné subjekty.</w:t>
            </w:r>
          </w:p>
        </w:tc>
      </w:tr>
    </w:tbl>
    <w:p w:rsidR="00932D06" w:rsidRPr="00D20917" w:rsidRDefault="00952B8E" w:rsidP="00932D06">
      <w:pPr>
        <w:pStyle w:val="Olang"/>
        <w:rPr>
          <w:sz w:val="24"/>
          <w:szCs w:val="24"/>
        </w:rPr>
      </w:pPr>
      <w:r w:rsidRPr="00D20917">
        <w:rPr>
          <w:sz w:val="24"/>
          <w:szCs w:val="24"/>
        </w:rPr>
        <w:t xml:space="preserve">Or. </w:t>
      </w:r>
      <w:r w:rsidRPr="00D20917">
        <w:rPr>
          <w:rStyle w:val="HideTWBExt"/>
        </w:rPr>
        <w:t>&lt;Original&gt;</w:t>
      </w:r>
      <w:r w:rsidRPr="00D20917">
        <w:rPr>
          <w:rStyle w:val="HideTWBInt"/>
          <w:sz w:val="24"/>
          <w:szCs w:val="24"/>
        </w:rPr>
        <w:t>{EN}</w:t>
      </w:r>
      <w:r w:rsidRPr="00D20917">
        <w:rPr>
          <w:sz w:val="24"/>
          <w:szCs w:val="24"/>
        </w:rPr>
        <w:t>en</w:t>
      </w:r>
      <w:r w:rsidRPr="00D20917">
        <w:rPr>
          <w:rStyle w:val="HideTWBExt"/>
        </w:rPr>
        <w:t>&lt;/Original&gt;</w:t>
      </w:r>
    </w:p>
    <w:p w:rsidR="00932D06" w:rsidRPr="00D20917" w:rsidRDefault="00952B8E" w:rsidP="00932D06">
      <w:pPr>
        <w:rPr>
          <w:szCs w:val="24"/>
        </w:rPr>
      </w:pPr>
      <w:r w:rsidRPr="00D20917">
        <w:rPr>
          <w:rStyle w:val="HideTWBExt"/>
        </w:rPr>
        <w:t>&lt;/Amend&gt;</w:t>
      </w:r>
    </w:p>
    <w:p w:rsidR="00932D06" w:rsidRPr="00D20917" w:rsidRDefault="00952B8E" w:rsidP="00932D06">
      <w:pPr>
        <w:pStyle w:val="AMNumberTabs0"/>
        <w:keepNext/>
      </w:pPr>
      <w:r w:rsidRPr="00D20917">
        <w:rPr>
          <w:rStyle w:val="HideTWBExt"/>
          <w:b w:val="0"/>
        </w:rPr>
        <w:lastRenderedPageBreak/>
        <w:t>&lt;Amend&gt;</w:t>
      </w:r>
      <w:r w:rsidRPr="00D20917">
        <w:t>Pozmeňujúci návrh</w:t>
      </w:r>
      <w:r w:rsidRPr="00D20917">
        <w:tab/>
      </w:r>
      <w:r w:rsidRPr="00D20917">
        <w:tab/>
      </w:r>
      <w:r w:rsidRPr="00D20917">
        <w:rPr>
          <w:rStyle w:val="HideTWBExt"/>
          <w:b w:val="0"/>
        </w:rPr>
        <w:t>&lt;NumAm&gt;</w:t>
      </w:r>
      <w:r w:rsidRPr="00D20917">
        <w:t>6</w:t>
      </w:r>
      <w:r w:rsidRPr="00D20917">
        <w:rPr>
          <w:rStyle w:val="HideTWBExt"/>
          <w:b w:val="0"/>
        </w:rPr>
        <w:t>&lt;/NumAm&gt;</w:t>
      </w:r>
    </w:p>
    <w:p w:rsidR="00932D06" w:rsidRPr="00D20917" w:rsidRDefault="00952B8E" w:rsidP="00932D06">
      <w:pPr>
        <w:pStyle w:val="NormalBold12b"/>
        <w:keepNext/>
      </w:pPr>
      <w:r w:rsidRPr="00D20917">
        <w:rPr>
          <w:rStyle w:val="HideTWBExt"/>
          <w:b w:val="0"/>
        </w:rPr>
        <w:t>&lt;DocAmend&gt;</w:t>
      </w:r>
      <w:r w:rsidRPr="00D20917">
        <w:t>Návrh smernice</w:t>
      </w:r>
      <w:r w:rsidRPr="00D20917">
        <w:rPr>
          <w:rStyle w:val="HideTWBExt"/>
          <w:b w:val="0"/>
        </w:rPr>
        <w:t>&lt;/DocAmend&gt;</w:t>
      </w:r>
    </w:p>
    <w:p w:rsidR="00932D06" w:rsidRPr="00D20917" w:rsidRDefault="00952B8E" w:rsidP="00932D06">
      <w:pPr>
        <w:pStyle w:val="NormalBold"/>
      </w:pPr>
      <w:r w:rsidRPr="00D20917">
        <w:rPr>
          <w:rStyle w:val="HideTWBExt"/>
          <w:b w:val="0"/>
        </w:rPr>
        <w:t>&lt;Article&gt;</w:t>
      </w:r>
      <w:r w:rsidRPr="00D20917">
        <w:t>Odôvodnenie 8</w:t>
      </w:r>
      <w:r w:rsidRPr="00D209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093" w:rsidRPr="00D20917" w:rsidTr="00932D06">
        <w:trPr>
          <w:jc w:val="center"/>
        </w:trPr>
        <w:tc>
          <w:tcPr>
            <w:tcW w:w="9752" w:type="dxa"/>
            <w:gridSpan w:val="2"/>
          </w:tcPr>
          <w:p w:rsidR="00932D06" w:rsidRPr="00D20917" w:rsidRDefault="00932D06">
            <w:pPr>
              <w:keepNext/>
            </w:pPr>
          </w:p>
        </w:tc>
      </w:tr>
      <w:tr w:rsidR="001D3093" w:rsidRPr="00D20917" w:rsidTr="00932D06">
        <w:trPr>
          <w:jc w:val="center"/>
        </w:trPr>
        <w:tc>
          <w:tcPr>
            <w:tcW w:w="4876" w:type="dxa"/>
            <w:hideMark/>
          </w:tcPr>
          <w:p w:rsidR="00932D06" w:rsidRPr="00D20917" w:rsidRDefault="00952B8E">
            <w:pPr>
              <w:pStyle w:val="ColumnHeading"/>
              <w:keepNext/>
            </w:pPr>
            <w:r w:rsidRPr="00D20917">
              <w:t>Text predložený Komisiou</w:t>
            </w:r>
          </w:p>
        </w:tc>
        <w:tc>
          <w:tcPr>
            <w:tcW w:w="4876" w:type="dxa"/>
            <w:hideMark/>
          </w:tcPr>
          <w:p w:rsidR="00932D06" w:rsidRPr="00D20917" w:rsidRDefault="00952B8E">
            <w:pPr>
              <w:pStyle w:val="ColumnHeading"/>
              <w:keepNext/>
            </w:pPr>
            <w:r w:rsidRPr="00D20917">
              <w:t>Pozmeňujúci návrh</w:t>
            </w:r>
          </w:p>
        </w:tc>
      </w:tr>
      <w:tr w:rsidR="001D3093" w:rsidRPr="00D20917" w:rsidTr="00932D06">
        <w:trPr>
          <w:jc w:val="center"/>
        </w:trPr>
        <w:tc>
          <w:tcPr>
            <w:tcW w:w="4876" w:type="dxa"/>
            <w:hideMark/>
          </w:tcPr>
          <w:p w:rsidR="00932D06" w:rsidRPr="00D20917" w:rsidRDefault="00952B8E">
            <w:pPr>
              <w:pStyle w:val="Normal6"/>
            </w:pPr>
            <w:r w:rsidRPr="00D20917">
              <w:t>(8)</w:t>
            </w:r>
            <w:r w:rsidRPr="00D20917">
              <w:tab/>
            </w:r>
            <w:r w:rsidRPr="00D20917">
              <w:rPr>
                <w:b/>
                <w:bCs/>
                <w:i/>
                <w:iCs/>
              </w:rPr>
              <w:t xml:space="preserve">Ak sa orgán pre </w:t>
            </w:r>
            <w:r w:rsidRPr="00D20917">
              <w:t>riešenie krízových situácií</w:t>
            </w:r>
            <w:r w:rsidRPr="00D20917">
              <w:rPr>
                <w:b/>
                <w:bCs/>
                <w:i/>
                <w:iCs/>
              </w:rPr>
              <w:t xml:space="preserve"> domnieva, že subjekt, ktorý je súčasťou</w:t>
            </w:r>
            <w:r w:rsidRPr="00D20917">
              <w:t xml:space="preserve"> skupiny, ktorej krízová situácia s</w:t>
            </w:r>
            <w:r w:rsidRPr="00D20917">
              <w:t xml:space="preserve">a rieši, spĺňa kritériá likvidačného subjektu, od sprostredkovateľských subjektov </w:t>
            </w:r>
            <w:r w:rsidRPr="00D20917">
              <w:rPr>
                <w:b/>
                <w:bCs/>
                <w:i/>
                <w:iCs/>
              </w:rPr>
              <w:t>by sa nemalo</w:t>
            </w:r>
            <w:r w:rsidRPr="00D20917">
              <w:t xml:space="preserve"> vyžadovať, aby od svojej kapacity internej MREL odpočítali svoje podiely vo forme vlastných zdrojov </w:t>
            </w:r>
            <w:r w:rsidRPr="00D20917">
              <w:rPr>
                <w:b/>
                <w:bCs/>
                <w:i/>
                <w:iCs/>
              </w:rPr>
              <w:t>alebo iných</w:t>
            </w:r>
            <w:r w:rsidRPr="00D20917">
              <w:t xml:space="preserve"> záväzkov, ktoré by spĺňali podmienky na plnenie i</w:t>
            </w:r>
            <w:r w:rsidRPr="00D20917">
              <w:t xml:space="preserve">nternej MREL </w:t>
            </w:r>
            <w:r w:rsidRPr="00D20917">
              <w:rPr>
                <w:b/>
                <w:bCs/>
                <w:i/>
                <w:iCs/>
              </w:rPr>
              <w:t>a ktoré emitovali likvidačné subjekty</w:t>
            </w:r>
            <w:r w:rsidRPr="00D20917">
              <w:t>.</w:t>
            </w:r>
            <w:r w:rsidRPr="00D20917">
              <w:rPr>
                <w:b/>
                <w:i/>
              </w:rPr>
              <w:t xml:space="preserve"> </w:t>
            </w:r>
            <w:r w:rsidRPr="00D20917">
              <w:rPr>
                <w:b/>
                <w:bCs/>
                <w:i/>
                <w:iCs/>
              </w:rPr>
              <w:t>V takom prípade už likvidačný subjekt nie je povinný splniť MREL, a preto nedochádza k nepriamemu upisovaniu zdrojov oprávnených na internú MREL prostredníctvom reťazca tvoreného subjektom, ktorého krízov</w:t>
            </w:r>
            <w:r w:rsidRPr="00D20917">
              <w:rPr>
                <w:b/>
                <w:bCs/>
                <w:i/>
                <w:iCs/>
              </w:rPr>
              <w:t>á situácia sa rieši, sprostredkovateľským subjektom a likvidačným subjektom.</w:t>
            </w:r>
            <w:r w:rsidRPr="00D20917">
              <w:t xml:space="preserve"> V prípade zlyhania sa v stratégii riešenia krízových situácií nepredpokladá, že by mal subjekt, ktorého krízová situácia sa rieši, </w:t>
            </w:r>
            <w:r w:rsidRPr="00D20917">
              <w:rPr>
                <w:b/>
                <w:bCs/>
                <w:i/>
                <w:iCs/>
              </w:rPr>
              <w:t>podporovať</w:t>
            </w:r>
            <w:r w:rsidRPr="00D20917">
              <w:t xml:space="preserve"> likvidačný subjekt. To znamená, že sa</w:t>
            </w:r>
            <w:r w:rsidRPr="00D20917">
              <w:t xml:space="preserve"> neočakáva prevedenie strát z likvidačného subjektu na subjekt, ktorého krízová situácia sa rieši, prostredníctvom sprostredkovateľského subjektu, a ani prevod kapitálu opačným smerom. Táto úprava rozsahu podielov, ktoré sa majú odpočítať v súvislosti s ne</w:t>
            </w:r>
            <w:r w:rsidRPr="00D20917">
              <w:t>priamym upisovaním zdrojov oprávnených na internú MREL, by teda nemala vplyv na prudenciálnu spoľahlivosť rámca.</w:t>
            </w:r>
          </w:p>
        </w:tc>
        <w:tc>
          <w:tcPr>
            <w:tcW w:w="4876" w:type="dxa"/>
            <w:hideMark/>
          </w:tcPr>
          <w:p w:rsidR="00932D06" w:rsidRPr="00D20917" w:rsidRDefault="00952B8E">
            <w:pPr>
              <w:pStyle w:val="Normal6"/>
              <w:rPr>
                <w:szCs w:val="24"/>
              </w:rPr>
            </w:pPr>
            <w:r w:rsidRPr="00D20917">
              <w:t>(8)</w:t>
            </w:r>
            <w:r w:rsidRPr="00D20917">
              <w:tab/>
            </w:r>
            <w:r w:rsidRPr="00D20917">
              <w:rPr>
                <w:b/>
                <w:bCs/>
                <w:i/>
                <w:iCs/>
              </w:rPr>
              <w:t xml:space="preserve">Pri príprave plánov </w:t>
            </w:r>
            <w:r w:rsidRPr="00D20917">
              <w:t xml:space="preserve">riešenia krízových situácií </w:t>
            </w:r>
            <w:r w:rsidRPr="00D20917">
              <w:rPr>
                <w:b/>
                <w:bCs/>
                <w:i/>
                <w:iCs/>
              </w:rPr>
              <w:t>a posudzovaní riešiteľnosti krízovej situácie skupín, ktorých krízová situácia sa rieši, or</w:t>
            </w:r>
            <w:r w:rsidRPr="00D20917">
              <w:rPr>
                <w:b/>
                <w:bCs/>
                <w:i/>
                <w:iCs/>
              </w:rPr>
              <w:t xml:space="preserve">gány </w:t>
            </w:r>
            <w:r w:rsidRPr="00D20917">
              <w:t xml:space="preserve">pre riešenie krízových situácií </w:t>
            </w:r>
            <w:r w:rsidRPr="00D20917">
              <w:rPr>
                <w:b/>
                <w:bCs/>
                <w:i/>
                <w:iCs/>
              </w:rPr>
              <w:t xml:space="preserve">môžu usúdiť, že subjekt </w:t>
            </w:r>
            <w:r w:rsidRPr="00D20917">
              <w:t>skupiny spĺňa kritériá likvidačného subjektu</w:t>
            </w:r>
            <w:r w:rsidRPr="00D20917">
              <w:rPr>
                <w:b/>
                <w:bCs/>
                <w:i/>
                <w:iCs/>
              </w:rPr>
              <w:t>, keďže v súvislosti s týmto subjektom sa neplánuje výkon právomocí na odpísanie a konverziu.</w:t>
            </w:r>
            <w:r w:rsidRPr="00D20917">
              <w:rPr>
                <w:b/>
                <w:i/>
              </w:rPr>
              <w:t xml:space="preserve"> V takom prípade nemusí mať subjekt skupiny v držbe vlastn</w:t>
            </w:r>
            <w:r w:rsidRPr="00D20917">
              <w:rPr>
                <w:b/>
                <w:i/>
              </w:rPr>
              <w:t xml:space="preserve">é zdroje a oprávnené záväzky nad rámec požiadaviek na vlastné zdroje. </w:t>
            </w:r>
            <w:r w:rsidRPr="00D20917">
              <w:rPr>
                <w:b/>
                <w:bCs/>
                <w:i/>
                <w:iCs/>
              </w:rPr>
              <w:t>Za týchto okolností</w:t>
            </w:r>
            <w:r w:rsidRPr="00D20917">
              <w:rPr>
                <w:b/>
                <w:bCs/>
              </w:rPr>
              <w:t xml:space="preserve"> </w:t>
            </w:r>
            <w:r w:rsidRPr="00D20917">
              <w:t>by sa od sprostredkovateľských subjektov malo vyžadovať, aby od svojej internej kapacity MREL odpočítali svoje podiely na vlastných zdrojoch</w:t>
            </w:r>
            <w:r w:rsidRPr="00D20917">
              <w:rPr>
                <w:b/>
                <w:bCs/>
                <w:i/>
                <w:iCs/>
              </w:rPr>
              <w:t xml:space="preserve">, ktoré emitovali </w:t>
            </w:r>
            <w:r w:rsidRPr="00D20917">
              <w:rPr>
                <w:b/>
                <w:bCs/>
                <w:i/>
                <w:iCs/>
              </w:rPr>
              <w:t>likvidačné subjekty, na ktoré sa nevzťahuje rozhodnutie o MREL</w:t>
            </w:r>
            <w:r w:rsidRPr="00D20917">
              <w:t>.</w:t>
            </w:r>
            <w:r w:rsidRPr="00D20917">
              <w:rPr>
                <w:b/>
                <w:i/>
              </w:rPr>
              <w:t xml:space="preserve"> </w:t>
            </w:r>
            <w:r w:rsidRPr="00D20917">
              <w:rPr>
                <w:b/>
                <w:bCs/>
                <w:i/>
                <w:iCs/>
              </w:rPr>
              <w:t>Nemalo by sa od nich však vyžadovať, aby odpočítali</w:t>
            </w:r>
            <w:r w:rsidRPr="00D20917">
              <w:t xml:space="preserve"> záväzky, ktoré by spĺňali podmienky súladu s internou MREL. V prípade zlyhania sa v stratégii riešenia krízových situácií nepredpokladá, že </w:t>
            </w:r>
            <w:r w:rsidRPr="00D20917">
              <w:t xml:space="preserve">by mal subjekt, ktorého krízová situácia sa rieši, </w:t>
            </w:r>
            <w:r w:rsidRPr="00D20917">
              <w:rPr>
                <w:b/>
                <w:bCs/>
                <w:i/>
                <w:iCs/>
              </w:rPr>
              <w:t>rekapitalizovať</w:t>
            </w:r>
            <w:r w:rsidRPr="00D20917">
              <w:t xml:space="preserve"> likvidačný subjekt. To znamená, že sa neočakáva prevedenie strát z likvidačného subjektu na subjekt, ktorého krízová situácia sa rieši, </w:t>
            </w:r>
            <w:r w:rsidRPr="00D20917">
              <w:rPr>
                <w:b/>
                <w:bCs/>
                <w:i/>
                <w:iCs/>
              </w:rPr>
              <w:t>nad požiadavky na existujúce vlastné zdroje</w:t>
            </w:r>
            <w:r w:rsidRPr="00D20917">
              <w:t xml:space="preserve"> prostredn</w:t>
            </w:r>
            <w:r w:rsidRPr="00D20917">
              <w:t>íctvom sprostredkovateľského subjektu, a ani prevod kapitálu opačným smerom. Táto úprava rozsahu podielov, ktoré sa majú odpočítať v súvislosti s nepriamym upisovaním zdrojov oprávnených na internú MREL, by teda nemala vplyv na prudenciálnu spoľahlivosť rá</w:t>
            </w:r>
            <w:r w:rsidRPr="00D20917">
              <w:t>mca.</w:t>
            </w:r>
          </w:p>
        </w:tc>
      </w:tr>
    </w:tbl>
    <w:p w:rsidR="00932D06" w:rsidRPr="00D20917" w:rsidRDefault="00952B8E" w:rsidP="00932D06">
      <w:pPr>
        <w:pStyle w:val="Olang"/>
        <w:rPr>
          <w:sz w:val="24"/>
          <w:szCs w:val="24"/>
        </w:rPr>
      </w:pPr>
      <w:r w:rsidRPr="00D20917">
        <w:rPr>
          <w:sz w:val="24"/>
          <w:szCs w:val="24"/>
        </w:rPr>
        <w:t xml:space="preserve">Or. </w:t>
      </w:r>
      <w:r w:rsidRPr="00D20917">
        <w:rPr>
          <w:rStyle w:val="HideTWBExt"/>
        </w:rPr>
        <w:t>&lt;Original&gt;</w:t>
      </w:r>
      <w:r w:rsidRPr="00D20917">
        <w:rPr>
          <w:rStyle w:val="HideTWBInt"/>
          <w:sz w:val="24"/>
          <w:szCs w:val="24"/>
        </w:rPr>
        <w:t>{EN}</w:t>
      </w:r>
      <w:r w:rsidRPr="00D20917">
        <w:rPr>
          <w:sz w:val="24"/>
          <w:szCs w:val="24"/>
        </w:rPr>
        <w:t>en</w:t>
      </w:r>
      <w:r w:rsidRPr="00D20917">
        <w:rPr>
          <w:rStyle w:val="HideTWBExt"/>
        </w:rPr>
        <w:t>&lt;/Original&gt;</w:t>
      </w:r>
    </w:p>
    <w:p w:rsidR="00932D06" w:rsidRPr="00D20917" w:rsidRDefault="00952B8E" w:rsidP="00932D06">
      <w:pPr>
        <w:rPr>
          <w:szCs w:val="24"/>
        </w:rPr>
      </w:pPr>
      <w:r w:rsidRPr="00D20917">
        <w:rPr>
          <w:rStyle w:val="HideTWBExt"/>
        </w:rPr>
        <w:t>&lt;/Amend&gt;</w:t>
      </w:r>
    </w:p>
    <w:p w:rsidR="00932D06" w:rsidRPr="00D20917" w:rsidRDefault="00952B8E" w:rsidP="00932D06">
      <w:pPr>
        <w:pStyle w:val="AMNumberTabs0"/>
        <w:keepNext/>
      </w:pPr>
      <w:r w:rsidRPr="00D20917">
        <w:rPr>
          <w:rStyle w:val="HideTWBExt"/>
          <w:b w:val="0"/>
        </w:rPr>
        <w:lastRenderedPageBreak/>
        <w:t>&lt;Amend&gt;</w:t>
      </w:r>
      <w:r w:rsidRPr="00D20917">
        <w:t>Pozmeňujúci návrh</w:t>
      </w:r>
      <w:r w:rsidRPr="00D20917">
        <w:tab/>
      </w:r>
      <w:r w:rsidRPr="00D20917">
        <w:tab/>
      </w:r>
      <w:r w:rsidRPr="00D20917">
        <w:rPr>
          <w:rStyle w:val="HideTWBExt"/>
          <w:b w:val="0"/>
        </w:rPr>
        <w:t>&lt;NumAm&gt;</w:t>
      </w:r>
      <w:r w:rsidRPr="00D20917">
        <w:t>7</w:t>
      </w:r>
      <w:r w:rsidRPr="00D20917">
        <w:rPr>
          <w:rStyle w:val="HideTWBExt"/>
          <w:b w:val="0"/>
        </w:rPr>
        <w:t>&lt;/NumAm&gt;</w:t>
      </w:r>
    </w:p>
    <w:p w:rsidR="00932D06" w:rsidRPr="00D20917" w:rsidRDefault="00952B8E" w:rsidP="00932D06">
      <w:pPr>
        <w:pStyle w:val="NormalBold12b"/>
        <w:keepNext/>
      </w:pPr>
      <w:r w:rsidRPr="00D20917">
        <w:rPr>
          <w:rStyle w:val="HideTWBExt"/>
          <w:b w:val="0"/>
        </w:rPr>
        <w:t>&lt;DocAmend&gt;</w:t>
      </w:r>
      <w:r w:rsidRPr="00D20917">
        <w:t>Návrh smernice</w:t>
      </w:r>
      <w:r w:rsidRPr="00D20917">
        <w:rPr>
          <w:rStyle w:val="HideTWBExt"/>
          <w:b w:val="0"/>
        </w:rPr>
        <w:t>&lt;/DocAmend&gt;</w:t>
      </w:r>
    </w:p>
    <w:p w:rsidR="00932D06" w:rsidRPr="00D20917" w:rsidRDefault="00952B8E" w:rsidP="00932D06">
      <w:pPr>
        <w:pStyle w:val="NormalBold"/>
      </w:pPr>
      <w:r w:rsidRPr="00D20917">
        <w:rPr>
          <w:rStyle w:val="HideTWBExt"/>
          <w:b w:val="0"/>
        </w:rPr>
        <w:t>&lt;Article&gt;</w:t>
      </w:r>
      <w:r w:rsidRPr="00D20917">
        <w:t>Odôvodnenie 9</w:t>
      </w:r>
      <w:r w:rsidRPr="00D209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093" w:rsidRPr="00D20917" w:rsidTr="00932D06">
        <w:trPr>
          <w:jc w:val="center"/>
        </w:trPr>
        <w:tc>
          <w:tcPr>
            <w:tcW w:w="9752" w:type="dxa"/>
            <w:gridSpan w:val="2"/>
          </w:tcPr>
          <w:p w:rsidR="00932D06" w:rsidRPr="00D20917" w:rsidRDefault="00932D06">
            <w:pPr>
              <w:keepNext/>
            </w:pPr>
          </w:p>
        </w:tc>
      </w:tr>
      <w:tr w:rsidR="001D3093" w:rsidRPr="00D20917" w:rsidTr="00932D06">
        <w:trPr>
          <w:jc w:val="center"/>
        </w:trPr>
        <w:tc>
          <w:tcPr>
            <w:tcW w:w="4876" w:type="dxa"/>
            <w:hideMark/>
          </w:tcPr>
          <w:p w:rsidR="00932D06" w:rsidRPr="00D20917" w:rsidRDefault="00952B8E">
            <w:pPr>
              <w:pStyle w:val="ColumnHeading"/>
              <w:keepNext/>
            </w:pPr>
            <w:r w:rsidRPr="00D20917">
              <w:t>Text predložený Komisiou</w:t>
            </w:r>
          </w:p>
        </w:tc>
        <w:tc>
          <w:tcPr>
            <w:tcW w:w="4876" w:type="dxa"/>
            <w:hideMark/>
          </w:tcPr>
          <w:p w:rsidR="00932D06" w:rsidRPr="00D20917" w:rsidRDefault="00952B8E">
            <w:pPr>
              <w:pStyle w:val="ColumnHeading"/>
              <w:keepNext/>
            </w:pPr>
            <w:r w:rsidRPr="00D20917">
              <w:t>Pozmeňujúci návrh</w:t>
            </w:r>
          </w:p>
        </w:tc>
      </w:tr>
      <w:tr w:rsidR="001D3093" w:rsidRPr="00D20917" w:rsidTr="00932D06">
        <w:trPr>
          <w:jc w:val="center"/>
        </w:trPr>
        <w:tc>
          <w:tcPr>
            <w:tcW w:w="4876" w:type="dxa"/>
            <w:hideMark/>
          </w:tcPr>
          <w:p w:rsidR="00932D06" w:rsidRPr="00D20917" w:rsidRDefault="00952B8E">
            <w:pPr>
              <w:pStyle w:val="Normal6"/>
            </w:pPr>
            <w:r w:rsidRPr="00D20917">
              <w:t>(9)</w:t>
            </w:r>
            <w:r w:rsidRPr="00D20917">
              <w:tab/>
              <w:t xml:space="preserve">Hlavným cieľom režimu povoľujúceho zníženie </w:t>
            </w:r>
            <w:r w:rsidRPr="00D20917">
              <w:t>nástrojov oprávnených záväzkov stanoveného v článku 77 ods. 2 a článku 78a nariadenia (EÚ) č. 575/2013, ktorý sa uplatňuje aj na inštitúcie a subjekty, na ktoré sa vzťahuje MREL, a na záväzky emitované na splnenie MREL, je umožniť orgánom pre riešenie kríz</w:t>
            </w:r>
            <w:r w:rsidRPr="00D20917">
              <w:t>ových situácií, aby monitorovali opatrenia, ktorých výsledkom je zníženie objemu oprávnených záväzkov, a aby zakázali akékoľvek opatrenie, ktoré by predstavovalo zníženie nad úroveň, ktorú orgány pre riešenie krízových situácií považujú za primeranú. Ak or</w:t>
            </w:r>
            <w:r w:rsidRPr="00D20917">
              <w:t xml:space="preserve">gán pre riešenie krízových situácií neprijal rozhodnutie, ktorým sa určuje MREL vo vzťahu k inštitúcii alebo subjektu, tento cieľ nie je relevantný. </w:t>
            </w:r>
            <w:r w:rsidRPr="00D20917">
              <w:rPr>
                <w:b/>
                <w:i/>
              </w:rPr>
              <w:t>Inštitúcie alebo subjekty, na ktoré sa nevzťahuje rozhodnutie určujúce MREL, navyše nemajú vo svojej súvahe</w:t>
            </w:r>
            <w:r w:rsidRPr="00D20917">
              <w:rPr>
                <w:b/>
                <w:i/>
              </w:rPr>
              <w:t xml:space="preserve"> oprávnené záväzky.</w:t>
            </w:r>
            <w:r w:rsidRPr="00D20917">
              <w:t xml:space="preserve"> Od inštitúcií alebo subjektov, v súvislosti s ktorými sa neprijalo žiadne rozhodnutie určujúce MREL, by sa preto nemalo vyžadovať, že musia vopred získať povolenie orgánu pre riešenie krízových situácií na uplatnenie kúpnej opcie, umore</w:t>
            </w:r>
            <w:r w:rsidRPr="00D20917">
              <w:t>nia, splatenia alebo spätného odkúpenia záväzkov, ktoré by spĺňali požiadavky oprávnenosti na MREL.</w:t>
            </w:r>
          </w:p>
        </w:tc>
        <w:tc>
          <w:tcPr>
            <w:tcW w:w="4876" w:type="dxa"/>
            <w:hideMark/>
          </w:tcPr>
          <w:p w:rsidR="00932D06" w:rsidRPr="00D20917" w:rsidRDefault="00952B8E">
            <w:pPr>
              <w:pStyle w:val="Normal6"/>
              <w:rPr>
                <w:szCs w:val="24"/>
              </w:rPr>
            </w:pPr>
            <w:r w:rsidRPr="00D20917">
              <w:t>(9)</w:t>
            </w:r>
            <w:r w:rsidRPr="00D20917">
              <w:tab/>
              <w:t xml:space="preserve">Hlavným cieľom režimu povoľujúceho zníženie nástrojov oprávnených záväzkov stanoveného v článku 77 ods. 2 a článku 78a nariadenia (EÚ) č. 575/2013, </w:t>
            </w:r>
            <w:r w:rsidRPr="00D20917">
              <w:t>ktorý sa uplatňuje aj na inštitúcie a subjekty, na ktoré sa vzťahuje MREL, a na záväzky emitované na splnenie MREL, je umožniť orgánom pre riešenie krízových situácií, aby monitorovali opatrenia, ktorých výsledkom je zníženie objemu oprávnených záväzkov, a</w:t>
            </w:r>
            <w:r w:rsidRPr="00D20917">
              <w:t> aby zakázali akékoľvek opatrenie, ktoré by predstavovalo zníženie nad úroveň, ktorú orgány pre riešenie krízových situácií považujú za primeranú. Ak orgán pre riešenie krízových situácií neprijal rozhodnutie, ktorým sa určuje MREL vo vzťahu k inštitúcii a</w:t>
            </w:r>
            <w:r w:rsidRPr="00D20917">
              <w:t>lebo subjektu, tento cieľ nie je relevantný. Od inštitúcií alebo subjektov, v súvislosti s ktorými sa neprijalo žiadne rozhodnutie určujúce MREL, by sa preto nemalo vyžadovať, že musia vopred získať povolenie orgánu pre riešenie krízových situácií na uplat</w:t>
            </w:r>
            <w:r w:rsidRPr="00D20917">
              <w:t>nenie kúpnej opcie, umorenia, splatenia alebo spätného odkúpenia záväzkov, ktoré by spĺňali požiadavky oprávnenosti na MREL.</w:t>
            </w:r>
          </w:p>
        </w:tc>
      </w:tr>
    </w:tbl>
    <w:p w:rsidR="00932D06" w:rsidRPr="00D20917" w:rsidRDefault="00952B8E" w:rsidP="00932D06">
      <w:pPr>
        <w:pStyle w:val="Olang"/>
        <w:rPr>
          <w:sz w:val="24"/>
          <w:szCs w:val="24"/>
        </w:rPr>
      </w:pPr>
      <w:r w:rsidRPr="00D20917">
        <w:rPr>
          <w:sz w:val="24"/>
          <w:szCs w:val="24"/>
        </w:rPr>
        <w:t xml:space="preserve">Or. </w:t>
      </w:r>
      <w:r w:rsidRPr="00D20917">
        <w:rPr>
          <w:rStyle w:val="HideTWBExt"/>
        </w:rPr>
        <w:t>&lt;Original&gt;</w:t>
      </w:r>
      <w:r w:rsidRPr="00D20917">
        <w:rPr>
          <w:rStyle w:val="HideTWBInt"/>
          <w:sz w:val="24"/>
          <w:szCs w:val="24"/>
        </w:rPr>
        <w:t>{EN}</w:t>
      </w:r>
      <w:r w:rsidRPr="00D20917">
        <w:rPr>
          <w:sz w:val="24"/>
          <w:szCs w:val="24"/>
        </w:rPr>
        <w:t>en</w:t>
      </w:r>
      <w:r w:rsidRPr="00D20917">
        <w:rPr>
          <w:rStyle w:val="HideTWBExt"/>
        </w:rPr>
        <w:t>&lt;/Original&gt;</w:t>
      </w:r>
    </w:p>
    <w:p w:rsidR="00932D06" w:rsidRPr="00D20917" w:rsidRDefault="00952B8E" w:rsidP="00932D06">
      <w:pPr>
        <w:rPr>
          <w:szCs w:val="24"/>
        </w:rPr>
      </w:pPr>
      <w:r w:rsidRPr="00D20917">
        <w:rPr>
          <w:rStyle w:val="HideTWBExt"/>
        </w:rPr>
        <w:t>&lt;/Amend&gt;</w:t>
      </w:r>
    </w:p>
    <w:p w:rsidR="00932D06" w:rsidRPr="00D20917" w:rsidRDefault="00952B8E" w:rsidP="00932D06">
      <w:pPr>
        <w:pStyle w:val="AMNumberTabs0"/>
        <w:keepNext/>
      </w:pPr>
      <w:r w:rsidRPr="00D20917">
        <w:rPr>
          <w:rStyle w:val="HideTWBExt"/>
          <w:b w:val="0"/>
        </w:rPr>
        <w:t>&lt;Amend&gt;</w:t>
      </w:r>
      <w:r w:rsidRPr="00D20917">
        <w:t>Pozmeňujúci návrh</w:t>
      </w:r>
      <w:r w:rsidRPr="00D20917">
        <w:tab/>
      </w:r>
      <w:r w:rsidRPr="00D20917">
        <w:tab/>
      </w:r>
      <w:r w:rsidRPr="00D20917">
        <w:rPr>
          <w:rStyle w:val="HideTWBExt"/>
          <w:b w:val="0"/>
        </w:rPr>
        <w:t>&lt;NumAm&gt;</w:t>
      </w:r>
      <w:r w:rsidRPr="00D20917">
        <w:t>8</w:t>
      </w:r>
      <w:r w:rsidRPr="00D20917">
        <w:rPr>
          <w:rStyle w:val="HideTWBExt"/>
          <w:b w:val="0"/>
        </w:rPr>
        <w:t>&lt;/NumAm&gt;</w:t>
      </w:r>
    </w:p>
    <w:p w:rsidR="00932D06" w:rsidRPr="00D20917" w:rsidRDefault="00952B8E" w:rsidP="00932D06">
      <w:pPr>
        <w:pStyle w:val="NormalBold12b"/>
        <w:keepNext/>
      </w:pPr>
      <w:r w:rsidRPr="00D20917">
        <w:rPr>
          <w:rStyle w:val="HideTWBExt"/>
          <w:b w:val="0"/>
        </w:rPr>
        <w:t>&lt;DocAmend&gt;</w:t>
      </w:r>
      <w:r w:rsidRPr="00D20917">
        <w:t>Návrh smernice</w:t>
      </w:r>
      <w:r w:rsidRPr="00D20917">
        <w:rPr>
          <w:rStyle w:val="HideTWBExt"/>
          <w:b w:val="0"/>
        </w:rPr>
        <w:t>&lt;/DocAmend&gt;</w:t>
      </w:r>
    </w:p>
    <w:p w:rsidR="00932D06" w:rsidRPr="00D20917" w:rsidRDefault="00952B8E" w:rsidP="00932D06">
      <w:pPr>
        <w:pStyle w:val="NormalBold"/>
      </w:pPr>
      <w:r w:rsidRPr="00D20917">
        <w:rPr>
          <w:rStyle w:val="HideTWBExt"/>
          <w:b w:val="0"/>
        </w:rPr>
        <w:t>&lt;Article&gt;</w:t>
      </w:r>
      <w:r w:rsidRPr="00D20917">
        <w:t>Odôvodnenie 10</w:t>
      </w:r>
      <w:r w:rsidRPr="00D209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093" w:rsidRPr="00D20917" w:rsidTr="00932D06">
        <w:trPr>
          <w:jc w:val="center"/>
        </w:trPr>
        <w:tc>
          <w:tcPr>
            <w:tcW w:w="9752" w:type="dxa"/>
            <w:gridSpan w:val="2"/>
          </w:tcPr>
          <w:p w:rsidR="00932D06" w:rsidRPr="00D20917" w:rsidRDefault="00932D06">
            <w:pPr>
              <w:keepNext/>
            </w:pPr>
          </w:p>
        </w:tc>
      </w:tr>
      <w:tr w:rsidR="001D3093" w:rsidRPr="00D20917" w:rsidTr="00932D06">
        <w:trPr>
          <w:jc w:val="center"/>
        </w:trPr>
        <w:tc>
          <w:tcPr>
            <w:tcW w:w="4876" w:type="dxa"/>
            <w:hideMark/>
          </w:tcPr>
          <w:p w:rsidR="00932D06" w:rsidRPr="00D20917" w:rsidRDefault="00952B8E">
            <w:pPr>
              <w:pStyle w:val="ColumnHeading"/>
              <w:keepNext/>
            </w:pPr>
            <w:r w:rsidRPr="00D20917">
              <w:t>Text predložený Komisiou</w:t>
            </w:r>
          </w:p>
        </w:tc>
        <w:tc>
          <w:tcPr>
            <w:tcW w:w="4876" w:type="dxa"/>
            <w:hideMark/>
          </w:tcPr>
          <w:p w:rsidR="00932D06" w:rsidRPr="00D20917" w:rsidRDefault="00952B8E">
            <w:pPr>
              <w:pStyle w:val="ColumnHeading"/>
              <w:keepNext/>
            </w:pPr>
            <w:r w:rsidRPr="00D20917">
              <w:t>Pozmeňujúci návrh</w:t>
            </w:r>
          </w:p>
        </w:tc>
      </w:tr>
      <w:tr w:rsidR="001D3093" w:rsidRPr="00D20917" w:rsidTr="00932D06">
        <w:trPr>
          <w:jc w:val="center"/>
        </w:trPr>
        <w:tc>
          <w:tcPr>
            <w:tcW w:w="4876" w:type="dxa"/>
            <w:hideMark/>
          </w:tcPr>
          <w:p w:rsidR="00932D06" w:rsidRPr="00D20917" w:rsidRDefault="00952B8E">
            <w:pPr>
              <w:pStyle w:val="Normal6"/>
            </w:pPr>
            <w:r w:rsidRPr="00D20917">
              <w:t>(10)</w:t>
            </w:r>
            <w:r w:rsidRPr="00D20917">
              <w:tab/>
              <w:t xml:space="preserve">Existujú likvidačné subjekty, v prípade ktorých MREL presahuje </w:t>
            </w:r>
            <w:r w:rsidRPr="00D20917">
              <w:rPr>
                <w:b/>
                <w:bCs/>
                <w:i/>
                <w:iCs/>
              </w:rPr>
              <w:t xml:space="preserve">výšku </w:t>
            </w:r>
            <w:r w:rsidRPr="00D20917">
              <w:rPr>
                <w:b/>
                <w:bCs/>
                <w:i/>
                <w:iCs/>
              </w:rPr>
              <w:lastRenderedPageBreak/>
              <w:t xml:space="preserve">požiadaviek na vlastné zdroje, pričom v takomto prípade by orgány pre riešenie krízových situácií mali mať </w:t>
            </w:r>
            <w:r w:rsidRPr="00D20917">
              <w:rPr>
                <w:b/>
                <w:bCs/>
                <w:i/>
                <w:iCs/>
              </w:rPr>
              <w:t>možnosť stanoviť MREL</w:t>
            </w:r>
            <w:r w:rsidRPr="00D20917">
              <w:t>.</w:t>
            </w:r>
            <w:r w:rsidRPr="00D20917">
              <w:rPr>
                <w:b/>
                <w:i/>
              </w:rPr>
              <w:t xml:space="preserve"> </w:t>
            </w:r>
            <w:r w:rsidRPr="00D20917">
              <w:rPr>
                <w:b/>
                <w:bCs/>
                <w:i/>
                <w:iCs/>
              </w:rPr>
              <w:t>Táto MREL by sa mala stanoviť vo výške presahujúcej</w:t>
            </w:r>
            <w:r w:rsidRPr="00D20917">
              <w:t xml:space="preserve"> sumu na absorpciu strát, ak sa orgány pre riešenie krízových situácií domnievajú, že takáto suma je potrebná na ochranu finančnej stability alebo na riešenie rizika nákazy vo finanč</w:t>
            </w:r>
            <w:r w:rsidRPr="00D20917">
              <w:t>nom systéme. V týchto situáciách by mal likvidačný subjekt spĺňať MREL a nemal by byť vyňatý z režimu predchádzajúceho povolenia stanoveného v článku 77 ods. 2 a článku 78a nariadenia (EÚ) č. 575/2013. Od akýchkoľvek sprostredkovateľských subjektov patriac</w:t>
            </w:r>
            <w:r w:rsidRPr="00D20917">
              <w:t>ich do tej istej skupiny, ktorej krízová situácia sa rieši, ako dotknutý likvidačný subjekt by sa malo naďalej vyžadovať, aby od svojej kapacity internej MREL odpočítali svoje podiely vo forme zdrojov oprávnených na internú MREL emitovaných uvedeným likvid</w:t>
            </w:r>
            <w:r w:rsidRPr="00D20917">
              <w:t>ačným subjektom. Keďže likvidačné konanie prebieha na úrovni právneho subjektu, likvidačné subjekty, na ktoré sa stále vzťahuje MREL, by navyše mali spĺňať požiadavku len na individuálnom základe. Napokon platí, že niektoré požiadavky oprávnenosti týkajúce</w:t>
            </w:r>
            <w:r w:rsidRPr="00D20917">
              <w:t xml:space="preserve"> sa vlastníctva príslušného záväzku nie sú relevantné, keďže nie </w:t>
            </w:r>
            <w:r w:rsidRPr="00D20917">
              <w:rPr>
                <w:b/>
                <w:bCs/>
                <w:i/>
                <w:iCs/>
              </w:rPr>
              <w:t>je</w:t>
            </w:r>
            <w:r w:rsidRPr="00D20917">
              <w:t xml:space="preserve"> potrebné </w:t>
            </w:r>
            <w:r w:rsidRPr="00D20917">
              <w:rPr>
                <w:b/>
                <w:bCs/>
                <w:i/>
                <w:iCs/>
              </w:rPr>
              <w:t>zabezpečiť prevod strát a kapitálu z likvidačného subjektu na</w:t>
            </w:r>
            <w:r w:rsidRPr="00D20917">
              <w:t xml:space="preserve"> subjekt, ktorého krízová situácia sa rieši, a preto by sa nemali uplatňovať.</w:t>
            </w:r>
          </w:p>
        </w:tc>
        <w:tc>
          <w:tcPr>
            <w:tcW w:w="4876" w:type="dxa"/>
            <w:hideMark/>
          </w:tcPr>
          <w:p w:rsidR="00932D06" w:rsidRPr="00D20917" w:rsidRDefault="00952B8E" w:rsidP="000A7B09">
            <w:pPr>
              <w:pStyle w:val="Normal6"/>
              <w:rPr>
                <w:szCs w:val="24"/>
              </w:rPr>
            </w:pPr>
            <w:r w:rsidRPr="00D20917">
              <w:lastRenderedPageBreak/>
              <w:t>(10)</w:t>
            </w:r>
            <w:r w:rsidRPr="00D20917">
              <w:tab/>
              <w:t>Existujú likvidačné subjekty, v prí</w:t>
            </w:r>
            <w:r w:rsidRPr="00D20917">
              <w:t xml:space="preserve">pade ktorých </w:t>
            </w:r>
            <w:r w:rsidRPr="00D20917">
              <w:rPr>
                <w:b/>
                <w:bCs/>
                <w:i/>
                <w:iCs/>
              </w:rPr>
              <w:t>by</w:t>
            </w:r>
            <w:r w:rsidRPr="00D20917">
              <w:t xml:space="preserve"> minimálna požiadavka </w:t>
            </w:r>
            <w:r w:rsidRPr="00D20917">
              <w:lastRenderedPageBreak/>
              <w:t xml:space="preserve">na vlastné zdroje a oprávnené záväzky </w:t>
            </w:r>
            <w:r w:rsidRPr="00D20917">
              <w:rPr>
                <w:b/>
                <w:bCs/>
                <w:i/>
                <w:iCs/>
              </w:rPr>
              <w:t>mala</w:t>
            </w:r>
            <w:r w:rsidRPr="00D20917">
              <w:t xml:space="preserve"> byť vyššia ako suma na absorpciu strát.</w:t>
            </w:r>
            <w:r w:rsidRPr="00D20917">
              <w:rPr>
                <w:b/>
                <w:i/>
              </w:rPr>
              <w:t xml:space="preserve"> </w:t>
            </w:r>
            <w:r w:rsidRPr="00D20917">
              <w:rPr>
                <w:b/>
                <w:bCs/>
                <w:i/>
                <w:iCs/>
              </w:rPr>
              <w:t>Tak je to v prípade,</w:t>
            </w:r>
            <w:r w:rsidRPr="00D20917">
              <w:t xml:space="preserve"> keď sa orgány pre riešenie krízových situácií domnievajú, že takáto </w:t>
            </w:r>
            <w:r w:rsidRPr="00D20917">
              <w:rPr>
                <w:b/>
                <w:bCs/>
                <w:i/>
                <w:iCs/>
              </w:rPr>
              <w:t xml:space="preserve">vyššia </w:t>
            </w:r>
            <w:r w:rsidRPr="00D20917">
              <w:t>suma je potrebná na ochranu finančnej st</w:t>
            </w:r>
            <w:r w:rsidRPr="00D20917">
              <w:t xml:space="preserve">ability alebo na riešenie rizika nákazy vo finančnom systéme. V týchto situáciách </w:t>
            </w:r>
            <w:r w:rsidRPr="00D20917">
              <w:rPr>
                <w:b/>
                <w:bCs/>
                <w:i/>
                <w:iCs/>
              </w:rPr>
              <w:t>by orgány pre riešenie krízových situácií mali stanoviť MREL pre subjekt likvidácie pozostávajúcu zo sumy dostatočnej na absorpciu strát zvýšenej o sumu potrebnú na riadne ri</w:t>
            </w:r>
            <w:r w:rsidRPr="00D20917">
              <w:rPr>
                <w:b/>
                <w:bCs/>
                <w:i/>
                <w:iCs/>
              </w:rPr>
              <w:t>ešenie potenciálnych rizík identifikovaných orgánmi pre riešenie krízových situácií.</w:t>
            </w:r>
            <w:r w:rsidRPr="00D20917">
              <w:t xml:space="preserve"> Likvidačný subjekt by mal spĺňať MREL a nemal by byť vyňatý z režimu predchádzajúceho povolenia stanoveného v článku 77 ods. 2 a článku 78a nariadenia (EÚ) č. 575/2013. Od</w:t>
            </w:r>
            <w:r w:rsidRPr="00D20917">
              <w:t xml:space="preserve"> akýchkoľvek sprostredkovateľských subjektov patriacich do tej istej skupiny, ktorej krízová situácia sa rieši, ako dotknutý likvidačný subjekt by sa malo naďalej vyžadovať, aby od svojej kapacity internej MREL odpočítali svoje podiely vo forme zdrojov opr</w:t>
            </w:r>
            <w:r w:rsidRPr="00D20917">
              <w:t>ávnených na internú MREL emitovaných uvedeným likvidačným subjektom. Keďže likvidačné konanie prebieha na úrovni právneho subjektu, likvidačné subjekty, na ktoré sa stále vzťahuje MREL, by navyše mali spĺňať požiadavku len na individuálnom základe. Napokon</w:t>
            </w:r>
            <w:r w:rsidRPr="00D20917">
              <w:t xml:space="preserve"> platí, že niektoré požiadavky oprávnenosti týkajúce sa vlastníctva príslušného záväzku nie sú relevantné, keďže </w:t>
            </w:r>
            <w:r w:rsidRPr="00D20917">
              <w:rPr>
                <w:b/>
                <w:bCs/>
                <w:i/>
                <w:iCs/>
              </w:rPr>
              <w:t>bez výkonu právomocí na odpísanie alebo konverziu</w:t>
            </w:r>
            <w:r w:rsidRPr="00D20917">
              <w:t xml:space="preserve"> netreba </w:t>
            </w:r>
            <w:r w:rsidRPr="00D20917">
              <w:rPr>
                <w:b/>
                <w:bCs/>
                <w:i/>
                <w:iCs/>
              </w:rPr>
              <w:t xml:space="preserve">zachovávať kontrolu </w:t>
            </w:r>
            <w:r w:rsidRPr="00D20917">
              <w:t>subjektu, ktorého krízová situácia sa rieši,</w:t>
            </w:r>
            <w:r w:rsidRPr="00D20917">
              <w:rPr>
                <w:b/>
                <w:bCs/>
                <w:i/>
                <w:iCs/>
              </w:rPr>
              <w:t xml:space="preserve"> nad dcérskou spoločn</w:t>
            </w:r>
            <w:r w:rsidRPr="00D20917">
              <w:rPr>
                <w:b/>
                <w:bCs/>
                <w:i/>
                <w:iCs/>
              </w:rPr>
              <w:t>osťou</w:t>
            </w:r>
            <w:r w:rsidRPr="00D20917">
              <w:t>, a preto by sa nemali uplatňovať.</w:t>
            </w:r>
          </w:p>
        </w:tc>
      </w:tr>
    </w:tbl>
    <w:p w:rsidR="00932D06" w:rsidRPr="00D20917" w:rsidRDefault="00952B8E" w:rsidP="00932D06">
      <w:pPr>
        <w:pStyle w:val="Olang"/>
        <w:rPr>
          <w:sz w:val="24"/>
          <w:szCs w:val="24"/>
        </w:rPr>
      </w:pPr>
      <w:r w:rsidRPr="00D20917">
        <w:rPr>
          <w:sz w:val="24"/>
          <w:szCs w:val="24"/>
        </w:rPr>
        <w:lastRenderedPageBreak/>
        <w:t xml:space="preserve">Or. </w:t>
      </w:r>
      <w:r w:rsidRPr="00D20917">
        <w:rPr>
          <w:rStyle w:val="HideTWBExt"/>
        </w:rPr>
        <w:t>&lt;Original&gt;</w:t>
      </w:r>
      <w:r w:rsidRPr="00D20917">
        <w:rPr>
          <w:rStyle w:val="HideTWBInt"/>
          <w:sz w:val="24"/>
          <w:szCs w:val="24"/>
        </w:rPr>
        <w:t>{EN}</w:t>
      </w:r>
      <w:r w:rsidRPr="00D20917">
        <w:rPr>
          <w:sz w:val="24"/>
          <w:szCs w:val="24"/>
        </w:rPr>
        <w:t>en</w:t>
      </w:r>
      <w:r w:rsidRPr="00D20917">
        <w:rPr>
          <w:rStyle w:val="HideTWBExt"/>
        </w:rPr>
        <w:t>&lt;/Original&gt;</w:t>
      </w:r>
    </w:p>
    <w:p w:rsidR="00932D06" w:rsidRPr="00D20917" w:rsidRDefault="00952B8E" w:rsidP="00932D06">
      <w:pPr>
        <w:rPr>
          <w:szCs w:val="24"/>
        </w:rPr>
      </w:pPr>
      <w:r w:rsidRPr="00D20917">
        <w:rPr>
          <w:rStyle w:val="HideTWBExt"/>
        </w:rPr>
        <w:t>&lt;/Amend&gt;</w:t>
      </w:r>
    </w:p>
    <w:p w:rsidR="00932D06" w:rsidRPr="00D20917" w:rsidRDefault="00952B8E" w:rsidP="00932D06">
      <w:pPr>
        <w:pStyle w:val="AMNumberTabs0"/>
        <w:keepNext/>
      </w:pPr>
      <w:r w:rsidRPr="00D20917">
        <w:rPr>
          <w:rStyle w:val="HideTWBExt"/>
          <w:b w:val="0"/>
        </w:rPr>
        <w:t>&lt;Amend&gt;</w:t>
      </w:r>
      <w:r w:rsidRPr="00D20917">
        <w:t>Pozmeňujúci návrh</w:t>
      </w:r>
      <w:r w:rsidRPr="00D20917">
        <w:tab/>
      </w:r>
      <w:r w:rsidRPr="00D20917">
        <w:tab/>
      </w:r>
      <w:r w:rsidRPr="00D20917">
        <w:rPr>
          <w:rStyle w:val="HideTWBExt"/>
          <w:b w:val="0"/>
        </w:rPr>
        <w:t>&lt;NumAm&gt;</w:t>
      </w:r>
      <w:r w:rsidRPr="00D20917">
        <w:t>9</w:t>
      </w:r>
      <w:r w:rsidRPr="00D20917">
        <w:rPr>
          <w:rStyle w:val="HideTWBExt"/>
          <w:b w:val="0"/>
        </w:rPr>
        <w:t>&lt;/NumAm&gt;</w:t>
      </w:r>
    </w:p>
    <w:p w:rsidR="00932D06" w:rsidRPr="00D20917" w:rsidRDefault="00952B8E" w:rsidP="00932D06">
      <w:pPr>
        <w:pStyle w:val="NormalBold12b"/>
        <w:keepNext/>
      </w:pPr>
      <w:r w:rsidRPr="00D20917">
        <w:rPr>
          <w:rStyle w:val="HideTWBExt"/>
          <w:b w:val="0"/>
        </w:rPr>
        <w:t>&lt;DocAmend&gt;</w:t>
      </w:r>
      <w:r w:rsidRPr="00D20917">
        <w:t>Návrh smernice</w:t>
      </w:r>
      <w:r w:rsidRPr="00D20917">
        <w:rPr>
          <w:rStyle w:val="HideTWBExt"/>
          <w:b w:val="0"/>
        </w:rPr>
        <w:t>&lt;/DocAmend&gt;</w:t>
      </w:r>
    </w:p>
    <w:p w:rsidR="00932D06" w:rsidRPr="00D20917" w:rsidRDefault="00952B8E" w:rsidP="00932D06">
      <w:pPr>
        <w:pStyle w:val="NormalBold"/>
      </w:pPr>
      <w:r w:rsidRPr="00D20917">
        <w:rPr>
          <w:rStyle w:val="HideTWBExt"/>
          <w:b w:val="0"/>
        </w:rPr>
        <w:t>&lt;Article&gt;</w:t>
      </w:r>
      <w:r w:rsidRPr="00D20917">
        <w:t>Odôvodnenie 14</w:t>
      </w:r>
      <w:r w:rsidRPr="00D209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093" w:rsidRPr="00D20917" w:rsidTr="00932D06">
        <w:trPr>
          <w:jc w:val="center"/>
        </w:trPr>
        <w:tc>
          <w:tcPr>
            <w:tcW w:w="9752" w:type="dxa"/>
            <w:gridSpan w:val="2"/>
          </w:tcPr>
          <w:p w:rsidR="00932D06" w:rsidRPr="00D20917" w:rsidRDefault="00932D06">
            <w:pPr>
              <w:keepNext/>
            </w:pPr>
          </w:p>
        </w:tc>
      </w:tr>
      <w:tr w:rsidR="001D3093" w:rsidRPr="00D20917" w:rsidTr="00932D06">
        <w:trPr>
          <w:jc w:val="center"/>
        </w:trPr>
        <w:tc>
          <w:tcPr>
            <w:tcW w:w="4876" w:type="dxa"/>
            <w:hideMark/>
          </w:tcPr>
          <w:p w:rsidR="00932D06" w:rsidRPr="00D20917" w:rsidRDefault="00952B8E">
            <w:pPr>
              <w:pStyle w:val="ColumnHeading"/>
              <w:keepNext/>
            </w:pPr>
            <w:r w:rsidRPr="00D20917">
              <w:t>Text predložený Komisiou</w:t>
            </w:r>
          </w:p>
        </w:tc>
        <w:tc>
          <w:tcPr>
            <w:tcW w:w="4876" w:type="dxa"/>
            <w:hideMark/>
          </w:tcPr>
          <w:p w:rsidR="00932D06" w:rsidRPr="00D20917" w:rsidRDefault="00952B8E">
            <w:pPr>
              <w:pStyle w:val="ColumnHeading"/>
              <w:keepNext/>
            </w:pPr>
            <w:r w:rsidRPr="00D20917">
              <w:t>Pozmeňujúci návrh</w:t>
            </w:r>
          </w:p>
        </w:tc>
      </w:tr>
      <w:tr w:rsidR="001D3093" w:rsidRPr="00D20917" w:rsidTr="00932D06">
        <w:trPr>
          <w:jc w:val="center"/>
        </w:trPr>
        <w:tc>
          <w:tcPr>
            <w:tcW w:w="4876" w:type="dxa"/>
            <w:hideMark/>
          </w:tcPr>
          <w:p w:rsidR="00932D06" w:rsidRPr="00D20917" w:rsidRDefault="00952B8E">
            <w:pPr>
              <w:pStyle w:val="Normal6"/>
            </w:pPr>
            <w:r w:rsidRPr="00D20917">
              <w:t>(14)</w:t>
            </w:r>
            <w:r w:rsidRPr="00D20917">
              <w:tab/>
              <w:t xml:space="preserve">Keďže </w:t>
            </w:r>
            <w:r w:rsidRPr="00D20917">
              <w:t>ciele tejto smernice, t. j. upraviť zaobchádzanie s likvidačnými subjektmi v rámci MREL a </w:t>
            </w:r>
            <w:r w:rsidRPr="00D20917">
              <w:rPr>
                <w:b/>
                <w:bCs/>
                <w:i/>
                <w:iCs/>
              </w:rPr>
              <w:t>umožniť plnenie</w:t>
            </w:r>
            <w:r w:rsidRPr="00D20917">
              <w:t xml:space="preserve"> internej MREL na konsolidovanom základe, nemožno uspokojivo dosiahnuť na úrovni jednotlivých členských štátov, ale ich možno lepšie dosiahnuť na úrovn</w:t>
            </w:r>
            <w:r w:rsidRPr="00D20917">
              <w:t>i Únie zmenou pravidiel, ktoré sú už stanovené na úrovni Únie, Únia môže prijať opatrenia v súlade so zásadou subsidiarity podľa článku 5 Zmluvy o Európskej únii. V súlade so zásadou proporcionality podľa uvedeného článku táto smernica neprekračuje rámec n</w:t>
            </w:r>
            <w:r w:rsidRPr="00D20917">
              <w:t>evyhnutný na dosiahnutie týchto cieľov,</w:t>
            </w:r>
          </w:p>
        </w:tc>
        <w:tc>
          <w:tcPr>
            <w:tcW w:w="4876" w:type="dxa"/>
            <w:hideMark/>
          </w:tcPr>
          <w:p w:rsidR="00932D06" w:rsidRPr="00D20917" w:rsidRDefault="00952B8E">
            <w:pPr>
              <w:pStyle w:val="Normal6"/>
              <w:rPr>
                <w:szCs w:val="24"/>
              </w:rPr>
            </w:pPr>
            <w:r w:rsidRPr="00D20917">
              <w:t>(14)</w:t>
            </w:r>
            <w:r w:rsidRPr="00D20917">
              <w:tab/>
              <w:t>Keďže ciele tejto smernice, t. j. upraviť zaobchádzanie s likvidačnými subjektmi v rámci MREL a </w:t>
            </w:r>
            <w:r w:rsidRPr="00D20917">
              <w:rPr>
                <w:b/>
                <w:bCs/>
                <w:i/>
                <w:iCs/>
              </w:rPr>
              <w:t>umožniť subjektom, ktorých krízová situácia sa rieši, aby určili</w:t>
            </w:r>
            <w:r w:rsidRPr="00D20917">
              <w:t xml:space="preserve"> plnenie internej MREL na konsolidovanom základe, n</w:t>
            </w:r>
            <w:r w:rsidRPr="00D20917">
              <w:t>emožno uspokojivo dosiahnuť na úrovni jednotlivých členských štátov, ale ich možno lepšie dosiahnuť na úrovni Únie zmenou pravidiel, ktoré sú už stanovené na úrovni Únie, Únia môže prijať opatrenia v súlade so zásadou subsidiarity podľa článku 5 Zmluvy o E</w:t>
            </w:r>
            <w:r w:rsidRPr="00D20917">
              <w:t>urópskej únii. V súlade so zásadou proporcionality podľa uvedeného článku táto smernica neprekračuje rámec nevyhnutný na dosiahnutie týchto cieľov,</w:t>
            </w:r>
          </w:p>
        </w:tc>
      </w:tr>
    </w:tbl>
    <w:p w:rsidR="00932D06" w:rsidRPr="00D20917" w:rsidRDefault="00952B8E" w:rsidP="00932D06">
      <w:pPr>
        <w:pStyle w:val="Olang"/>
        <w:rPr>
          <w:sz w:val="24"/>
          <w:szCs w:val="24"/>
        </w:rPr>
      </w:pPr>
      <w:r w:rsidRPr="00D20917">
        <w:rPr>
          <w:sz w:val="24"/>
          <w:szCs w:val="24"/>
        </w:rPr>
        <w:t xml:space="preserve">Or. </w:t>
      </w:r>
      <w:r w:rsidRPr="00D20917">
        <w:rPr>
          <w:rStyle w:val="HideTWBExt"/>
        </w:rPr>
        <w:t>&lt;Original&gt;</w:t>
      </w:r>
      <w:r w:rsidRPr="00D20917">
        <w:rPr>
          <w:rStyle w:val="HideTWBInt"/>
          <w:sz w:val="24"/>
          <w:szCs w:val="24"/>
        </w:rPr>
        <w:t>{EN}</w:t>
      </w:r>
      <w:r w:rsidRPr="00D20917">
        <w:rPr>
          <w:sz w:val="24"/>
          <w:szCs w:val="24"/>
        </w:rPr>
        <w:t>en</w:t>
      </w:r>
      <w:r w:rsidRPr="00D20917">
        <w:rPr>
          <w:rStyle w:val="HideTWBExt"/>
        </w:rPr>
        <w:t>&lt;/Original&gt;</w:t>
      </w:r>
    </w:p>
    <w:p w:rsidR="00932D06" w:rsidRPr="00D20917" w:rsidRDefault="00952B8E" w:rsidP="00932D06">
      <w:pPr>
        <w:rPr>
          <w:szCs w:val="24"/>
        </w:rPr>
      </w:pPr>
      <w:r w:rsidRPr="00D20917">
        <w:rPr>
          <w:rStyle w:val="HideTWBExt"/>
        </w:rPr>
        <w:t>&lt;/Amend&gt;</w:t>
      </w:r>
    </w:p>
    <w:p w:rsidR="00932D06" w:rsidRPr="00D20917" w:rsidRDefault="00952B8E" w:rsidP="00932D06">
      <w:pPr>
        <w:pStyle w:val="AMNumberTabs0"/>
        <w:keepNext/>
      </w:pPr>
      <w:r w:rsidRPr="00D20917">
        <w:rPr>
          <w:rStyle w:val="HideTWBExt"/>
          <w:b w:val="0"/>
        </w:rPr>
        <w:t>&lt;Amend&gt;</w:t>
      </w:r>
      <w:r w:rsidRPr="00D20917">
        <w:t>Pozmeňujúci návrh</w:t>
      </w:r>
      <w:r w:rsidRPr="00D20917">
        <w:tab/>
      </w:r>
      <w:r w:rsidRPr="00D20917">
        <w:tab/>
      </w:r>
      <w:r w:rsidRPr="00D20917">
        <w:rPr>
          <w:rStyle w:val="HideTWBExt"/>
          <w:b w:val="0"/>
        </w:rPr>
        <w:t>&lt;NumAm&gt;</w:t>
      </w:r>
      <w:r w:rsidRPr="00D20917">
        <w:t>10</w:t>
      </w:r>
      <w:r w:rsidRPr="00D20917">
        <w:rPr>
          <w:rStyle w:val="HideTWBExt"/>
          <w:b w:val="0"/>
        </w:rPr>
        <w:t>&lt;/NumAm&gt;</w:t>
      </w:r>
    </w:p>
    <w:p w:rsidR="00932D06" w:rsidRPr="00D20917" w:rsidRDefault="00952B8E" w:rsidP="00932D06">
      <w:pPr>
        <w:pStyle w:val="NormalBold12b"/>
        <w:keepNext/>
      </w:pPr>
      <w:r w:rsidRPr="00D20917">
        <w:rPr>
          <w:rStyle w:val="HideTWBExt"/>
          <w:b w:val="0"/>
        </w:rPr>
        <w:t>&lt;DocAmend&gt;</w:t>
      </w:r>
      <w:r w:rsidRPr="00D20917">
        <w:t>Návrh smerni</w:t>
      </w:r>
      <w:r w:rsidRPr="00D20917">
        <w:t>ce</w:t>
      </w:r>
      <w:r w:rsidRPr="00D20917">
        <w:rPr>
          <w:rStyle w:val="HideTWBExt"/>
          <w:b w:val="0"/>
        </w:rPr>
        <w:t>&lt;/DocAmend&gt;</w:t>
      </w:r>
    </w:p>
    <w:p w:rsidR="00932D06" w:rsidRPr="00D20917" w:rsidRDefault="00952B8E" w:rsidP="00932D06">
      <w:pPr>
        <w:pStyle w:val="NormalBold"/>
      </w:pPr>
      <w:r w:rsidRPr="00D20917">
        <w:rPr>
          <w:rStyle w:val="HideTWBExt"/>
          <w:b w:val="0"/>
        </w:rPr>
        <w:t>&lt;Article&gt;</w:t>
      </w:r>
      <w:r w:rsidRPr="00D20917">
        <w:t>Článok 1 – odsek 1 – bod 1</w:t>
      </w:r>
      <w:r w:rsidRPr="00D20917">
        <w:rPr>
          <w:rStyle w:val="HideTWBExt"/>
          <w:b w:val="0"/>
        </w:rPr>
        <w:t>&lt;/Article&gt;</w:t>
      </w:r>
    </w:p>
    <w:p w:rsidR="00932D06" w:rsidRPr="00D20917" w:rsidRDefault="00952B8E" w:rsidP="00932D06">
      <w:pPr>
        <w:keepNext/>
      </w:pPr>
      <w:r w:rsidRPr="00D20917">
        <w:rPr>
          <w:rStyle w:val="HideTWBExt"/>
        </w:rPr>
        <w:t>&lt;DocAmend2&gt;</w:t>
      </w:r>
      <w:r w:rsidRPr="00D20917">
        <w:t>Smernica 2014/59/EÚ</w:t>
      </w:r>
      <w:r w:rsidRPr="00D20917">
        <w:rPr>
          <w:rStyle w:val="HideTWBExt"/>
        </w:rPr>
        <w:t>&lt;/DocAmend2&gt;</w:t>
      </w:r>
    </w:p>
    <w:p w:rsidR="00932D06" w:rsidRPr="00D20917" w:rsidRDefault="00952B8E" w:rsidP="00932D06">
      <w:r w:rsidRPr="00D20917">
        <w:rPr>
          <w:rStyle w:val="HideTWBExt"/>
        </w:rPr>
        <w:t>&lt;Article2&gt;</w:t>
      </w:r>
      <w:r w:rsidRPr="00D20917">
        <w:t>Článok 2 – odsek 1 – bod 83 aa</w:t>
      </w:r>
      <w:r w:rsidRPr="00D2091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093" w:rsidRPr="00D20917" w:rsidTr="00932D06">
        <w:trPr>
          <w:jc w:val="center"/>
        </w:trPr>
        <w:tc>
          <w:tcPr>
            <w:tcW w:w="9752" w:type="dxa"/>
            <w:gridSpan w:val="2"/>
          </w:tcPr>
          <w:p w:rsidR="00932D06" w:rsidRPr="00D20917" w:rsidRDefault="00932D06">
            <w:pPr>
              <w:keepNext/>
            </w:pPr>
          </w:p>
        </w:tc>
      </w:tr>
      <w:tr w:rsidR="001D3093" w:rsidRPr="00D20917" w:rsidTr="00932D06">
        <w:trPr>
          <w:jc w:val="center"/>
        </w:trPr>
        <w:tc>
          <w:tcPr>
            <w:tcW w:w="4876" w:type="dxa"/>
            <w:hideMark/>
          </w:tcPr>
          <w:p w:rsidR="00932D06" w:rsidRPr="00D20917" w:rsidRDefault="00952B8E">
            <w:pPr>
              <w:pStyle w:val="ColumnHeading"/>
              <w:keepNext/>
            </w:pPr>
            <w:r w:rsidRPr="00D20917">
              <w:t>Text predložený Komisiou</w:t>
            </w:r>
          </w:p>
        </w:tc>
        <w:tc>
          <w:tcPr>
            <w:tcW w:w="4876" w:type="dxa"/>
            <w:hideMark/>
          </w:tcPr>
          <w:p w:rsidR="00932D06" w:rsidRPr="00D20917" w:rsidRDefault="00952B8E">
            <w:pPr>
              <w:pStyle w:val="ColumnHeading"/>
              <w:keepNext/>
            </w:pPr>
            <w:r w:rsidRPr="00D20917">
              <w:t>Pozmeňujúci návrh</w:t>
            </w:r>
          </w:p>
        </w:tc>
      </w:tr>
      <w:tr w:rsidR="001D3093" w:rsidRPr="00D20917" w:rsidTr="00932D06">
        <w:trPr>
          <w:jc w:val="center"/>
        </w:trPr>
        <w:tc>
          <w:tcPr>
            <w:tcW w:w="4876" w:type="dxa"/>
            <w:hideMark/>
          </w:tcPr>
          <w:p w:rsidR="00932D06" w:rsidRPr="00D20917" w:rsidRDefault="00952B8E">
            <w:pPr>
              <w:pStyle w:val="Normal6"/>
            </w:pPr>
            <w:r w:rsidRPr="00D20917">
              <w:t>(83aa)</w:t>
            </w:r>
            <w:r w:rsidRPr="00D20917">
              <w:tab/>
            </w:r>
            <w:r w:rsidRPr="00D20917">
              <w:t xml:space="preserve">„likvidačný subjekt“ je právnická osoba usadená v Únii, v súvislosti s ktorou sa v pláne riešenia krízovej situácie na úrovni skupiny, alebo v prípade subjektov, ktoré nie sú súčasťou skupiny, v pláne riešenia krízovej situácie stanovuje, že subjekt sa má </w:t>
            </w:r>
            <w:r w:rsidRPr="00D20917">
              <w:t xml:space="preserve">zlikvidovať </w:t>
            </w:r>
            <w:r w:rsidRPr="00D20917">
              <w:rPr>
                <w:b/>
                <w:bCs/>
                <w:i/>
                <w:iCs/>
              </w:rPr>
              <w:t>riadnym spôsobom v súlade s uplatniteľným vnútroštátnym právom</w:t>
            </w:r>
            <w:r w:rsidRPr="00D20917">
              <w:t>;</w:t>
            </w:r>
            <w:r w:rsidRPr="00D20917">
              <w:rPr>
                <w:b/>
                <w:bCs/>
                <w:i/>
                <w:iCs/>
              </w:rPr>
              <w:t>;</w:t>
            </w:r>
          </w:p>
        </w:tc>
        <w:tc>
          <w:tcPr>
            <w:tcW w:w="4876" w:type="dxa"/>
            <w:hideMark/>
          </w:tcPr>
          <w:p w:rsidR="00932D06" w:rsidRPr="00D20917" w:rsidRDefault="00952B8E" w:rsidP="000A7B09">
            <w:pPr>
              <w:pStyle w:val="Normal6"/>
              <w:rPr>
                <w:szCs w:val="24"/>
              </w:rPr>
            </w:pPr>
            <w:r w:rsidRPr="00D20917">
              <w:t>(83aa)</w:t>
            </w:r>
            <w:r w:rsidRPr="00D20917">
              <w:tab/>
              <w:t xml:space="preserve">„likvidačný subjekt“ je právnická osoba usadená v Únii, v súvislosti s ktorou sa v pláne riešenia krízovej situácie na úrovni skupiny, alebo v prípade subjektov, ktoré nie </w:t>
            </w:r>
            <w:r w:rsidRPr="00D20917">
              <w:t xml:space="preserve">sú súčasťou skupiny, v pláne riešenia krízovej situácie stanovuje, že subjekt sa má zlikvidovať </w:t>
            </w:r>
            <w:r w:rsidRPr="00D20917">
              <w:rPr>
                <w:b/>
                <w:bCs/>
                <w:i/>
                <w:iCs/>
              </w:rPr>
              <w:t>v rámci bežného konkurzného konania alebo sa pre tento subjekt nepredpokladá odpísanie dlhu a vykonanie konverzie;</w:t>
            </w:r>
          </w:p>
        </w:tc>
      </w:tr>
    </w:tbl>
    <w:p w:rsidR="00932D06" w:rsidRPr="00D20917" w:rsidRDefault="00952B8E" w:rsidP="00932D06">
      <w:pPr>
        <w:pStyle w:val="Olang"/>
        <w:rPr>
          <w:sz w:val="24"/>
          <w:szCs w:val="24"/>
        </w:rPr>
      </w:pPr>
      <w:r w:rsidRPr="00D20917">
        <w:rPr>
          <w:sz w:val="24"/>
          <w:szCs w:val="24"/>
        </w:rPr>
        <w:t xml:space="preserve">Or. </w:t>
      </w:r>
      <w:r w:rsidRPr="00D20917">
        <w:rPr>
          <w:rStyle w:val="HideTWBExt"/>
        </w:rPr>
        <w:t>&lt;Original&gt;</w:t>
      </w:r>
      <w:r w:rsidRPr="00D20917">
        <w:rPr>
          <w:rStyle w:val="HideTWBInt"/>
          <w:sz w:val="24"/>
          <w:szCs w:val="24"/>
        </w:rPr>
        <w:t>{EN}</w:t>
      </w:r>
      <w:r w:rsidRPr="00D20917">
        <w:rPr>
          <w:sz w:val="24"/>
          <w:szCs w:val="24"/>
        </w:rPr>
        <w:t>en</w:t>
      </w:r>
      <w:r w:rsidRPr="00D20917">
        <w:rPr>
          <w:rStyle w:val="HideTWBExt"/>
        </w:rPr>
        <w:t>&lt;/Original&gt;</w:t>
      </w:r>
    </w:p>
    <w:p w:rsidR="00932D06" w:rsidRPr="00D20917" w:rsidRDefault="00952B8E" w:rsidP="00932D06">
      <w:pPr>
        <w:rPr>
          <w:szCs w:val="24"/>
        </w:rPr>
      </w:pPr>
      <w:r w:rsidRPr="00D20917">
        <w:rPr>
          <w:rStyle w:val="HideTWBExt"/>
        </w:rPr>
        <w:t>&lt;/Amend&gt;</w:t>
      </w:r>
    </w:p>
    <w:p w:rsidR="00932D06" w:rsidRPr="00D20917" w:rsidRDefault="00952B8E" w:rsidP="00932D06">
      <w:pPr>
        <w:pStyle w:val="AMNumberTabs0"/>
        <w:keepNext/>
      </w:pPr>
      <w:r w:rsidRPr="00D20917">
        <w:rPr>
          <w:rStyle w:val="HideTWBExt"/>
          <w:b w:val="0"/>
        </w:rPr>
        <w:t>&lt;Am</w:t>
      </w:r>
      <w:r w:rsidRPr="00D20917">
        <w:rPr>
          <w:rStyle w:val="HideTWBExt"/>
          <w:b w:val="0"/>
        </w:rPr>
        <w:t>end&gt;</w:t>
      </w:r>
      <w:r w:rsidRPr="00D20917">
        <w:t>Pozmeňujúci návrh</w:t>
      </w:r>
      <w:r w:rsidRPr="00D20917">
        <w:tab/>
      </w:r>
      <w:r w:rsidRPr="00D20917">
        <w:tab/>
      </w:r>
      <w:r w:rsidRPr="00D20917">
        <w:rPr>
          <w:rStyle w:val="HideTWBExt"/>
          <w:b w:val="0"/>
        </w:rPr>
        <w:t>&lt;NumAm&gt;</w:t>
      </w:r>
      <w:r w:rsidRPr="00D20917">
        <w:t>11</w:t>
      </w:r>
      <w:r w:rsidRPr="00D20917">
        <w:rPr>
          <w:rStyle w:val="HideTWBExt"/>
          <w:b w:val="0"/>
        </w:rPr>
        <w:t>&lt;/NumAm&gt;</w:t>
      </w:r>
    </w:p>
    <w:p w:rsidR="00932D06" w:rsidRPr="00D20917" w:rsidRDefault="00952B8E" w:rsidP="00932D06">
      <w:pPr>
        <w:pStyle w:val="NormalBold12b"/>
        <w:keepNext/>
      </w:pPr>
      <w:r w:rsidRPr="00D20917">
        <w:rPr>
          <w:rStyle w:val="HideTWBExt"/>
          <w:b w:val="0"/>
        </w:rPr>
        <w:t>&lt;DocAmend&gt;</w:t>
      </w:r>
      <w:r w:rsidRPr="00D20917">
        <w:t>Návrh smernice</w:t>
      </w:r>
      <w:r w:rsidRPr="00D20917">
        <w:rPr>
          <w:rStyle w:val="HideTWBExt"/>
          <w:b w:val="0"/>
        </w:rPr>
        <w:t>&lt;/DocAmend&gt;</w:t>
      </w:r>
    </w:p>
    <w:p w:rsidR="00932D06" w:rsidRPr="00D20917" w:rsidRDefault="00952B8E" w:rsidP="00932D06">
      <w:pPr>
        <w:pStyle w:val="NormalBold"/>
      </w:pPr>
      <w:r w:rsidRPr="00D20917">
        <w:rPr>
          <w:rStyle w:val="HideTWBExt"/>
          <w:b w:val="0"/>
        </w:rPr>
        <w:t>&lt;Article&gt;</w:t>
      </w:r>
      <w:r w:rsidRPr="00D20917">
        <w:t>Článok 1 – odsek 1 – bod 2 – písmeno b</w:t>
      </w:r>
      <w:r w:rsidRPr="00D20917">
        <w:rPr>
          <w:rStyle w:val="HideTWBExt"/>
          <w:b w:val="0"/>
        </w:rPr>
        <w:t>&lt;/Article&gt;</w:t>
      </w:r>
    </w:p>
    <w:p w:rsidR="00932D06" w:rsidRPr="00D20917" w:rsidRDefault="00952B8E" w:rsidP="00932D06">
      <w:pPr>
        <w:keepNext/>
      </w:pPr>
      <w:r w:rsidRPr="00D20917">
        <w:rPr>
          <w:rStyle w:val="HideTWBExt"/>
        </w:rPr>
        <w:lastRenderedPageBreak/>
        <w:t>&lt;DocAmend2&gt;</w:t>
      </w:r>
      <w:r w:rsidRPr="00D20917">
        <w:t>Smernica 2014/59/EÚ</w:t>
      </w:r>
      <w:r w:rsidRPr="00D20917">
        <w:rPr>
          <w:rStyle w:val="HideTWBExt"/>
        </w:rPr>
        <w:t>&lt;/DocAmend2&gt;</w:t>
      </w:r>
    </w:p>
    <w:p w:rsidR="00932D06" w:rsidRPr="00D20917" w:rsidRDefault="00952B8E" w:rsidP="00932D06">
      <w:r w:rsidRPr="00D20917">
        <w:rPr>
          <w:rStyle w:val="HideTWBExt"/>
        </w:rPr>
        <w:t>&lt;Article2&gt;</w:t>
      </w:r>
      <w:r w:rsidRPr="00D20917">
        <w:t>Článok 45c – odsek 2a – pododsek 2</w:t>
      </w:r>
      <w:r w:rsidRPr="00D2091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093" w:rsidRPr="00D20917" w:rsidTr="00932D06">
        <w:trPr>
          <w:jc w:val="center"/>
        </w:trPr>
        <w:tc>
          <w:tcPr>
            <w:tcW w:w="9752" w:type="dxa"/>
            <w:gridSpan w:val="2"/>
          </w:tcPr>
          <w:p w:rsidR="00932D06" w:rsidRPr="00D20917" w:rsidRDefault="00932D06">
            <w:pPr>
              <w:keepNext/>
            </w:pPr>
          </w:p>
        </w:tc>
      </w:tr>
      <w:tr w:rsidR="001D3093" w:rsidRPr="00D20917" w:rsidTr="00932D06">
        <w:trPr>
          <w:jc w:val="center"/>
        </w:trPr>
        <w:tc>
          <w:tcPr>
            <w:tcW w:w="4876" w:type="dxa"/>
            <w:hideMark/>
          </w:tcPr>
          <w:p w:rsidR="00932D06" w:rsidRPr="00D20917" w:rsidRDefault="00952B8E">
            <w:pPr>
              <w:pStyle w:val="ColumnHeading"/>
              <w:keepNext/>
            </w:pPr>
            <w:r w:rsidRPr="00D20917">
              <w:t xml:space="preserve">Text predložený </w:t>
            </w:r>
            <w:r w:rsidRPr="00D20917">
              <w:t>Komisiou</w:t>
            </w:r>
          </w:p>
        </w:tc>
        <w:tc>
          <w:tcPr>
            <w:tcW w:w="4876" w:type="dxa"/>
            <w:hideMark/>
          </w:tcPr>
          <w:p w:rsidR="00932D06" w:rsidRPr="00D20917" w:rsidRDefault="00952B8E">
            <w:pPr>
              <w:pStyle w:val="ColumnHeading"/>
              <w:keepNext/>
            </w:pPr>
            <w:r w:rsidRPr="00D20917">
              <w:t>Pozmeňujúci návrh</w:t>
            </w:r>
          </w:p>
        </w:tc>
      </w:tr>
      <w:tr w:rsidR="001D3093" w:rsidRPr="00D20917" w:rsidTr="00932D06">
        <w:trPr>
          <w:jc w:val="center"/>
        </w:trPr>
        <w:tc>
          <w:tcPr>
            <w:tcW w:w="4876" w:type="dxa"/>
            <w:hideMark/>
          </w:tcPr>
          <w:p w:rsidR="00932D06" w:rsidRPr="00D20917" w:rsidRDefault="00952B8E">
            <w:pPr>
              <w:pStyle w:val="Normal6"/>
            </w:pPr>
            <w:r w:rsidRPr="00D20917">
              <w:t xml:space="preserve">Odchylne od prvého pododseku </w:t>
            </w:r>
            <w:r w:rsidRPr="00D20917">
              <w:rPr>
                <w:b/>
                <w:bCs/>
                <w:i/>
                <w:iCs/>
              </w:rPr>
              <w:t xml:space="preserve">a ak je to potrebné na účely ochrany finančnej stability alebo obmedzenia potenciálnej nákazy vo finančnom systéme, orgány </w:t>
            </w:r>
            <w:r w:rsidRPr="00D20917">
              <w:t>pre riešenie krízových situácií</w:t>
            </w:r>
            <w:r w:rsidRPr="00D20917">
              <w:rPr>
                <w:b/>
                <w:bCs/>
                <w:i/>
                <w:iCs/>
              </w:rPr>
              <w:t xml:space="preserve"> môžu výnimočne</w:t>
            </w:r>
            <w:r w:rsidRPr="00D20917">
              <w:t xml:space="preserve"> určiť požiadavku uvedenú v článku 45 ods. 1 pre likvidačné subjekty na individuálnom základe, a to vo výške dostatočnej na absorpciu strát v súlade s odsekom 2 písm. a) tohto článku, </w:t>
            </w:r>
            <w:r w:rsidRPr="00D20917">
              <w:rPr>
                <w:b/>
                <w:bCs/>
                <w:i/>
                <w:iCs/>
              </w:rPr>
              <w:t xml:space="preserve">zvýšenej </w:t>
            </w:r>
            <w:r w:rsidRPr="00D20917">
              <w:t xml:space="preserve">na </w:t>
            </w:r>
            <w:r w:rsidRPr="00D20917">
              <w:rPr>
                <w:b/>
                <w:bCs/>
                <w:i/>
                <w:iCs/>
              </w:rPr>
              <w:t>sumu, ktorá je potrebná na dosiahnutie uvedených cieľov</w:t>
            </w:r>
            <w:r w:rsidRPr="00D20917">
              <w:t>. V t</w:t>
            </w:r>
            <w:r w:rsidRPr="00D20917">
              <w:t>ýchto prípadoch musia likvidačné subjekty splniť požiadavku uvedenú v článku 45 ods. 1 za použitia jednej alebo viacerých z týchto možností:</w:t>
            </w:r>
          </w:p>
        </w:tc>
        <w:tc>
          <w:tcPr>
            <w:tcW w:w="4876" w:type="dxa"/>
            <w:hideMark/>
          </w:tcPr>
          <w:p w:rsidR="00932D06" w:rsidRPr="00D20917" w:rsidRDefault="00952B8E">
            <w:pPr>
              <w:pStyle w:val="Normal6"/>
              <w:rPr>
                <w:szCs w:val="24"/>
              </w:rPr>
            </w:pPr>
            <w:r w:rsidRPr="00D20917">
              <w:t xml:space="preserve">Odchylne od prvého pododseku </w:t>
            </w:r>
            <w:r w:rsidRPr="00D20917">
              <w:rPr>
                <w:b/>
                <w:bCs/>
                <w:i/>
                <w:iCs/>
              </w:rPr>
              <w:t xml:space="preserve">orgán </w:t>
            </w:r>
            <w:r w:rsidRPr="00D20917">
              <w:t>pre riešenie krízových situácií</w:t>
            </w:r>
            <w:r w:rsidRPr="00D20917">
              <w:rPr>
                <w:b/>
                <w:bCs/>
                <w:i/>
                <w:iCs/>
              </w:rPr>
              <w:t xml:space="preserve"> posúdi, či je odôvodnené</w:t>
            </w:r>
            <w:r w:rsidRPr="00D20917">
              <w:t xml:space="preserve"> určiť požiadavku uveden</w:t>
            </w:r>
            <w:r w:rsidRPr="00D20917">
              <w:t xml:space="preserve">ú v článku 45 ods. 1 pre likvidačné subjekty na individuálnom základe vo výške </w:t>
            </w:r>
            <w:r w:rsidRPr="00D20917">
              <w:rPr>
                <w:b/>
                <w:bCs/>
                <w:i/>
                <w:iCs/>
              </w:rPr>
              <w:t>presahujúcej sumu</w:t>
            </w:r>
            <w:r w:rsidRPr="00D20917">
              <w:t xml:space="preserve"> dostatočnú na absorpciu strát v súlade s odsekom 2 písm. a) tohto článku.</w:t>
            </w:r>
            <w:r w:rsidRPr="00D20917">
              <w:rPr>
                <w:b/>
                <w:i/>
              </w:rPr>
              <w:t xml:space="preserve"> </w:t>
            </w:r>
            <w:r w:rsidRPr="00D20917">
              <w:rPr>
                <w:b/>
                <w:bCs/>
                <w:i/>
                <w:iCs/>
              </w:rPr>
              <w:t>V posúdení orgánu pre riešenie krízových situácií sa zvážia možné dôsledky zlyhania d</w:t>
            </w:r>
            <w:r w:rsidRPr="00D20917">
              <w:rPr>
                <w:b/>
                <w:bCs/>
                <w:i/>
                <w:iCs/>
              </w:rPr>
              <w:t>otknutého likvidačného subjektu a zohľadnia sa najmä všetky možné vplyvy na finančnú stabilitu a riziko nákazy finančného systému.</w:t>
            </w:r>
            <w:r w:rsidRPr="00D20917">
              <w:t xml:space="preserve"> V týchto prípadoch musia likvidačné subjekty splniť požiadavku uvedenú v článku 45 ods. 1 za použitia jednej alebo viacerých </w:t>
            </w:r>
            <w:r w:rsidRPr="00D20917">
              <w:t>z týchto možností:</w:t>
            </w:r>
          </w:p>
        </w:tc>
      </w:tr>
    </w:tbl>
    <w:p w:rsidR="00932D06" w:rsidRPr="00D20917" w:rsidRDefault="00952B8E" w:rsidP="00932D06">
      <w:pPr>
        <w:pStyle w:val="Olang"/>
        <w:rPr>
          <w:sz w:val="24"/>
          <w:szCs w:val="24"/>
        </w:rPr>
      </w:pPr>
      <w:r w:rsidRPr="00D20917">
        <w:rPr>
          <w:sz w:val="24"/>
          <w:szCs w:val="24"/>
        </w:rPr>
        <w:t xml:space="preserve">Or. </w:t>
      </w:r>
      <w:r w:rsidRPr="00D20917">
        <w:rPr>
          <w:rStyle w:val="HideTWBExt"/>
        </w:rPr>
        <w:t>&lt;Original&gt;</w:t>
      </w:r>
      <w:r w:rsidRPr="00D20917">
        <w:rPr>
          <w:rStyle w:val="HideTWBInt"/>
          <w:sz w:val="24"/>
          <w:szCs w:val="24"/>
        </w:rPr>
        <w:t>{EN}</w:t>
      </w:r>
      <w:r w:rsidRPr="00D20917">
        <w:rPr>
          <w:sz w:val="24"/>
          <w:szCs w:val="24"/>
        </w:rPr>
        <w:t>en</w:t>
      </w:r>
      <w:r w:rsidRPr="00D20917">
        <w:rPr>
          <w:rStyle w:val="HideTWBExt"/>
        </w:rPr>
        <w:t>&lt;/Original&gt;</w:t>
      </w:r>
    </w:p>
    <w:p w:rsidR="00932D06" w:rsidRPr="00D20917" w:rsidRDefault="00952B8E" w:rsidP="00932D06">
      <w:pPr>
        <w:rPr>
          <w:szCs w:val="24"/>
        </w:rPr>
      </w:pPr>
      <w:r w:rsidRPr="00D20917">
        <w:rPr>
          <w:rStyle w:val="HideTWBExt"/>
        </w:rPr>
        <w:t>&lt;/Amend&gt;</w:t>
      </w:r>
    </w:p>
    <w:p w:rsidR="00932D06" w:rsidRPr="00D20917" w:rsidRDefault="00952B8E" w:rsidP="00932D06">
      <w:pPr>
        <w:pStyle w:val="AMNumberTabs0"/>
        <w:keepNext/>
      </w:pPr>
      <w:r w:rsidRPr="00D20917">
        <w:rPr>
          <w:rStyle w:val="HideTWBExt"/>
          <w:b w:val="0"/>
        </w:rPr>
        <w:t>&lt;Amend&gt;</w:t>
      </w:r>
      <w:r w:rsidRPr="00D20917">
        <w:t>Pozmeňujúci návrh</w:t>
      </w:r>
      <w:r w:rsidRPr="00D20917">
        <w:tab/>
      </w:r>
      <w:r w:rsidRPr="00D20917">
        <w:tab/>
      </w:r>
      <w:r w:rsidRPr="00D20917">
        <w:rPr>
          <w:rStyle w:val="HideTWBExt"/>
          <w:b w:val="0"/>
        </w:rPr>
        <w:t>&lt;NumAm&gt;</w:t>
      </w:r>
      <w:r w:rsidRPr="00D20917">
        <w:t>12</w:t>
      </w:r>
      <w:r w:rsidRPr="00D20917">
        <w:rPr>
          <w:rStyle w:val="HideTWBExt"/>
          <w:b w:val="0"/>
        </w:rPr>
        <w:t>&lt;/NumAm&gt;</w:t>
      </w:r>
    </w:p>
    <w:p w:rsidR="00932D06" w:rsidRPr="00D20917" w:rsidRDefault="00952B8E" w:rsidP="00932D06">
      <w:pPr>
        <w:pStyle w:val="NormalBold12b"/>
        <w:keepNext/>
      </w:pPr>
      <w:r w:rsidRPr="00D20917">
        <w:rPr>
          <w:rStyle w:val="HideTWBExt"/>
          <w:b w:val="0"/>
        </w:rPr>
        <w:t>&lt;DocAmend&gt;</w:t>
      </w:r>
      <w:r w:rsidRPr="00D20917">
        <w:t>Návrh smernice</w:t>
      </w:r>
      <w:r w:rsidRPr="00D20917">
        <w:rPr>
          <w:rStyle w:val="HideTWBExt"/>
          <w:b w:val="0"/>
        </w:rPr>
        <w:t>&lt;/DocAmend&gt;</w:t>
      </w:r>
    </w:p>
    <w:p w:rsidR="00932D06" w:rsidRPr="00D20917" w:rsidRDefault="00952B8E" w:rsidP="00932D06">
      <w:pPr>
        <w:pStyle w:val="NormalBold"/>
      </w:pPr>
      <w:r w:rsidRPr="00D20917">
        <w:rPr>
          <w:rStyle w:val="HideTWBExt"/>
          <w:b w:val="0"/>
        </w:rPr>
        <w:t>&lt;Article&gt;</w:t>
      </w:r>
      <w:r w:rsidRPr="00D20917">
        <w:t>Článok 1 – odsek 1 – bod 2 – písmeno b</w:t>
      </w:r>
      <w:r w:rsidRPr="00D20917">
        <w:rPr>
          <w:rStyle w:val="HideTWBExt"/>
          <w:b w:val="0"/>
        </w:rPr>
        <w:t>&lt;/Article&gt;</w:t>
      </w:r>
    </w:p>
    <w:p w:rsidR="00932D06" w:rsidRPr="00D20917" w:rsidRDefault="00952B8E" w:rsidP="00932D06">
      <w:pPr>
        <w:keepNext/>
      </w:pPr>
      <w:r w:rsidRPr="00D20917">
        <w:rPr>
          <w:rStyle w:val="HideTWBExt"/>
        </w:rPr>
        <w:t>&lt;DocAmend2&gt;</w:t>
      </w:r>
      <w:r w:rsidRPr="00D20917">
        <w:t>Smernica 2014/59/EÚ</w:t>
      </w:r>
      <w:r w:rsidRPr="00D20917">
        <w:rPr>
          <w:rStyle w:val="HideTWBExt"/>
        </w:rPr>
        <w:t>&lt;/DocAmend2&gt;</w:t>
      </w:r>
    </w:p>
    <w:p w:rsidR="00932D06" w:rsidRPr="00D20917" w:rsidRDefault="00952B8E" w:rsidP="00932D06">
      <w:r w:rsidRPr="00D20917">
        <w:rPr>
          <w:rStyle w:val="HideTWBExt"/>
        </w:rPr>
        <w:t>&lt;Article2&gt;</w:t>
      </w:r>
      <w:r w:rsidRPr="00D20917">
        <w:t>Článok 45c – odsek 2a – pododsek 4</w:t>
      </w:r>
      <w:r w:rsidRPr="00D2091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093" w:rsidRPr="00D20917" w:rsidTr="00932D06">
        <w:trPr>
          <w:jc w:val="center"/>
        </w:trPr>
        <w:tc>
          <w:tcPr>
            <w:tcW w:w="9752" w:type="dxa"/>
            <w:gridSpan w:val="2"/>
          </w:tcPr>
          <w:p w:rsidR="00932D06" w:rsidRPr="00D20917" w:rsidRDefault="00932D06">
            <w:pPr>
              <w:keepNext/>
            </w:pPr>
          </w:p>
        </w:tc>
      </w:tr>
      <w:tr w:rsidR="001D3093" w:rsidRPr="00D20917" w:rsidTr="00932D06">
        <w:trPr>
          <w:jc w:val="center"/>
        </w:trPr>
        <w:tc>
          <w:tcPr>
            <w:tcW w:w="4876" w:type="dxa"/>
            <w:hideMark/>
          </w:tcPr>
          <w:p w:rsidR="00932D06" w:rsidRPr="00D20917" w:rsidRDefault="00952B8E">
            <w:pPr>
              <w:pStyle w:val="ColumnHeading"/>
              <w:keepNext/>
            </w:pPr>
            <w:r w:rsidRPr="00D20917">
              <w:t>Text predložený Komisiou</w:t>
            </w:r>
          </w:p>
        </w:tc>
        <w:tc>
          <w:tcPr>
            <w:tcW w:w="4876" w:type="dxa"/>
            <w:hideMark/>
          </w:tcPr>
          <w:p w:rsidR="00932D06" w:rsidRPr="00D20917" w:rsidRDefault="00952B8E">
            <w:pPr>
              <w:pStyle w:val="ColumnHeading"/>
              <w:keepNext/>
            </w:pPr>
            <w:r w:rsidRPr="00D20917">
              <w:t>Pozmeňujúci návrh</w:t>
            </w:r>
          </w:p>
        </w:tc>
      </w:tr>
      <w:tr w:rsidR="001D3093" w:rsidRPr="00D20917" w:rsidTr="00932D06">
        <w:trPr>
          <w:jc w:val="center"/>
        </w:trPr>
        <w:tc>
          <w:tcPr>
            <w:tcW w:w="4876" w:type="dxa"/>
            <w:hideMark/>
          </w:tcPr>
          <w:p w:rsidR="00932D06" w:rsidRPr="00D20917" w:rsidRDefault="00952B8E">
            <w:pPr>
              <w:pStyle w:val="Normal6"/>
            </w:pPr>
            <w:r w:rsidRPr="00D20917">
              <w:t xml:space="preserve">Podiely vo forme nástrojov vlastných zdrojov </w:t>
            </w:r>
            <w:r w:rsidRPr="00D20917">
              <w:rPr>
                <w:b/>
                <w:bCs/>
                <w:i/>
                <w:iCs/>
              </w:rPr>
              <w:t>alebo záväzkov</w:t>
            </w:r>
            <w:r w:rsidRPr="00D20917">
              <w:t xml:space="preserve"> emitovaných dcérskymi spoločnosťami, ktoré sú likvidačnými subjektmi, pre ktoré orgán pre riešenie krízových situácií neurčil požiadavku uvedenú v článku 45 ods. 1, sa neodpočítavajú podľa článku 72e ods. 5 nariadenia (EÚ) č. 575/2013.;</w:t>
            </w:r>
          </w:p>
        </w:tc>
        <w:tc>
          <w:tcPr>
            <w:tcW w:w="4876" w:type="dxa"/>
            <w:hideMark/>
          </w:tcPr>
          <w:p w:rsidR="00932D06" w:rsidRPr="00D20917" w:rsidRDefault="00952B8E">
            <w:pPr>
              <w:pStyle w:val="Normal6"/>
              <w:rPr>
                <w:szCs w:val="24"/>
              </w:rPr>
            </w:pPr>
            <w:r w:rsidRPr="00D20917">
              <w:t xml:space="preserve">Držané </w:t>
            </w:r>
            <w:r w:rsidRPr="00D20917">
              <w:rPr>
                <w:b/>
                <w:bCs/>
                <w:i/>
                <w:iCs/>
              </w:rPr>
              <w:t>položky</w:t>
            </w:r>
            <w:r w:rsidRPr="00D20917">
              <w:t xml:space="preserve"> </w:t>
            </w:r>
            <w:r w:rsidRPr="00D20917">
              <w:rPr>
                <w:b/>
                <w:bCs/>
                <w:i/>
                <w:iCs/>
              </w:rPr>
              <w:t>záv</w:t>
            </w:r>
            <w:r w:rsidRPr="00D20917">
              <w:rPr>
                <w:b/>
                <w:bCs/>
                <w:i/>
                <w:iCs/>
              </w:rPr>
              <w:t>äzkov, ktoré sa nepovažujú za</w:t>
            </w:r>
            <w:r w:rsidRPr="00D20917">
              <w:t xml:space="preserve"> nástroje vlastných zdrojov alebo záväzkov emitovaných dcérskymi spoločnosťami, ktoré sú likvidačnými subjektmi, pre ktoré orgán pre riešenie krízových situácií neurčil požiadavku uvedenú v článku 45 ods. 1, sa neodpočítavajú p</w:t>
            </w:r>
            <w:r w:rsidRPr="00D20917">
              <w:t>odľa článku 72e ods. 5 nariadenia (EÚ) č. 575/2013;</w:t>
            </w:r>
          </w:p>
        </w:tc>
      </w:tr>
    </w:tbl>
    <w:p w:rsidR="00932D06" w:rsidRPr="00D20917" w:rsidRDefault="00952B8E" w:rsidP="00932D06">
      <w:pPr>
        <w:pStyle w:val="Olang"/>
        <w:rPr>
          <w:sz w:val="24"/>
          <w:szCs w:val="24"/>
        </w:rPr>
      </w:pPr>
      <w:r w:rsidRPr="00D20917">
        <w:rPr>
          <w:sz w:val="24"/>
          <w:szCs w:val="24"/>
        </w:rPr>
        <w:t xml:space="preserve">Or. </w:t>
      </w:r>
      <w:r w:rsidRPr="00D20917">
        <w:rPr>
          <w:rStyle w:val="HideTWBExt"/>
        </w:rPr>
        <w:t>&lt;Original&gt;</w:t>
      </w:r>
      <w:r w:rsidRPr="00D20917">
        <w:rPr>
          <w:rStyle w:val="HideTWBInt"/>
          <w:sz w:val="24"/>
          <w:szCs w:val="24"/>
        </w:rPr>
        <w:t>{EN}</w:t>
      </w:r>
      <w:r w:rsidRPr="00D20917">
        <w:rPr>
          <w:sz w:val="24"/>
          <w:szCs w:val="24"/>
        </w:rPr>
        <w:t>en</w:t>
      </w:r>
      <w:r w:rsidRPr="00D20917">
        <w:rPr>
          <w:rStyle w:val="HideTWBExt"/>
        </w:rPr>
        <w:t>&lt;/Original&gt;</w:t>
      </w:r>
    </w:p>
    <w:p w:rsidR="00932D06" w:rsidRPr="00D20917" w:rsidRDefault="00952B8E" w:rsidP="00932D06">
      <w:pPr>
        <w:rPr>
          <w:szCs w:val="24"/>
        </w:rPr>
      </w:pPr>
      <w:r w:rsidRPr="00D20917">
        <w:rPr>
          <w:rStyle w:val="HideTWBExt"/>
        </w:rPr>
        <w:t>&lt;/Amend&gt;</w:t>
      </w:r>
    </w:p>
    <w:p w:rsidR="00932D06" w:rsidRPr="00D20917" w:rsidRDefault="00952B8E" w:rsidP="00932D06">
      <w:pPr>
        <w:pStyle w:val="AMNumberTabs0"/>
        <w:keepNext/>
      </w:pPr>
      <w:r w:rsidRPr="00D20917">
        <w:rPr>
          <w:rStyle w:val="HideTWBExt"/>
          <w:b w:val="0"/>
        </w:rPr>
        <w:t>&lt;Amend&gt;</w:t>
      </w:r>
      <w:r w:rsidRPr="00D20917">
        <w:t>Pozmeňujúci návrh</w:t>
      </w:r>
      <w:r w:rsidRPr="00D20917">
        <w:tab/>
      </w:r>
      <w:r w:rsidRPr="00D20917">
        <w:tab/>
      </w:r>
      <w:r w:rsidRPr="00D20917">
        <w:rPr>
          <w:rStyle w:val="HideTWBExt"/>
          <w:b w:val="0"/>
        </w:rPr>
        <w:t>&lt;NumAm&gt;</w:t>
      </w:r>
      <w:r w:rsidRPr="00D20917">
        <w:t>13</w:t>
      </w:r>
      <w:r w:rsidRPr="00D20917">
        <w:rPr>
          <w:rStyle w:val="HideTWBExt"/>
          <w:b w:val="0"/>
        </w:rPr>
        <w:t>&lt;/NumAm&gt;</w:t>
      </w:r>
    </w:p>
    <w:p w:rsidR="00932D06" w:rsidRPr="00D20917" w:rsidRDefault="00952B8E" w:rsidP="00932D06">
      <w:pPr>
        <w:pStyle w:val="NormalBold12b"/>
        <w:keepNext/>
      </w:pPr>
      <w:r w:rsidRPr="00D20917">
        <w:rPr>
          <w:rStyle w:val="HideTWBExt"/>
          <w:b w:val="0"/>
        </w:rPr>
        <w:t>&lt;DocAmend&gt;</w:t>
      </w:r>
      <w:r w:rsidRPr="00D20917">
        <w:t>Návrh smernice</w:t>
      </w:r>
      <w:r w:rsidRPr="00D20917">
        <w:rPr>
          <w:rStyle w:val="HideTWBExt"/>
          <w:b w:val="0"/>
        </w:rPr>
        <w:t>&lt;/DocAmend&gt;</w:t>
      </w:r>
    </w:p>
    <w:p w:rsidR="00932D06" w:rsidRPr="00D20917" w:rsidRDefault="00952B8E" w:rsidP="00932D06">
      <w:pPr>
        <w:pStyle w:val="NormalBold"/>
      </w:pPr>
      <w:r w:rsidRPr="00D20917">
        <w:rPr>
          <w:rStyle w:val="HideTWBExt"/>
          <w:b w:val="0"/>
        </w:rPr>
        <w:t>&lt;Article&gt;</w:t>
      </w:r>
      <w:r w:rsidRPr="00D20917">
        <w:t>Článok 1 – odsek 1 – bod 3 – písmeno a</w:t>
      </w:r>
      <w:r w:rsidRPr="00D20917">
        <w:rPr>
          <w:rStyle w:val="HideTWBExt"/>
          <w:b w:val="0"/>
        </w:rPr>
        <w:t>&lt;/Article&gt;</w:t>
      </w:r>
    </w:p>
    <w:p w:rsidR="00932D06" w:rsidRPr="00D20917" w:rsidRDefault="00952B8E" w:rsidP="00932D06">
      <w:pPr>
        <w:keepNext/>
      </w:pPr>
      <w:r w:rsidRPr="00D20917">
        <w:rPr>
          <w:rStyle w:val="HideTWBExt"/>
        </w:rPr>
        <w:lastRenderedPageBreak/>
        <w:t>&lt;DocAmend2&gt;</w:t>
      </w:r>
      <w:r w:rsidRPr="00D20917">
        <w:t xml:space="preserve">Smernica </w:t>
      </w:r>
      <w:r w:rsidRPr="00D20917">
        <w:t>2014/59/EÚ</w:t>
      </w:r>
      <w:r w:rsidRPr="00D20917">
        <w:rPr>
          <w:rStyle w:val="HideTWBExt"/>
        </w:rPr>
        <w:t>&lt;/DocAmend2&gt;</w:t>
      </w:r>
    </w:p>
    <w:p w:rsidR="00932D06" w:rsidRPr="00D20917" w:rsidRDefault="00952B8E" w:rsidP="00932D06">
      <w:r w:rsidRPr="00D20917">
        <w:rPr>
          <w:rStyle w:val="HideTWBExt"/>
        </w:rPr>
        <w:t>&lt;Article2&gt;</w:t>
      </w:r>
      <w:r w:rsidRPr="00D20917">
        <w:t>Článok 45f – odsek 1 – pododsek 3a – písmeno a – bod ii</w:t>
      </w:r>
      <w:r w:rsidRPr="00D2091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093" w:rsidRPr="00D20917" w:rsidTr="00932D06">
        <w:trPr>
          <w:jc w:val="center"/>
        </w:trPr>
        <w:tc>
          <w:tcPr>
            <w:tcW w:w="9752" w:type="dxa"/>
            <w:gridSpan w:val="2"/>
          </w:tcPr>
          <w:p w:rsidR="00932D06" w:rsidRPr="00D20917" w:rsidRDefault="00932D06">
            <w:pPr>
              <w:keepNext/>
            </w:pPr>
          </w:p>
        </w:tc>
      </w:tr>
      <w:tr w:rsidR="001D3093" w:rsidRPr="00D20917" w:rsidTr="00932D06">
        <w:trPr>
          <w:jc w:val="center"/>
        </w:trPr>
        <w:tc>
          <w:tcPr>
            <w:tcW w:w="4876" w:type="dxa"/>
            <w:hideMark/>
          </w:tcPr>
          <w:p w:rsidR="00932D06" w:rsidRPr="00D20917" w:rsidRDefault="00952B8E">
            <w:pPr>
              <w:pStyle w:val="ColumnHeading"/>
              <w:keepNext/>
            </w:pPr>
            <w:r w:rsidRPr="00D20917">
              <w:t>Text predložený Komisiou</w:t>
            </w:r>
          </w:p>
        </w:tc>
        <w:tc>
          <w:tcPr>
            <w:tcW w:w="4876" w:type="dxa"/>
            <w:hideMark/>
          </w:tcPr>
          <w:p w:rsidR="00932D06" w:rsidRPr="00D20917" w:rsidRDefault="00952B8E">
            <w:pPr>
              <w:pStyle w:val="ColumnHeading"/>
              <w:keepNext/>
            </w:pPr>
            <w:r w:rsidRPr="00D20917">
              <w:t>Pozmeňujúci návrh</w:t>
            </w:r>
          </w:p>
        </w:tc>
      </w:tr>
      <w:tr w:rsidR="001D3093" w:rsidRPr="00D20917" w:rsidTr="00932D06">
        <w:trPr>
          <w:jc w:val="center"/>
        </w:trPr>
        <w:tc>
          <w:tcPr>
            <w:tcW w:w="4876" w:type="dxa"/>
            <w:hideMark/>
          </w:tcPr>
          <w:p w:rsidR="00932D06" w:rsidRPr="00D20917" w:rsidRDefault="00952B8E">
            <w:pPr>
              <w:pStyle w:val="Normal6"/>
            </w:pPr>
            <w:r w:rsidRPr="00D20917">
              <w:t>ii)</w:t>
            </w:r>
            <w:r w:rsidRPr="00D20917">
              <w:tab/>
              <w:t xml:space="preserve">na dcérsku spoločnosť sa vzťahuje požiadavka uvedená v článku 104a smernice 2013/36/EÚ </w:t>
            </w:r>
            <w:r w:rsidRPr="00D20917">
              <w:rPr>
                <w:b/>
                <w:bCs/>
                <w:i/>
                <w:iCs/>
              </w:rPr>
              <w:t>alebo požiadavka na</w:t>
            </w:r>
            <w:r w:rsidRPr="00D20917">
              <w:rPr>
                <w:b/>
                <w:bCs/>
                <w:i/>
                <w:iCs/>
              </w:rPr>
              <w:t xml:space="preserve"> kombinovaný vankúš</w:t>
            </w:r>
            <w:r w:rsidRPr="00D20917">
              <w:t xml:space="preserve"> na konsolidovanom základe;</w:t>
            </w:r>
          </w:p>
        </w:tc>
        <w:tc>
          <w:tcPr>
            <w:tcW w:w="4876" w:type="dxa"/>
            <w:hideMark/>
          </w:tcPr>
          <w:p w:rsidR="00932D06" w:rsidRPr="00D20917" w:rsidRDefault="00952B8E">
            <w:pPr>
              <w:pStyle w:val="Normal6"/>
              <w:rPr>
                <w:szCs w:val="24"/>
              </w:rPr>
            </w:pPr>
            <w:r w:rsidRPr="00D20917">
              <w:t>ii)</w:t>
            </w:r>
            <w:r w:rsidRPr="00D20917">
              <w:tab/>
              <w:t xml:space="preserve">na dcérsku spoločnosť sa vzťahuje požiadavka uvedená v článku 104a smernice 2013/36/EÚ </w:t>
            </w:r>
            <w:r w:rsidRPr="00D20917">
              <w:rPr>
                <w:b/>
                <w:bCs/>
                <w:i/>
                <w:iCs/>
              </w:rPr>
              <w:t>iba</w:t>
            </w:r>
            <w:r w:rsidRPr="00D20917">
              <w:t xml:space="preserve"> na konsolidovanom základe;</w:t>
            </w:r>
          </w:p>
        </w:tc>
      </w:tr>
    </w:tbl>
    <w:p w:rsidR="00932D06" w:rsidRPr="00D20917" w:rsidRDefault="00952B8E" w:rsidP="00932D06">
      <w:pPr>
        <w:pStyle w:val="Olang"/>
        <w:rPr>
          <w:sz w:val="24"/>
          <w:szCs w:val="24"/>
        </w:rPr>
      </w:pPr>
      <w:r w:rsidRPr="00D20917">
        <w:rPr>
          <w:sz w:val="24"/>
          <w:szCs w:val="24"/>
        </w:rPr>
        <w:t xml:space="preserve">Or. </w:t>
      </w:r>
      <w:r w:rsidRPr="00D20917">
        <w:rPr>
          <w:rStyle w:val="HideTWBExt"/>
        </w:rPr>
        <w:t>&lt;Original&gt;</w:t>
      </w:r>
      <w:r w:rsidRPr="00D20917">
        <w:rPr>
          <w:rStyle w:val="HideTWBInt"/>
          <w:sz w:val="24"/>
          <w:szCs w:val="24"/>
        </w:rPr>
        <w:t>{EN}</w:t>
      </w:r>
      <w:r w:rsidRPr="00D20917">
        <w:rPr>
          <w:sz w:val="24"/>
          <w:szCs w:val="24"/>
        </w:rPr>
        <w:t>en</w:t>
      </w:r>
      <w:r w:rsidRPr="00D20917">
        <w:rPr>
          <w:rStyle w:val="HideTWBExt"/>
        </w:rPr>
        <w:t>&lt;/Original&gt;</w:t>
      </w:r>
    </w:p>
    <w:p w:rsidR="00932D06" w:rsidRPr="00D20917" w:rsidRDefault="00952B8E" w:rsidP="00932D06">
      <w:pPr>
        <w:rPr>
          <w:szCs w:val="24"/>
        </w:rPr>
      </w:pPr>
      <w:r w:rsidRPr="00D20917">
        <w:rPr>
          <w:rStyle w:val="HideTWBExt"/>
        </w:rPr>
        <w:t>&lt;/Amend&gt;</w:t>
      </w:r>
    </w:p>
    <w:p w:rsidR="00932D06" w:rsidRPr="00D20917" w:rsidRDefault="00952B8E" w:rsidP="00932D06">
      <w:pPr>
        <w:pStyle w:val="AMNumberTabs0"/>
        <w:keepNext/>
      </w:pPr>
      <w:r w:rsidRPr="00D20917">
        <w:rPr>
          <w:rStyle w:val="HideTWBExt"/>
          <w:b w:val="0"/>
        </w:rPr>
        <w:t>&lt;Amend&gt;</w:t>
      </w:r>
      <w:r w:rsidRPr="00D20917">
        <w:t>Pozmeňujúci návrh</w:t>
      </w:r>
      <w:r w:rsidRPr="00D20917">
        <w:tab/>
      </w:r>
      <w:r w:rsidRPr="00D20917">
        <w:tab/>
      </w:r>
      <w:r w:rsidRPr="00D20917">
        <w:rPr>
          <w:rStyle w:val="HideTWBExt"/>
          <w:b w:val="0"/>
        </w:rPr>
        <w:t>&lt;NumAm&gt;</w:t>
      </w:r>
      <w:r w:rsidRPr="00D20917">
        <w:t>14</w:t>
      </w:r>
      <w:r w:rsidRPr="00D20917">
        <w:rPr>
          <w:rStyle w:val="HideTWBExt"/>
          <w:b w:val="0"/>
        </w:rPr>
        <w:t>&lt;/NumAm&gt;</w:t>
      </w:r>
    </w:p>
    <w:p w:rsidR="00932D06" w:rsidRPr="00D20917" w:rsidRDefault="00952B8E" w:rsidP="00932D06">
      <w:pPr>
        <w:pStyle w:val="NormalBold12b"/>
        <w:keepNext/>
      </w:pPr>
      <w:r w:rsidRPr="00D20917">
        <w:rPr>
          <w:rStyle w:val="HideTWBExt"/>
          <w:b w:val="0"/>
        </w:rPr>
        <w:t>&lt;DocAmend&gt;</w:t>
      </w:r>
      <w:r w:rsidRPr="00D20917">
        <w:t>Návrh smernice</w:t>
      </w:r>
      <w:r w:rsidRPr="00D20917">
        <w:rPr>
          <w:rStyle w:val="HideTWBExt"/>
          <w:b w:val="0"/>
        </w:rPr>
        <w:t>&lt;/DocAmend&gt;</w:t>
      </w:r>
    </w:p>
    <w:p w:rsidR="00932D06" w:rsidRPr="00D20917" w:rsidRDefault="00952B8E" w:rsidP="00932D06">
      <w:pPr>
        <w:pStyle w:val="NormalBold"/>
      </w:pPr>
      <w:r w:rsidRPr="00D20917">
        <w:rPr>
          <w:rStyle w:val="HideTWBExt"/>
          <w:b w:val="0"/>
        </w:rPr>
        <w:t>&lt;Article&gt;</w:t>
      </w:r>
      <w:r w:rsidRPr="00D20917">
        <w:t>Článok 1 – odsek 1 – bod 3 – písmeno a</w:t>
      </w:r>
      <w:r w:rsidRPr="00D20917">
        <w:rPr>
          <w:rStyle w:val="HideTWBExt"/>
          <w:b w:val="0"/>
        </w:rPr>
        <w:t>&lt;/Article&gt;</w:t>
      </w:r>
    </w:p>
    <w:p w:rsidR="00932D06" w:rsidRPr="00D20917" w:rsidRDefault="00952B8E" w:rsidP="00932D06">
      <w:pPr>
        <w:keepNext/>
      </w:pPr>
      <w:r w:rsidRPr="00D20917">
        <w:rPr>
          <w:rStyle w:val="HideTWBExt"/>
        </w:rPr>
        <w:t>&lt;DocAmend2&gt;</w:t>
      </w:r>
      <w:r w:rsidRPr="00D20917">
        <w:t>Smernica 2014/59/EÚ</w:t>
      </w:r>
      <w:r w:rsidRPr="00D20917">
        <w:rPr>
          <w:rStyle w:val="HideTWBExt"/>
        </w:rPr>
        <w:t>&lt;/DocAmend2&gt;</w:t>
      </w:r>
    </w:p>
    <w:p w:rsidR="00932D06" w:rsidRPr="00D20917" w:rsidRDefault="00952B8E" w:rsidP="00932D06">
      <w:r w:rsidRPr="00D20917">
        <w:rPr>
          <w:rStyle w:val="HideTWBExt"/>
        </w:rPr>
        <w:t>&lt;Article2&gt;</w:t>
      </w:r>
      <w:r w:rsidRPr="00D20917">
        <w:t>Článok 45f – odsek 1 – pododsek 3a – písmeno b</w:t>
      </w:r>
      <w:r w:rsidRPr="00D2091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093" w:rsidRPr="00D20917" w:rsidTr="00932D06">
        <w:trPr>
          <w:jc w:val="center"/>
        </w:trPr>
        <w:tc>
          <w:tcPr>
            <w:tcW w:w="9752" w:type="dxa"/>
            <w:gridSpan w:val="2"/>
          </w:tcPr>
          <w:p w:rsidR="00932D06" w:rsidRPr="00D20917" w:rsidRDefault="00932D06">
            <w:pPr>
              <w:keepNext/>
            </w:pPr>
          </w:p>
        </w:tc>
      </w:tr>
      <w:tr w:rsidR="001D3093" w:rsidRPr="00D20917" w:rsidTr="00932D06">
        <w:trPr>
          <w:jc w:val="center"/>
        </w:trPr>
        <w:tc>
          <w:tcPr>
            <w:tcW w:w="4876" w:type="dxa"/>
            <w:hideMark/>
          </w:tcPr>
          <w:p w:rsidR="00932D06" w:rsidRPr="00D20917" w:rsidRDefault="00952B8E">
            <w:pPr>
              <w:pStyle w:val="ColumnHeading"/>
              <w:keepNext/>
            </w:pPr>
            <w:r w:rsidRPr="00D20917">
              <w:t>Text predložený Komisiou</w:t>
            </w:r>
          </w:p>
        </w:tc>
        <w:tc>
          <w:tcPr>
            <w:tcW w:w="4876" w:type="dxa"/>
            <w:hideMark/>
          </w:tcPr>
          <w:p w:rsidR="00932D06" w:rsidRPr="00D20917" w:rsidRDefault="00952B8E">
            <w:pPr>
              <w:pStyle w:val="ColumnHeading"/>
              <w:keepNext/>
            </w:pPr>
            <w:r w:rsidRPr="00D20917">
              <w:t>Pozmeňujúci návrh</w:t>
            </w:r>
          </w:p>
        </w:tc>
      </w:tr>
      <w:tr w:rsidR="001D3093" w:rsidRPr="00D20917" w:rsidTr="00932D06">
        <w:trPr>
          <w:jc w:val="center"/>
        </w:trPr>
        <w:tc>
          <w:tcPr>
            <w:tcW w:w="4876" w:type="dxa"/>
            <w:hideMark/>
          </w:tcPr>
          <w:p w:rsidR="00932D06" w:rsidRPr="00D20917" w:rsidRDefault="00952B8E">
            <w:pPr>
              <w:pStyle w:val="Normal6"/>
            </w:pPr>
            <w:r w:rsidRPr="00D20917">
              <w:t>b)</w:t>
            </w:r>
            <w:r w:rsidRPr="00D20917">
              <w:tab/>
            </w:r>
            <w:r w:rsidRPr="00D20917">
              <w:t xml:space="preserve">splnenie požiadavky stanovenej v článku 45c na konsolidovanom základe nemá </w:t>
            </w:r>
            <w:r w:rsidRPr="00D20917">
              <w:rPr>
                <w:b/>
                <w:bCs/>
                <w:i/>
                <w:iCs/>
              </w:rPr>
              <w:t>výrazný</w:t>
            </w:r>
            <w:r w:rsidRPr="00D20917">
              <w:t xml:space="preserve"> negatívny vplyv na riešiteľnosť krízovej situácie skupiny, ktorej krízová situácia sa rieši, ani na odpísanie alebo konverziu príslušných kapitálových nástrojov a oprávnenýc</w:t>
            </w:r>
            <w:r w:rsidRPr="00D20917">
              <w:t>h záväzkov dotknutej dcérskej spoločnosti alebo iných subjektov v skupine, ktorej krízová situácia sa rieši, v súlade s článkom 59.;</w:t>
            </w:r>
          </w:p>
        </w:tc>
        <w:tc>
          <w:tcPr>
            <w:tcW w:w="4876" w:type="dxa"/>
            <w:hideMark/>
          </w:tcPr>
          <w:p w:rsidR="00932D06" w:rsidRPr="00D20917" w:rsidRDefault="00952B8E">
            <w:pPr>
              <w:pStyle w:val="Normal6"/>
              <w:rPr>
                <w:szCs w:val="24"/>
              </w:rPr>
            </w:pPr>
            <w:r w:rsidRPr="00D20917">
              <w:t>b)</w:t>
            </w:r>
            <w:r w:rsidRPr="00D20917">
              <w:tab/>
              <w:t>splnenie požiadavky stanovenej v článku 45c na konsolidovanom základe nemá negatívny vplyv na riešiteľnosť krízovej situ</w:t>
            </w:r>
            <w:r w:rsidRPr="00D20917">
              <w:t xml:space="preserve">ácie skupiny, ktorej krízová situácia sa rieši, ani na odpísanie alebo konverziu príslušných kapitálových nástrojov a oprávnených záväzkov dotknutej dcérskej spoločnosti alebo iných subjektov v skupine, ktorej krízová situácia sa rieši, v súlade s článkom </w:t>
            </w:r>
            <w:r w:rsidRPr="00D20917">
              <w:t>59;</w:t>
            </w:r>
          </w:p>
        </w:tc>
      </w:tr>
    </w:tbl>
    <w:p w:rsidR="00932D06" w:rsidRPr="00D20917" w:rsidRDefault="00952B8E" w:rsidP="00932D06">
      <w:pPr>
        <w:pStyle w:val="Olang"/>
        <w:rPr>
          <w:sz w:val="24"/>
          <w:szCs w:val="24"/>
        </w:rPr>
      </w:pPr>
      <w:r w:rsidRPr="00D20917">
        <w:rPr>
          <w:sz w:val="24"/>
          <w:szCs w:val="24"/>
        </w:rPr>
        <w:t xml:space="preserve">Or. </w:t>
      </w:r>
      <w:r w:rsidRPr="00D20917">
        <w:rPr>
          <w:rStyle w:val="HideTWBExt"/>
        </w:rPr>
        <w:t>&lt;Original&gt;</w:t>
      </w:r>
      <w:r w:rsidRPr="00D20917">
        <w:rPr>
          <w:rStyle w:val="HideTWBInt"/>
          <w:sz w:val="24"/>
          <w:szCs w:val="24"/>
        </w:rPr>
        <w:t>{EN}</w:t>
      </w:r>
      <w:r w:rsidRPr="00D20917">
        <w:rPr>
          <w:sz w:val="24"/>
          <w:szCs w:val="24"/>
        </w:rPr>
        <w:t>en</w:t>
      </w:r>
      <w:r w:rsidRPr="00D20917">
        <w:rPr>
          <w:rStyle w:val="HideTWBExt"/>
        </w:rPr>
        <w:t>&lt;/Original&gt;</w:t>
      </w:r>
    </w:p>
    <w:p w:rsidR="00932D06" w:rsidRPr="00D20917" w:rsidRDefault="00952B8E" w:rsidP="00932D06">
      <w:pPr>
        <w:rPr>
          <w:szCs w:val="24"/>
        </w:rPr>
      </w:pPr>
      <w:r w:rsidRPr="00D20917">
        <w:rPr>
          <w:rStyle w:val="HideTWBExt"/>
        </w:rPr>
        <w:t>&lt;/Amend&gt;</w:t>
      </w:r>
    </w:p>
    <w:p w:rsidR="00932D06" w:rsidRPr="00D20917" w:rsidRDefault="00952B8E" w:rsidP="00932D06">
      <w:pPr>
        <w:pStyle w:val="AMNumberTabs0"/>
        <w:keepNext/>
      </w:pPr>
      <w:r w:rsidRPr="00D20917">
        <w:rPr>
          <w:rStyle w:val="HideTWBExt"/>
          <w:b w:val="0"/>
        </w:rPr>
        <w:t>&lt;Amend&gt;</w:t>
      </w:r>
      <w:r w:rsidRPr="00D20917">
        <w:t>Pozmeňujúci návrh</w:t>
      </w:r>
      <w:r w:rsidRPr="00D20917">
        <w:tab/>
      </w:r>
      <w:r w:rsidRPr="00D20917">
        <w:tab/>
      </w:r>
      <w:r w:rsidRPr="00D20917">
        <w:rPr>
          <w:rStyle w:val="HideTWBExt"/>
          <w:b w:val="0"/>
        </w:rPr>
        <w:t>&lt;NumAm&gt;</w:t>
      </w:r>
      <w:r w:rsidRPr="00D20917">
        <w:t>15</w:t>
      </w:r>
      <w:r w:rsidRPr="00D20917">
        <w:rPr>
          <w:rStyle w:val="HideTWBExt"/>
          <w:b w:val="0"/>
        </w:rPr>
        <w:t>&lt;/NumAm&gt;</w:t>
      </w:r>
    </w:p>
    <w:p w:rsidR="00932D06" w:rsidRPr="00D20917" w:rsidRDefault="00952B8E" w:rsidP="00932D06">
      <w:pPr>
        <w:pStyle w:val="NormalBold12b"/>
        <w:keepNext/>
      </w:pPr>
      <w:r w:rsidRPr="00D20917">
        <w:rPr>
          <w:rStyle w:val="HideTWBExt"/>
          <w:b w:val="0"/>
        </w:rPr>
        <w:t>&lt;DocAmend&gt;</w:t>
      </w:r>
      <w:r w:rsidRPr="00D20917">
        <w:t>Návrh smernice</w:t>
      </w:r>
      <w:r w:rsidRPr="00D20917">
        <w:rPr>
          <w:rStyle w:val="HideTWBExt"/>
          <w:b w:val="0"/>
        </w:rPr>
        <w:t>&lt;/DocAmend&gt;</w:t>
      </w:r>
    </w:p>
    <w:p w:rsidR="00932D06" w:rsidRPr="00D20917" w:rsidRDefault="00952B8E" w:rsidP="00932D06">
      <w:pPr>
        <w:pStyle w:val="NormalBold"/>
      </w:pPr>
      <w:r w:rsidRPr="00D20917">
        <w:rPr>
          <w:rStyle w:val="HideTWBExt"/>
          <w:b w:val="0"/>
        </w:rPr>
        <w:t>&lt;Article&gt;</w:t>
      </w:r>
      <w:r w:rsidRPr="00D20917">
        <w:t>Článok 2 – odsek 1 – bod 2 – písmeno b</w:t>
      </w:r>
      <w:r w:rsidRPr="00D20917">
        <w:rPr>
          <w:rStyle w:val="HideTWBExt"/>
          <w:b w:val="0"/>
        </w:rPr>
        <w:t>&lt;/Article&gt;</w:t>
      </w:r>
    </w:p>
    <w:p w:rsidR="00932D06" w:rsidRPr="00D20917" w:rsidRDefault="00952B8E" w:rsidP="00932D06">
      <w:pPr>
        <w:keepNext/>
      </w:pPr>
      <w:r w:rsidRPr="00D20917">
        <w:rPr>
          <w:rStyle w:val="HideTWBExt"/>
        </w:rPr>
        <w:t>&lt;DocAmend2&gt;</w:t>
      </w:r>
      <w:r w:rsidRPr="00D20917">
        <w:t>Nariadenie (EÚ) č. 806/2014</w:t>
      </w:r>
      <w:r w:rsidRPr="00D20917">
        <w:rPr>
          <w:rStyle w:val="HideTWBExt"/>
        </w:rPr>
        <w:t>&lt;/DocAmend2&gt;</w:t>
      </w:r>
    </w:p>
    <w:p w:rsidR="00932D06" w:rsidRPr="00D20917" w:rsidRDefault="00952B8E" w:rsidP="00932D06">
      <w:r w:rsidRPr="00D20917">
        <w:rPr>
          <w:rStyle w:val="HideTWBExt"/>
        </w:rPr>
        <w:t>&lt;Article2&gt;</w:t>
      </w:r>
      <w:r w:rsidRPr="00D20917">
        <w:t xml:space="preserve">Článok 12d </w:t>
      </w:r>
      <w:r w:rsidRPr="00D20917">
        <w:t>– odsek 2a – pododsek 2</w:t>
      </w:r>
      <w:r w:rsidRPr="00D2091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093" w:rsidRPr="00D20917" w:rsidTr="00932D06">
        <w:trPr>
          <w:jc w:val="center"/>
        </w:trPr>
        <w:tc>
          <w:tcPr>
            <w:tcW w:w="9752" w:type="dxa"/>
            <w:gridSpan w:val="2"/>
          </w:tcPr>
          <w:p w:rsidR="00932D06" w:rsidRPr="00D20917" w:rsidRDefault="00932D06">
            <w:pPr>
              <w:keepNext/>
            </w:pPr>
          </w:p>
        </w:tc>
      </w:tr>
      <w:tr w:rsidR="001D3093" w:rsidRPr="00D20917" w:rsidTr="00932D06">
        <w:trPr>
          <w:jc w:val="center"/>
        </w:trPr>
        <w:tc>
          <w:tcPr>
            <w:tcW w:w="4876" w:type="dxa"/>
            <w:hideMark/>
          </w:tcPr>
          <w:p w:rsidR="00932D06" w:rsidRPr="00D20917" w:rsidRDefault="00952B8E">
            <w:pPr>
              <w:pStyle w:val="ColumnHeading"/>
              <w:keepNext/>
            </w:pPr>
            <w:r w:rsidRPr="00D20917">
              <w:t>Text predložený Komisiou</w:t>
            </w:r>
          </w:p>
        </w:tc>
        <w:tc>
          <w:tcPr>
            <w:tcW w:w="4876" w:type="dxa"/>
            <w:hideMark/>
          </w:tcPr>
          <w:p w:rsidR="00932D06" w:rsidRPr="00D20917" w:rsidRDefault="00952B8E">
            <w:pPr>
              <w:pStyle w:val="ColumnHeading"/>
              <w:keepNext/>
            </w:pPr>
            <w:r w:rsidRPr="00D20917">
              <w:t>Pozmeňujúci návrh</w:t>
            </w:r>
          </w:p>
        </w:tc>
      </w:tr>
      <w:tr w:rsidR="001D3093" w:rsidRPr="00D20917" w:rsidTr="00932D06">
        <w:trPr>
          <w:jc w:val="center"/>
        </w:trPr>
        <w:tc>
          <w:tcPr>
            <w:tcW w:w="4876" w:type="dxa"/>
            <w:hideMark/>
          </w:tcPr>
          <w:p w:rsidR="00932D06" w:rsidRPr="00D20917" w:rsidRDefault="00952B8E">
            <w:pPr>
              <w:pStyle w:val="Normal6"/>
            </w:pPr>
            <w:r w:rsidRPr="00D20917">
              <w:t xml:space="preserve">Odchylne od prvého pododseku </w:t>
            </w:r>
            <w:r w:rsidRPr="00D20917">
              <w:rPr>
                <w:b/>
                <w:bCs/>
                <w:i/>
                <w:iCs/>
              </w:rPr>
              <w:t>a ak je to potrebné na účely ochrany finančnej stability alebo obmedzenia potenciálnej nákazy vo finančnom systéme, môže</w:t>
            </w:r>
            <w:r w:rsidRPr="00D20917">
              <w:rPr>
                <w:b/>
                <w:bCs/>
              </w:rPr>
              <w:t xml:space="preserve"> </w:t>
            </w:r>
            <w:r w:rsidRPr="00D20917">
              <w:t>Jednotná rada</w:t>
            </w:r>
            <w:r w:rsidRPr="00D20917">
              <w:rPr>
                <w:b/>
                <w:bCs/>
                <w:i/>
                <w:iCs/>
              </w:rPr>
              <w:t xml:space="preserve"> výnimočne </w:t>
            </w:r>
            <w:r w:rsidRPr="00D20917">
              <w:t xml:space="preserve">určiť požiadavku </w:t>
            </w:r>
            <w:r w:rsidRPr="00D20917">
              <w:lastRenderedPageBreak/>
              <w:t>uvedenú v článku 12a ods. 1 pre likvidačné subjekty na individuálnom základe, a to vo výške dostatočnej na absorpciu strát v súlade s odsekom 2 písm. a) tohto článku</w:t>
            </w:r>
            <w:r w:rsidRPr="00D20917">
              <w:rPr>
                <w:b/>
                <w:bCs/>
                <w:i/>
                <w:iCs/>
              </w:rPr>
              <w:t xml:space="preserve">, zvýšenej </w:t>
            </w:r>
            <w:r w:rsidRPr="00D20917">
              <w:t xml:space="preserve">na </w:t>
            </w:r>
            <w:r w:rsidRPr="00D20917">
              <w:rPr>
                <w:b/>
                <w:bCs/>
                <w:i/>
                <w:iCs/>
              </w:rPr>
              <w:t>sumu, ktorá je potrebná na dosiahnutie uvedených cieľov</w:t>
            </w:r>
            <w:r w:rsidRPr="00D20917">
              <w:t>. V t</w:t>
            </w:r>
            <w:r w:rsidRPr="00D20917">
              <w:t>ýchto prípadoch musia likvidačné subjekty splniť požiadavku uvedenú v článku 12a ods. 1 za použitia jednej alebo viacerých z týchto možností:</w:t>
            </w:r>
          </w:p>
        </w:tc>
        <w:tc>
          <w:tcPr>
            <w:tcW w:w="4876" w:type="dxa"/>
            <w:hideMark/>
          </w:tcPr>
          <w:p w:rsidR="00932D06" w:rsidRPr="00D20917" w:rsidRDefault="00952B8E">
            <w:pPr>
              <w:pStyle w:val="Normal6"/>
              <w:rPr>
                <w:szCs w:val="24"/>
              </w:rPr>
            </w:pPr>
            <w:r w:rsidRPr="00D20917">
              <w:lastRenderedPageBreak/>
              <w:t>Odchylne od prvého pododseku Jednotná rada pre riešenie krízových situácií</w:t>
            </w:r>
            <w:r w:rsidRPr="00D20917">
              <w:rPr>
                <w:b/>
                <w:bCs/>
                <w:i/>
                <w:iCs/>
              </w:rPr>
              <w:t xml:space="preserve"> posúdi, či je odôvodnené</w:t>
            </w:r>
            <w:r w:rsidRPr="00D20917">
              <w:t xml:space="preserve"> určiť požiadav</w:t>
            </w:r>
            <w:r w:rsidRPr="00D20917">
              <w:t xml:space="preserve">ku uvedenú v článku 12a ods. 1 pre likvidačné subjekty na individuálnom základe </w:t>
            </w:r>
            <w:r w:rsidRPr="00D20917">
              <w:rPr>
                <w:b/>
                <w:bCs/>
                <w:i/>
                <w:iCs/>
              </w:rPr>
              <w:t xml:space="preserve">vo </w:t>
            </w:r>
            <w:r w:rsidRPr="00D20917">
              <w:rPr>
                <w:b/>
                <w:bCs/>
                <w:i/>
                <w:iCs/>
              </w:rPr>
              <w:lastRenderedPageBreak/>
              <w:t>výške</w:t>
            </w:r>
            <w:r w:rsidRPr="00D20917">
              <w:t xml:space="preserve"> </w:t>
            </w:r>
            <w:r w:rsidRPr="00D20917">
              <w:rPr>
                <w:b/>
                <w:bCs/>
                <w:i/>
                <w:iCs/>
              </w:rPr>
              <w:t xml:space="preserve">presahujúcej </w:t>
            </w:r>
            <w:r w:rsidRPr="00D20917">
              <w:t>sumu dostatočnú na absorpciu strát v súlade s odsekom 2 písm. a) tohto článku</w:t>
            </w:r>
            <w:r w:rsidRPr="00D20917">
              <w:rPr>
                <w:b/>
                <w:bCs/>
                <w:i/>
                <w:iCs/>
              </w:rPr>
              <w:t>.</w:t>
            </w:r>
            <w:r w:rsidRPr="00D20917">
              <w:rPr>
                <w:b/>
                <w:i/>
              </w:rPr>
              <w:t xml:space="preserve"> </w:t>
            </w:r>
            <w:r w:rsidRPr="00D20917">
              <w:rPr>
                <w:b/>
                <w:bCs/>
                <w:i/>
                <w:iCs/>
              </w:rPr>
              <w:t>V posúdení Jednotnej rady pre riešenie krízových situácií sa zvážia možné d</w:t>
            </w:r>
            <w:r w:rsidRPr="00D20917">
              <w:rPr>
                <w:b/>
                <w:bCs/>
                <w:i/>
                <w:iCs/>
              </w:rPr>
              <w:t>ôsledky zlyhania dotknutého likvidačného subjektu a zohľadnia sa najmä všetky možné vplyvy na finančnú stabilitu a riziko nákazy finančného systému.</w:t>
            </w:r>
            <w:r w:rsidRPr="00D20917">
              <w:t xml:space="preserve"> V týchto prípadoch musia likvidačné subjekty splniť požiadavku uvedenú v článku 12a ods. 1 za použitia jedn</w:t>
            </w:r>
            <w:r w:rsidRPr="00D20917">
              <w:t>ej alebo viacerých z týchto možností:</w:t>
            </w:r>
          </w:p>
        </w:tc>
      </w:tr>
    </w:tbl>
    <w:p w:rsidR="00932D06" w:rsidRPr="00D20917" w:rsidRDefault="00952B8E" w:rsidP="00932D06">
      <w:pPr>
        <w:pStyle w:val="Olang"/>
        <w:rPr>
          <w:sz w:val="24"/>
          <w:szCs w:val="24"/>
        </w:rPr>
      </w:pPr>
      <w:r w:rsidRPr="00D20917">
        <w:rPr>
          <w:sz w:val="24"/>
          <w:szCs w:val="24"/>
        </w:rPr>
        <w:lastRenderedPageBreak/>
        <w:t xml:space="preserve">Or. </w:t>
      </w:r>
      <w:r w:rsidRPr="00D20917">
        <w:rPr>
          <w:rStyle w:val="HideTWBExt"/>
        </w:rPr>
        <w:t>&lt;Original&gt;</w:t>
      </w:r>
      <w:r w:rsidRPr="00D20917">
        <w:rPr>
          <w:rStyle w:val="HideTWBInt"/>
          <w:sz w:val="24"/>
          <w:szCs w:val="24"/>
        </w:rPr>
        <w:t>{EN}</w:t>
      </w:r>
      <w:r w:rsidRPr="00D20917">
        <w:rPr>
          <w:sz w:val="24"/>
          <w:szCs w:val="24"/>
        </w:rPr>
        <w:t>en</w:t>
      </w:r>
      <w:r w:rsidRPr="00D20917">
        <w:rPr>
          <w:rStyle w:val="HideTWBExt"/>
        </w:rPr>
        <w:t>&lt;/Original&gt;</w:t>
      </w:r>
    </w:p>
    <w:p w:rsidR="00932D06" w:rsidRPr="00D20917" w:rsidRDefault="00952B8E" w:rsidP="00932D06">
      <w:pPr>
        <w:rPr>
          <w:szCs w:val="24"/>
        </w:rPr>
      </w:pPr>
      <w:r w:rsidRPr="00D20917">
        <w:rPr>
          <w:rStyle w:val="HideTWBExt"/>
        </w:rPr>
        <w:t>&lt;/Amend&gt;</w:t>
      </w:r>
    </w:p>
    <w:p w:rsidR="00932D06" w:rsidRPr="00D20917" w:rsidRDefault="00952B8E" w:rsidP="00932D06">
      <w:pPr>
        <w:pStyle w:val="AMNumberTabs0"/>
        <w:keepNext/>
      </w:pPr>
      <w:r w:rsidRPr="00D20917">
        <w:rPr>
          <w:rStyle w:val="HideTWBExt"/>
          <w:b w:val="0"/>
        </w:rPr>
        <w:t>&lt;Amend&gt;</w:t>
      </w:r>
      <w:r w:rsidRPr="00D20917">
        <w:t>Pozmeňujúci návrh</w:t>
      </w:r>
      <w:r w:rsidRPr="00D20917">
        <w:tab/>
      </w:r>
      <w:r w:rsidRPr="00D20917">
        <w:tab/>
      </w:r>
      <w:r w:rsidRPr="00D20917">
        <w:rPr>
          <w:rStyle w:val="HideTWBExt"/>
          <w:b w:val="0"/>
        </w:rPr>
        <w:t>&lt;NumAm&gt;</w:t>
      </w:r>
      <w:r w:rsidRPr="00D20917">
        <w:t>16</w:t>
      </w:r>
      <w:r w:rsidRPr="00D20917">
        <w:rPr>
          <w:rStyle w:val="HideTWBExt"/>
          <w:b w:val="0"/>
        </w:rPr>
        <w:t>&lt;/NumAm&gt;</w:t>
      </w:r>
    </w:p>
    <w:p w:rsidR="00932D06" w:rsidRPr="00D20917" w:rsidRDefault="00952B8E" w:rsidP="00932D06">
      <w:pPr>
        <w:pStyle w:val="NormalBold12b"/>
        <w:keepNext/>
      </w:pPr>
      <w:r w:rsidRPr="00D20917">
        <w:rPr>
          <w:rStyle w:val="HideTWBExt"/>
          <w:b w:val="0"/>
        </w:rPr>
        <w:t>&lt;DocAmend&gt;</w:t>
      </w:r>
      <w:r w:rsidRPr="00D20917">
        <w:t>Návrh smernice</w:t>
      </w:r>
      <w:r w:rsidRPr="00D20917">
        <w:rPr>
          <w:rStyle w:val="HideTWBExt"/>
          <w:b w:val="0"/>
        </w:rPr>
        <w:t>&lt;/DocAmend&gt;</w:t>
      </w:r>
    </w:p>
    <w:p w:rsidR="00932D06" w:rsidRPr="00D20917" w:rsidRDefault="00952B8E" w:rsidP="00932D06">
      <w:pPr>
        <w:pStyle w:val="NormalBold"/>
      </w:pPr>
      <w:r w:rsidRPr="00D20917">
        <w:rPr>
          <w:rStyle w:val="HideTWBExt"/>
          <w:b w:val="0"/>
        </w:rPr>
        <w:t>&lt;Article&gt;</w:t>
      </w:r>
      <w:r w:rsidRPr="00D20917">
        <w:t>Článok 2 – odsek 1 – bod 2 – písmeno b</w:t>
      </w:r>
      <w:r w:rsidRPr="00D20917">
        <w:rPr>
          <w:rStyle w:val="HideTWBExt"/>
          <w:b w:val="0"/>
        </w:rPr>
        <w:t>&lt;/Article&gt;</w:t>
      </w:r>
    </w:p>
    <w:p w:rsidR="00932D06" w:rsidRPr="00D20917" w:rsidRDefault="00952B8E" w:rsidP="00932D06">
      <w:pPr>
        <w:keepNext/>
      </w:pPr>
      <w:r w:rsidRPr="00D20917">
        <w:rPr>
          <w:rStyle w:val="HideTWBExt"/>
        </w:rPr>
        <w:t>&lt;DocAmend2&gt;</w:t>
      </w:r>
      <w:r w:rsidRPr="00D20917">
        <w:t>Nariadenie (EÚ) č. 806/2014</w:t>
      </w:r>
      <w:r w:rsidRPr="00D20917">
        <w:rPr>
          <w:rStyle w:val="HideTWBExt"/>
        </w:rPr>
        <w:t>&lt;/DocAmend2&gt;</w:t>
      </w:r>
    </w:p>
    <w:p w:rsidR="00932D06" w:rsidRPr="00D20917" w:rsidRDefault="00952B8E" w:rsidP="00932D06">
      <w:r w:rsidRPr="00D20917">
        <w:rPr>
          <w:rStyle w:val="HideTWBExt"/>
        </w:rPr>
        <w:t>&lt;Article2&gt;</w:t>
      </w:r>
      <w:r w:rsidRPr="00D20917">
        <w:t>Článok 12d – odsek 2a – pododsek 4</w:t>
      </w:r>
      <w:r w:rsidRPr="00D2091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093" w:rsidRPr="00D20917" w:rsidTr="00932D06">
        <w:trPr>
          <w:jc w:val="center"/>
        </w:trPr>
        <w:tc>
          <w:tcPr>
            <w:tcW w:w="9752" w:type="dxa"/>
            <w:gridSpan w:val="2"/>
          </w:tcPr>
          <w:p w:rsidR="00932D06" w:rsidRPr="00D20917" w:rsidRDefault="00932D06">
            <w:pPr>
              <w:keepNext/>
            </w:pPr>
          </w:p>
        </w:tc>
      </w:tr>
      <w:tr w:rsidR="001D3093" w:rsidRPr="00D20917" w:rsidTr="00932D06">
        <w:trPr>
          <w:jc w:val="center"/>
        </w:trPr>
        <w:tc>
          <w:tcPr>
            <w:tcW w:w="4876" w:type="dxa"/>
            <w:hideMark/>
          </w:tcPr>
          <w:p w:rsidR="00932D06" w:rsidRPr="00D20917" w:rsidRDefault="00952B8E">
            <w:pPr>
              <w:pStyle w:val="ColumnHeading"/>
              <w:keepNext/>
            </w:pPr>
            <w:r w:rsidRPr="00D20917">
              <w:t>Text predložený Komisiou</w:t>
            </w:r>
          </w:p>
        </w:tc>
        <w:tc>
          <w:tcPr>
            <w:tcW w:w="4876" w:type="dxa"/>
            <w:hideMark/>
          </w:tcPr>
          <w:p w:rsidR="00932D06" w:rsidRPr="00D20917" w:rsidRDefault="00952B8E">
            <w:pPr>
              <w:pStyle w:val="ColumnHeading"/>
              <w:keepNext/>
            </w:pPr>
            <w:r w:rsidRPr="00D20917">
              <w:t>Pozmeňujúci návrh</w:t>
            </w:r>
          </w:p>
        </w:tc>
      </w:tr>
      <w:tr w:rsidR="001D3093" w:rsidRPr="00D20917" w:rsidTr="00932D06">
        <w:trPr>
          <w:jc w:val="center"/>
        </w:trPr>
        <w:tc>
          <w:tcPr>
            <w:tcW w:w="4876" w:type="dxa"/>
            <w:hideMark/>
          </w:tcPr>
          <w:p w:rsidR="00932D06" w:rsidRPr="00D20917" w:rsidRDefault="00952B8E">
            <w:pPr>
              <w:pStyle w:val="Normal6"/>
            </w:pPr>
            <w:r w:rsidRPr="00D20917">
              <w:t>Podiely vo forme nástrojov vlastných zdrojov</w:t>
            </w:r>
            <w:r w:rsidRPr="00D20917">
              <w:rPr>
                <w:b/>
                <w:bCs/>
                <w:i/>
                <w:iCs/>
              </w:rPr>
              <w:t xml:space="preserve"> alebo záväzkov</w:t>
            </w:r>
            <w:r w:rsidRPr="00D20917">
              <w:t xml:space="preserve"> emitovaných dcérskymi spoločnosťami, ktoré sú likvidačnými subjektmi, pre ktoré orgán pre riešenie krízových situácií neurčil požiadavku uvedenú v článku 12a ods. 1, sa neodpočítavajú podľa článku 72e ods. 5 nariadenia (EÚ) č. 575/2013.;</w:t>
            </w:r>
          </w:p>
        </w:tc>
        <w:tc>
          <w:tcPr>
            <w:tcW w:w="4876" w:type="dxa"/>
            <w:hideMark/>
          </w:tcPr>
          <w:p w:rsidR="00932D06" w:rsidRPr="00D20917" w:rsidRDefault="00952B8E">
            <w:pPr>
              <w:pStyle w:val="Normal6"/>
              <w:rPr>
                <w:szCs w:val="24"/>
              </w:rPr>
            </w:pPr>
            <w:r w:rsidRPr="00D20917">
              <w:t xml:space="preserve">Držané </w:t>
            </w:r>
            <w:r w:rsidRPr="00D20917">
              <w:rPr>
                <w:b/>
                <w:bCs/>
                <w:i/>
                <w:iCs/>
              </w:rPr>
              <w:t>položky</w:t>
            </w:r>
            <w:r w:rsidRPr="00D20917">
              <w:t xml:space="preserve"> </w:t>
            </w:r>
            <w:r w:rsidRPr="00D20917">
              <w:rPr>
                <w:b/>
                <w:bCs/>
                <w:i/>
                <w:iCs/>
              </w:rPr>
              <w:t>zá</w:t>
            </w:r>
            <w:r w:rsidRPr="00D20917">
              <w:rPr>
                <w:b/>
                <w:bCs/>
                <w:i/>
                <w:iCs/>
              </w:rPr>
              <w:t>väzkov, ktoré sa nepovažujú za</w:t>
            </w:r>
            <w:r w:rsidRPr="00D20917">
              <w:t xml:space="preserve"> nástroje vlastných zdrojov alebo záväzkov emitovaných dcérskymi spoločnosťami, ktoré sú likvidačnými subjektmi, pre ktoré orgán pre riešenie krízových situácií neurčil požiadavku uvedenú v článku 12a ods. 1, sa neodpočítavajú</w:t>
            </w:r>
            <w:r w:rsidRPr="00D20917">
              <w:t xml:space="preserve"> podľa článku 72e ods. 5 nariadenia (EÚ) č. 575/2013;</w:t>
            </w:r>
          </w:p>
        </w:tc>
      </w:tr>
    </w:tbl>
    <w:p w:rsidR="00932D06" w:rsidRPr="00D20917" w:rsidRDefault="00952B8E" w:rsidP="00932D06">
      <w:pPr>
        <w:pStyle w:val="Olang"/>
        <w:rPr>
          <w:sz w:val="24"/>
          <w:szCs w:val="24"/>
        </w:rPr>
      </w:pPr>
      <w:r w:rsidRPr="00D20917">
        <w:rPr>
          <w:sz w:val="24"/>
          <w:szCs w:val="24"/>
        </w:rPr>
        <w:t xml:space="preserve">Or. </w:t>
      </w:r>
      <w:r w:rsidRPr="00D20917">
        <w:rPr>
          <w:rStyle w:val="HideTWBExt"/>
        </w:rPr>
        <w:t>&lt;Original&gt;</w:t>
      </w:r>
      <w:r w:rsidRPr="00D20917">
        <w:rPr>
          <w:rStyle w:val="HideTWBInt"/>
          <w:sz w:val="24"/>
          <w:szCs w:val="24"/>
        </w:rPr>
        <w:t>{EN}</w:t>
      </w:r>
      <w:r w:rsidRPr="00D20917">
        <w:rPr>
          <w:sz w:val="24"/>
          <w:szCs w:val="24"/>
        </w:rPr>
        <w:t>en</w:t>
      </w:r>
      <w:r w:rsidRPr="00D20917">
        <w:rPr>
          <w:rStyle w:val="HideTWBExt"/>
        </w:rPr>
        <w:t>&lt;/Original&gt;</w:t>
      </w:r>
    </w:p>
    <w:p w:rsidR="00932D06" w:rsidRPr="00D20917" w:rsidRDefault="00952B8E" w:rsidP="00932D06">
      <w:pPr>
        <w:rPr>
          <w:szCs w:val="24"/>
        </w:rPr>
      </w:pPr>
      <w:r w:rsidRPr="00D20917">
        <w:rPr>
          <w:rStyle w:val="HideTWBExt"/>
        </w:rPr>
        <w:t>&lt;/Amend&gt;</w:t>
      </w:r>
    </w:p>
    <w:p w:rsidR="00932D06" w:rsidRPr="00D20917" w:rsidRDefault="00952B8E" w:rsidP="00932D06">
      <w:pPr>
        <w:pStyle w:val="AMNumberTabs0"/>
        <w:keepNext/>
      </w:pPr>
      <w:r w:rsidRPr="00D20917">
        <w:rPr>
          <w:rStyle w:val="HideTWBExt"/>
          <w:b w:val="0"/>
        </w:rPr>
        <w:t>&lt;Amend&gt;</w:t>
      </w:r>
      <w:r w:rsidRPr="00D20917">
        <w:t>Pozmeňujúci návrh</w:t>
      </w:r>
      <w:r w:rsidRPr="00D20917">
        <w:tab/>
      </w:r>
      <w:r w:rsidRPr="00D20917">
        <w:tab/>
      </w:r>
      <w:r w:rsidRPr="00D20917">
        <w:rPr>
          <w:rStyle w:val="HideTWBExt"/>
          <w:b w:val="0"/>
        </w:rPr>
        <w:t>&lt;NumAm&gt;</w:t>
      </w:r>
      <w:r w:rsidRPr="00D20917">
        <w:t>17</w:t>
      </w:r>
      <w:r w:rsidRPr="00D20917">
        <w:rPr>
          <w:rStyle w:val="HideTWBExt"/>
          <w:b w:val="0"/>
        </w:rPr>
        <w:t>&lt;/NumAm&gt;</w:t>
      </w:r>
    </w:p>
    <w:p w:rsidR="00932D06" w:rsidRPr="00D20917" w:rsidRDefault="00952B8E" w:rsidP="00932D06">
      <w:pPr>
        <w:pStyle w:val="NormalBold12b"/>
        <w:keepNext/>
      </w:pPr>
      <w:r w:rsidRPr="00D20917">
        <w:rPr>
          <w:rStyle w:val="HideTWBExt"/>
          <w:b w:val="0"/>
        </w:rPr>
        <w:t>&lt;DocAmend&gt;</w:t>
      </w:r>
      <w:r w:rsidRPr="00D20917">
        <w:t>Návrh smernice</w:t>
      </w:r>
      <w:r w:rsidRPr="00D20917">
        <w:rPr>
          <w:rStyle w:val="HideTWBExt"/>
          <w:b w:val="0"/>
        </w:rPr>
        <w:t>&lt;/DocAmend&gt;</w:t>
      </w:r>
    </w:p>
    <w:p w:rsidR="00932D06" w:rsidRPr="00D20917" w:rsidRDefault="00952B8E" w:rsidP="00932D06">
      <w:pPr>
        <w:pStyle w:val="NormalBold"/>
      </w:pPr>
      <w:r w:rsidRPr="00D20917">
        <w:rPr>
          <w:rStyle w:val="HideTWBExt"/>
          <w:b w:val="0"/>
        </w:rPr>
        <w:t>&lt;Article&gt;</w:t>
      </w:r>
      <w:r w:rsidRPr="00D20917">
        <w:t>Článok 2 – odsek 1 – bod 3 – písmeno a</w:t>
      </w:r>
      <w:r w:rsidRPr="00D20917">
        <w:rPr>
          <w:rStyle w:val="HideTWBExt"/>
          <w:b w:val="0"/>
        </w:rPr>
        <w:t>&lt;/Article&gt;</w:t>
      </w:r>
    </w:p>
    <w:p w:rsidR="00932D06" w:rsidRPr="00D20917" w:rsidRDefault="00952B8E" w:rsidP="00932D06">
      <w:pPr>
        <w:keepNext/>
      </w:pPr>
      <w:r w:rsidRPr="00D20917">
        <w:rPr>
          <w:rStyle w:val="HideTWBExt"/>
        </w:rPr>
        <w:t>&lt;DocAmend2&gt;</w:t>
      </w:r>
      <w:r w:rsidRPr="00D20917">
        <w:t xml:space="preserve">Nariadenie </w:t>
      </w:r>
      <w:r w:rsidRPr="00D20917">
        <w:t>(EÚ) č. 806/2014</w:t>
      </w:r>
      <w:r w:rsidRPr="00D20917">
        <w:rPr>
          <w:rStyle w:val="HideTWBExt"/>
        </w:rPr>
        <w:t>&lt;/DocAmend2&gt;</w:t>
      </w:r>
    </w:p>
    <w:p w:rsidR="00932D06" w:rsidRPr="00D20917" w:rsidRDefault="00952B8E" w:rsidP="00932D06">
      <w:r w:rsidRPr="00D20917">
        <w:rPr>
          <w:rStyle w:val="HideTWBExt"/>
        </w:rPr>
        <w:t>&lt;Article2&gt;</w:t>
      </w:r>
      <w:r w:rsidRPr="00D20917">
        <w:t>Článok12g – odsek 1 – pododsek 3a – písmeno a – bod ii</w:t>
      </w:r>
      <w:r w:rsidRPr="00D2091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093" w:rsidRPr="00D20917" w:rsidTr="00932D06">
        <w:trPr>
          <w:jc w:val="center"/>
        </w:trPr>
        <w:tc>
          <w:tcPr>
            <w:tcW w:w="9752" w:type="dxa"/>
            <w:gridSpan w:val="2"/>
          </w:tcPr>
          <w:p w:rsidR="00932D06" w:rsidRPr="00D20917" w:rsidRDefault="00932D06">
            <w:pPr>
              <w:keepNext/>
            </w:pPr>
          </w:p>
        </w:tc>
      </w:tr>
      <w:tr w:rsidR="001D3093" w:rsidRPr="00D20917" w:rsidTr="00932D06">
        <w:trPr>
          <w:jc w:val="center"/>
        </w:trPr>
        <w:tc>
          <w:tcPr>
            <w:tcW w:w="4876" w:type="dxa"/>
            <w:hideMark/>
          </w:tcPr>
          <w:p w:rsidR="00932D06" w:rsidRPr="00D20917" w:rsidRDefault="00952B8E">
            <w:pPr>
              <w:pStyle w:val="ColumnHeading"/>
              <w:keepNext/>
            </w:pPr>
            <w:r w:rsidRPr="00D20917">
              <w:t>Text predložený Komisiou</w:t>
            </w:r>
          </w:p>
        </w:tc>
        <w:tc>
          <w:tcPr>
            <w:tcW w:w="4876" w:type="dxa"/>
            <w:hideMark/>
          </w:tcPr>
          <w:p w:rsidR="00932D06" w:rsidRPr="00D20917" w:rsidRDefault="00952B8E">
            <w:pPr>
              <w:pStyle w:val="ColumnHeading"/>
              <w:keepNext/>
            </w:pPr>
            <w:r w:rsidRPr="00D20917">
              <w:t>Pozmeňujúci návrh</w:t>
            </w:r>
          </w:p>
        </w:tc>
      </w:tr>
      <w:tr w:rsidR="001D3093" w:rsidRPr="00D20917" w:rsidTr="00932D06">
        <w:trPr>
          <w:jc w:val="center"/>
        </w:trPr>
        <w:tc>
          <w:tcPr>
            <w:tcW w:w="4876" w:type="dxa"/>
            <w:hideMark/>
          </w:tcPr>
          <w:p w:rsidR="00932D06" w:rsidRPr="00D20917" w:rsidRDefault="00952B8E">
            <w:pPr>
              <w:pStyle w:val="Normal6"/>
            </w:pPr>
            <w:r w:rsidRPr="00D20917">
              <w:t>ii)</w:t>
            </w:r>
            <w:r w:rsidRPr="00D20917">
              <w:tab/>
              <w:t xml:space="preserve">na dcérsku spoločnosť sa vzťahuje požiadavka uvedená v článku 104a smernice 2013/36/EÚ </w:t>
            </w:r>
            <w:r w:rsidRPr="00D20917">
              <w:rPr>
                <w:b/>
                <w:bCs/>
                <w:i/>
                <w:iCs/>
              </w:rPr>
              <w:t>alebo požiadav</w:t>
            </w:r>
            <w:r w:rsidRPr="00D20917">
              <w:rPr>
                <w:b/>
                <w:bCs/>
                <w:i/>
                <w:iCs/>
              </w:rPr>
              <w:t>ka na kombinovaný vankúš</w:t>
            </w:r>
            <w:r w:rsidRPr="00D20917">
              <w:t xml:space="preserve"> na konsolidovanom </w:t>
            </w:r>
            <w:r w:rsidRPr="00D20917">
              <w:lastRenderedPageBreak/>
              <w:t>základe;</w:t>
            </w:r>
          </w:p>
        </w:tc>
        <w:tc>
          <w:tcPr>
            <w:tcW w:w="4876" w:type="dxa"/>
            <w:hideMark/>
          </w:tcPr>
          <w:p w:rsidR="00932D06" w:rsidRPr="00D20917" w:rsidRDefault="00952B8E">
            <w:pPr>
              <w:pStyle w:val="Normal6"/>
              <w:rPr>
                <w:szCs w:val="24"/>
              </w:rPr>
            </w:pPr>
            <w:r w:rsidRPr="00D20917">
              <w:lastRenderedPageBreak/>
              <w:t>ii)</w:t>
            </w:r>
            <w:r w:rsidRPr="00D20917">
              <w:tab/>
              <w:t xml:space="preserve">na dcérsku spoločnosť sa vzťahuje požiadavka uvedená v článku 104a smernice 2013/36/EÚ </w:t>
            </w:r>
            <w:r w:rsidRPr="00D20917">
              <w:rPr>
                <w:b/>
                <w:bCs/>
                <w:i/>
                <w:iCs/>
              </w:rPr>
              <w:t>iba</w:t>
            </w:r>
            <w:r w:rsidRPr="00D20917">
              <w:t xml:space="preserve"> na </w:t>
            </w:r>
            <w:r w:rsidRPr="00D20917">
              <w:lastRenderedPageBreak/>
              <w:t>konsolidovanom základe;</w:t>
            </w:r>
          </w:p>
        </w:tc>
      </w:tr>
    </w:tbl>
    <w:p w:rsidR="00932D06" w:rsidRPr="00D20917" w:rsidRDefault="00952B8E" w:rsidP="00932D06">
      <w:pPr>
        <w:pStyle w:val="Olang"/>
        <w:rPr>
          <w:sz w:val="24"/>
          <w:szCs w:val="24"/>
        </w:rPr>
      </w:pPr>
      <w:r w:rsidRPr="00D20917">
        <w:rPr>
          <w:sz w:val="24"/>
          <w:szCs w:val="24"/>
        </w:rPr>
        <w:lastRenderedPageBreak/>
        <w:t xml:space="preserve">Or. </w:t>
      </w:r>
      <w:r w:rsidRPr="00D20917">
        <w:rPr>
          <w:rStyle w:val="HideTWBExt"/>
        </w:rPr>
        <w:t>&lt;Original&gt;</w:t>
      </w:r>
      <w:r w:rsidRPr="00D20917">
        <w:rPr>
          <w:rStyle w:val="HideTWBInt"/>
          <w:sz w:val="24"/>
          <w:szCs w:val="24"/>
        </w:rPr>
        <w:t>{EN}</w:t>
      </w:r>
      <w:r w:rsidRPr="00D20917">
        <w:rPr>
          <w:sz w:val="24"/>
          <w:szCs w:val="24"/>
        </w:rPr>
        <w:t>en</w:t>
      </w:r>
      <w:r w:rsidRPr="00D20917">
        <w:rPr>
          <w:rStyle w:val="HideTWBExt"/>
        </w:rPr>
        <w:t>&lt;/Original&gt;</w:t>
      </w:r>
    </w:p>
    <w:p w:rsidR="00932D06" w:rsidRPr="00D20917" w:rsidRDefault="00952B8E" w:rsidP="00932D06">
      <w:pPr>
        <w:rPr>
          <w:szCs w:val="24"/>
        </w:rPr>
      </w:pPr>
      <w:r w:rsidRPr="00D20917">
        <w:rPr>
          <w:rStyle w:val="HideTWBExt"/>
        </w:rPr>
        <w:t>&lt;/Amend&gt;</w:t>
      </w:r>
    </w:p>
    <w:p w:rsidR="00932D06" w:rsidRPr="00D20917" w:rsidRDefault="00952B8E" w:rsidP="00932D06">
      <w:pPr>
        <w:pStyle w:val="AMNumberTabs0"/>
        <w:keepNext/>
      </w:pPr>
      <w:r w:rsidRPr="00D20917">
        <w:rPr>
          <w:rStyle w:val="HideTWBExt"/>
          <w:b w:val="0"/>
        </w:rPr>
        <w:t>&lt;Amend&gt;</w:t>
      </w:r>
      <w:r w:rsidRPr="00D20917">
        <w:t>Pozmeňujúci návrh</w:t>
      </w:r>
      <w:r w:rsidRPr="00D20917">
        <w:tab/>
      </w:r>
      <w:r w:rsidRPr="00D20917">
        <w:tab/>
      </w:r>
      <w:r w:rsidRPr="00D20917">
        <w:rPr>
          <w:rStyle w:val="HideTWBExt"/>
          <w:b w:val="0"/>
        </w:rPr>
        <w:t>&lt;NumAm&gt;</w:t>
      </w:r>
      <w:r w:rsidRPr="00D20917">
        <w:t>18</w:t>
      </w:r>
      <w:r w:rsidRPr="00D20917">
        <w:rPr>
          <w:rStyle w:val="HideTWBExt"/>
          <w:b w:val="0"/>
        </w:rPr>
        <w:t>&lt;/NumAm&gt;</w:t>
      </w:r>
    </w:p>
    <w:p w:rsidR="00932D06" w:rsidRPr="00D20917" w:rsidRDefault="00952B8E" w:rsidP="00932D06">
      <w:pPr>
        <w:pStyle w:val="NormalBold12b"/>
        <w:keepNext/>
      </w:pPr>
      <w:r w:rsidRPr="00D20917">
        <w:rPr>
          <w:rStyle w:val="HideTWBExt"/>
          <w:b w:val="0"/>
        </w:rPr>
        <w:t>&lt;DocAmend&gt;</w:t>
      </w:r>
      <w:r w:rsidRPr="00D20917">
        <w:t>Návrh smernice</w:t>
      </w:r>
      <w:r w:rsidRPr="00D20917">
        <w:rPr>
          <w:rStyle w:val="HideTWBExt"/>
          <w:b w:val="0"/>
        </w:rPr>
        <w:t>&lt;/DocAmend&gt;</w:t>
      </w:r>
    </w:p>
    <w:p w:rsidR="00932D06" w:rsidRPr="00D20917" w:rsidRDefault="00952B8E" w:rsidP="00932D06">
      <w:pPr>
        <w:pStyle w:val="NormalBold"/>
      </w:pPr>
      <w:r w:rsidRPr="00D20917">
        <w:rPr>
          <w:rStyle w:val="HideTWBExt"/>
          <w:b w:val="0"/>
        </w:rPr>
        <w:t>&lt;Article&gt;</w:t>
      </w:r>
      <w:r w:rsidRPr="00D20917">
        <w:t>Článok 2 – odsek 1 – bod 3 – písmeno a</w:t>
      </w:r>
      <w:r w:rsidRPr="00D20917">
        <w:rPr>
          <w:rStyle w:val="HideTWBExt"/>
          <w:b w:val="0"/>
        </w:rPr>
        <w:t>&lt;/Article&gt;</w:t>
      </w:r>
    </w:p>
    <w:p w:rsidR="00932D06" w:rsidRPr="00D20917" w:rsidRDefault="00952B8E" w:rsidP="00932D06">
      <w:pPr>
        <w:keepNext/>
      </w:pPr>
      <w:r w:rsidRPr="00D20917">
        <w:rPr>
          <w:rStyle w:val="HideTWBExt"/>
        </w:rPr>
        <w:t>&lt;DocAmend2&gt;</w:t>
      </w:r>
      <w:r w:rsidRPr="00D20917">
        <w:t>Nariadenie (EÚ) č. 806/2014</w:t>
      </w:r>
      <w:r w:rsidRPr="00D20917">
        <w:rPr>
          <w:rStyle w:val="HideTWBExt"/>
        </w:rPr>
        <w:t>&lt;/DocAmend2&gt;</w:t>
      </w:r>
    </w:p>
    <w:p w:rsidR="00932D06" w:rsidRPr="00D20917" w:rsidRDefault="00952B8E" w:rsidP="00932D06">
      <w:r w:rsidRPr="00D20917">
        <w:rPr>
          <w:rStyle w:val="HideTWBExt"/>
        </w:rPr>
        <w:t>&lt;Article2&gt;</w:t>
      </w:r>
      <w:r w:rsidRPr="00D20917">
        <w:t>Článok 12g – odsek 1 – pododsek 3a – písmeno b</w:t>
      </w:r>
      <w:r w:rsidRPr="00D2091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093" w:rsidRPr="00D20917" w:rsidTr="00932D06">
        <w:trPr>
          <w:jc w:val="center"/>
        </w:trPr>
        <w:tc>
          <w:tcPr>
            <w:tcW w:w="9752" w:type="dxa"/>
            <w:gridSpan w:val="2"/>
          </w:tcPr>
          <w:p w:rsidR="00932D06" w:rsidRPr="00D20917" w:rsidRDefault="00932D06">
            <w:pPr>
              <w:keepNext/>
            </w:pPr>
          </w:p>
        </w:tc>
      </w:tr>
      <w:tr w:rsidR="001D3093" w:rsidRPr="00D20917" w:rsidTr="00932D06">
        <w:trPr>
          <w:jc w:val="center"/>
        </w:trPr>
        <w:tc>
          <w:tcPr>
            <w:tcW w:w="4876" w:type="dxa"/>
            <w:hideMark/>
          </w:tcPr>
          <w:p w:rsidR="00932D06" w:rsidRPr="00D20917" w:rsidRDefault="00952B8E">
            <w:pPr>
              <w:pStyle w:val="ColumnHeading"/>
              <w:keepNext/>
            </w:pPr>
            <w:r w:rsidRPr="00D20917">
              <w:t>Text predložený Komisiou</w:t>
            </w:r>
          </w:p>
        </w:tc>
        <w:tc>
          <w:tcPr>
            <w:tcW w:w="4876" w:type="dxa"/>
            <w:hideMark/>
          </w:tcPr>
          <w:p w:rsidR="00932D06" w:rsidRPr="00D20917" w:rsidRDefault="00952B8E">
            <w:pPr>
              <w:pStyle w:val="ColumnHeading"/>
              <w:keepNext/>
            </w:pPr>
            <w:r w:rsidRPr="00D20917">
              <w:t>Pozmeňujúci návrh</w:t>
            </w:r>
          </w:p>
        </w:tc>
      </w:tr>
      <w:tr w:rsidR="001D3093" w:rsidRPr="00D20917" w:rsidTr="00932D06">
        <w:trPr>
          <w:jc w:val="center"/>
        </w:trPr>
        <w:tc>
          <w:tcPr>
            <w:tcW w:w="4876" w:type="dxa"/>
            <w:hideMark/>
          </w:tcPr>
          <w:p w:rsidR="00932D06" w:rsidRPr="00D20917" w:rsidRDefault="00952B8E">
            <w:pPr>
              <w:pStyle w:val="Normal6"/>
            </w:pPr>
            <w:r w:rsidRPr="00D20917">
              <w:t>b)</w:t>
            </w:r>
            <w:r w:rsidRPr="00D20917">
              <w:tab/>
              <w:t xml:space="preserve">splnenie požiadavky stanovenej v článku 12d na konsolidovanom základe nemá </w:t>
            </w:r>
            <w:r w:rsidRPr="00D20917">
              <w:rPr>
                <w:b/>
                <w:bCs/>
                <w:i/>
                <w:iCs/>
              </w:rPr>
              <w:t>výrazný</w:t>
            </w:r>
            <w:r w:rsidRPr="00D20917">
              <w:t xml:space="preserve"> negatívny vplyv na riešiteľnosť krízovej situácie skupiny, ktorej krízová situácia sa rieši, ani na odpísanie alebo konverziu príslušných kapitálových </w:t>
            </w:r>
            <w:r w:rsidRPr="00D20917">
              <w:t>nástrojov a oprávnených záväzkov inštitúcie alebo dotknutej dcérskej spoločnosti alebo iných subjektov v skupine, ktorej krízová situácia sa rieši, v súlade s článkom 21.;</w:t>
            </w:r>
          </w:p>
        </w:tc>
        <w:tc>
          <w:tcPr>
            <w:tcW w:w="4876" w:type="dxa"/>
            <w:hideMark/>
          </w:tcPr>
          <w:p w:rsidR="00932D06" w:rsidRPr="00D20917" w:rsidRDefault="00952B8E">
            <w:pPr>
              <w:pStyle w:val="Normal6"/>
              <w:rPr>
                <w:szCs w:val="24"/>
              </w:rPr>
            </w:pPr>
            <w:r w:rsidRPr="00D20917">
              <w:t>b)</w:t>
            </w:r>
            <w:r w:rsidRPr="00D20917">
              <w:tab/>
              <w:t>splnenie požiadavky stanovenej v článku 12d na konsolidovanom základe nemá negatí</w:t>
            </w:r>
            <w:r w:rsidRPr="00D20917">
              <w:t>vny vplyv na riešiteľnosť krízovej situácie skupiny, ktorej krízová situácia sa rieši, ani na odpísanie alebo konverziu príslušných kapitálových nástrojov a oprávnených záväzkov inštitúcie alebo dotknutej dcérskej spoločnosti alebo iných subjektov v skupin</w:t>
            </w:r>
            <w:r w:rsidRPr="00D20917">
              <w:t>e, ktorej krízová situácia sa rieši, v súlade s článkom 21;</w:t>
            </w:r>
          </w:p>
        </w:tc>
      </w:tr>
    </w:tbl>
    <w:p w:rsidR="00932D06" w:rsidRPr="00D20917" w:rsidRDefault="00952B8E" w:rsidP="00932D06">
      <w:pPr>
        <w:pStyle w:val="Olang"/>
        <w:rPr>
          <w:sz w:val="24"/>
          <w:szCs w:val="24"/>
        </w:rPr>
      </w:pPr>
      <w:r w:rsidRPr="00D20917">
        <w:rPr>
          <w:sz w:val="24"/>
          <w:szCs w:val="24"/>
        </w:rPr>
        <w:t xml:space="preserve">Or. </w:t>
      </w:r>
      <w:r w:rsidRPr="00D20917">
        <w:rPr>
          <w:rStyle w:val="HideTWBExt"/>
        </w:rPr>
        <w:t>&lt;Original&gt;</w:t>
      </w:r>
      <w:r w:rsidRPr="00D20917">
        <w:rPr>
          <w:rStyle w:val="HideTWBInt"/>
          <w:sz w:val="24"/>
          <w:szCs w:val="24"/>
        </w:rPr>
        <w:t>{EN}</w:t>
      </w:r>
      <w:r w:rsidRPr="00D20917">
        <w:rPr>
          <w:sz w:val="24"/>
          <w:szCs w:val="24"/>
        </w:rPr>
        <w:t>en</w:t>
      </w:r>
      <w:r w:rsidRPr="00D20917">
        <w:rPr>
          <w:rStyle w:val="HideTWBExt"/>
        </w:rPr>
        <w:t>&lt;/Original&gt;</w:t>
      </w:r>
    </w:p>
    <w:p w:rsidR="00932D06" w:rsidRPr="00D20917" w:rsidRDefault="00952B8E" w:rsidP="00932D06">
      <w:pPr>
        <w:rPr>
          <w:szCs w:val="24"/>
        </w:rPr>
      </w:pPr>
      <w:r w:rsidRPr="00D20917">
        <w:rPr>
          <w:rStyle w:val="HideTWBExt"/>
        </w:rPr>
        <w:t>&lt;/Amend&gt;</w:t>
      </w:r>
    </w:p>
    <w:p w:rsidR="00932D06" w:rsidRPr="00D20917" w:rsidRDefault="00952B8E" w:rsidP="00932D06">
      <w:pPr>
        <w:pStyle w:val="AMNumberTabs0"/>
        <w:keepNext/>
      </w:pPr>
      <w:r w:rsidRPr="00D20917">
        <w:rPr>
          <w:rStyle w:val="HideTWBExt"/>
          <w:b w:val="0"/>
        </w:rPr>
        <w:t>&lt;Amend&gt;</w:t>
      </w:r>
      <w:r w:rsidRPr="00D20917">
        <w:t>Pozmeňujúci návrh</w:t>
      </w:r>
      <w:r w:rsidRPr="00D20917">
        <w:tab/>
      </w:r>
      <w:r w:rsidRPr="00D20917">
        <w:tab/>
      </w:r>
      <w:r w:rsidRPr="00D20917">
        <w:rPr>
          <w:rStyle w:val="HideTWBExt"/>
          <w:b w:val="0"/>
        </w:rPr>
        <w:t>&lt;NumAm&gt;</w:t>
      </w:r>
      <w:r w:rsidRPr="00D20917">
        <w:t>19</w:t>
      </w:r>
      <w:r w:rsidRPr="00D20917">
        <w:rPr>
          <w:rStyle w:val="HideTWBExt"/>
          <w:b w:val="0"/>
        </w:rPr>
        <w:t>&lt;/NumAm&gt;</w:t>
      </w:r>
    </w:p>
    <w:p w:rsidR="00932D06" w:rsidRPr="00D20917" w:rsidRDefault="00952B8E" w:rsidP="00932D06">
      <w:pPr>
        <w:pStyle w:val="NormalBold12b"/>
        <w:keepNext/>
      </w:pPr>
      <w:r w:rsidRPr="00D20917">
        <w:rPr>
          <w:rStyle w:val="HideTWBExt"/>
          <w:b w:val="0"/>
        </w:rPr>
        <w:t>&lt;DocAmend&gt;</w:t>
      </w:r>
      <w:r w:rsidRPr="00D20917">
        <w:t>Návrh smernice</w:t>
      </w:r>
      <w:r w:rsidRPr="00D20917">
        <w:rPr>
          <w:rStyle w:val="HideTWBExt"/>
          <w:b w:val="0"/>
        </w:rPr>
        <w:t>&lt;/DocAmend&gt;</w:t>
      </w:r>
    </w:p>
    <w:p w:rsidR="00932D06" w:rsidRPr="00D20917" w:rsidRDefault="00952B8E" w:rsidP="00932D06">
      <w:pPr>
        <w:pStyle w:val="NormalBold"/>
      </w:pPr>
      <w:r w:rsidRPr="00D20917">
        <w:rPr>
          <w:rStyle w:val="HideTWBExt"/>
          <w:b w:val="0"/>
        </w:rPr>
        <w:t>&lt;Article&gt;</w:t>
      </w:r>
      <w:r w:rsidRPr="00D20917">
        <w:t>Článok 2 – odsek 1 – bod 3 – písmeno b</w:t>
      </w:r>
      <w:r w:rsidRPr="00D20917">
        <w:rPr>
          <w:rStyle w:val="HideTWBExt"/>
          <w:b w:val="0"/>
        </w:rPr>
        <w:t>&lt;/Article&gt;</w:t>
      </w:r>
    </w:p>
    <w:p w:rsidR="00932D06" w:rsidRPr="00D20917" w:rsidRDefault="00952B8E" w:rsidP="00932D06">
      <w:pPr>
        <w:keepNext/>
      </w:pPr>
      <w:r w:rsidRPr="00D20917">
        <w:rPr>
          <w:rStyle w:val="HideTWBExt"/>
        </w:rPr>
        <w:t>&lt;DocAmend2&gt;</w:t>
      </w:r>
      <w:r w:rsidRPr="00D20917">
        <w:t>Nariadenie (EÚ) č. 806/2014</w:t>
      </w:r>
      <w:r w:rsidRPr="00D20917">
        <w:rPr>
          <w:rStyle w:val="HideTWBExt"/>
        </w:rPr>
        <w:t>&lt;/DocAmend2&gt;</w:t>
      </w:r>
    </w:p>
    <w:p w:rsidR="00932D06" w:rsidRPr="00D20917" w:rsidRDefault="00952B8E" w:rsidP="00932D06">
      <w:r w:rsidRPr="00D20917">
        <w:rPr>
          <w:rStyle w:val="HideTWBExt"/>
        </w:rPr>
        <w:t>&lt;Article2&gt;</w:t>
      </w:r>
      <w:r w:rsidRPr="00D20917">
        <w:t>Článok 12g – odsek 2a – pododsek 2 – úvodná časť</w:t>
      </w:r>
      <w:r w:rsidRPr="00D2091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093" w:rsidRPr="00D20917" w:rsidTr="00932D06">
        <w:trPr>
          <w:jc w:val="center"/>
        </w:trPr>
        <w:tc>
          <w:tcPr>
            <w:tcW w:w="9752" w:type="dxa"/>
            <w:gridSpan w:val="2"/>
          </w:tcPr>
          <w:p w:rsidR="00932D06" w:rsidRPr="00D20917" w:rsidRDefault="00932D06">
            <w:pPr>
              <w:keepNext/>
            </w:pPr>
          </w:p>
        </w:tc>
      </w:tr>
      <w:tr w:rsidR="001D3093" w:rsidRPr="00D20917" w:rsidTr="00932D06">
        <w:trPr>
          <w:jc w:val="center"/>
        </w:trPr>
        <w:tc>
          <w:tcPr>
            <w:tcW w:w="4876" w:type="dxa"/>
            <w:hideMark/>
          </w:tcPr>
          <w:p w:rsidR="00932D06" w:rsidRPr="00D20917" w:rsidRDefault="00952B8E">
            <w:pPr>
              <w:pStyle w:val="ColumnHeading"/>
              <w:keepNext/>
            </w:pPr>
            <w:r w:rsidRPr="00D20917">
              <w:t>Text predložený Komisiou</w:t>
            </w:r>
          </w:p>
        </w:tc>
        <w:tc>
          <w:tcPr>
            <w:tcW w:w="4876" w:type="dxa"/>
            <w:hideMark/>
          </w:tcPr>
          <w:p w:rsidR="00932D06" w:rsidRPr="00D20917" w:rsidRDefault="00952B8E">
            <w:pPr>
              <w:pStyle w:val="ColumnHeading"/>
              <w:keepNext/>
            </w:pPr>
            <w:r w:rsidRPr="00D20917">
              <w:t>Pozmeňujúci návrh</w:t>
            </w:r>
          </w:p>
        </w:tc>
      </w:tr>
      <w:tr w:rsidR="001D3093" w:rsidRPr="00D20917" w:rsidTr="00932D06">
        <w:trPr>
          <w:jc w:val="center"/>
        </w:trPr>
        <w:tc>
          <w:tcPr>
            <w:tcW w:w="4876" w:type="dxa"/>
            <w:hideMark/>
          </w:tcPr>
          <w:p w:rsidR="00932D06" w:rsidRPr="00D20917" w:rsidRDefault="00952B8E">
            <w:pPr>
              <w:pStyle w:val="Normal6"/>
            </w:pPr>
            <w:r w:rsidRPr="00D20917">
              <w:t xml:space="preserve">Záväzky uvedené v prvom pododseku písm. a) a b) nesmú presiahnuť sumu určenú odpočítaním súčtu všetkých nasledujúcich hodnôt od sumy požiadavky uvedenej v článku </w:t>
            </w:r>
            <w:r w:rsidRPr="00D20917">
              <w:rPr>
                <w:b/>
                <w:bCs/>
                <w:i/>
                <w:iCs/>
              </w:rPr>
              <w:t>45 ods. 1</w:t>
            </w:r>
            <w:r w:rsidRPr="00D20917">
              <w:t xml:space="preserve"> uplatniteľnej na dcérsku spoločnosť zahrnutú do </w:t>
            </w:r>
            <w:r w:rsidRPr="00D20917">
              <w:rPr>
                <w:b/>
                <w:bCs/>
                <w:i/>
                <w:iCs/>
              </w:rPr>
              <w:t>konsolidácie</w:t>
            </w:r>
            <w:r w:rsidRPr="00D20917">
              <w:t>:</w:t>
            </w:r>
          </w:p>
        </w:tc>
        <w:tc>
          <w:tcPr>
            <w:tcW w:w="4876" w:type="dxa"/>
            <w:hideMark/>
          </w:tcPr>
          <w:p w:rsidR="00932D06" w:rsidRPr="00D20917" w:rsidRDefault="00952B8E">
            <w:pPr>
              <w:pStyle w:val="Normal6"/>
              <w:rPr>
                <w:szCs w:val="24"/>
              </w:rPr>
            </w:pPr>
            <w:r w:rsidRPr="00D20917">
              <w:t>Záväzky uvedené v prvo</w:t>
            </w:r>
            <w:r w:rsidRPr="00D20917">
              <w:t xml:space="preserve">m pododseku písm. a) a b) nesmú presiahnuť sumu určenú odpočítaním súčtu všetkých nasledujúcich hodnôt od sumy požiadavky uvedenej v článku </w:t>
            </w:r>
            <w:r w:rsidRPr="00D20917">
              <w:rPr>
                <w:b/>
                <w:bCs/>
                <w:i/>
                <w:iCs/>
              </w:rPr>
              <w:t>12 ods. 1</w:t>
            </w:r>
            <w:r w:rsidRPr="00D20917">
              <w:t xml:space="preserve"> uplatniteľnej na dcérsku spoločnosť zahrnutú do </w:t>
            </w:r>
            <w:r w:rsidRPr="00D20917">
              <w:rPr>
                <w:b/>
                <w:bCs/>
                <w:i/>
                <w:iCs/>
              </w:rPr>
              <w:t>konsolidácie</w:t>
            </w:r>
            <w:r w:rsidRPr="00D20917">
              <w:t>:</w:t>
            </w:r>
          </w:p>
        </w:tc>
      </w:tr>
    </w:tbl>
    <w:p w:rsidR="00932D06" w:rsidRPr="00D20917" w:rsidRDefault="00952B8E" w:rsidP="00932D06">
      <w:pPr>
        <w:pStyle w:val="Olang"/>
        <w:rPr>
          <w:sz w:val="24"/>
          <w:szCs w:val="24"/>
        </w:rPr>
      </w:pPr>
      <w:r w:rsidRPr="00D20917">
        <w:rPr>
          <w:sz w:val="24"/>
          <w:szCs w:val="24"/>
        </w:rPr>
        <w:t xml:space="preserve">Or. </w:t>
      </w:r>
      <w:r w:rsidRPr="00D20917">
        <w:rPr>
          <w:rStyle w:val="HideTWBExt"/>
        </w:rPr>
        <w:t>&lt;Original&gt;</w:t>
      </w:r>
      <w:r w:rsidRPr="00D20917">
        <w:rPr>
          <w:rStyle w:val="HideTWBInt"/>
          <w:sz w:val="24"/>
          <w:szCs w:val="24"/>
        </w:rPr>
        <w:t>{EN}</w:t>
      </w:r>
      <w:r w:rsidRPr="00D20917">
        <w:rPr>
          <w:sz w:val="24"/>
          <w:szCs w:val="24"/>
        </w:rPr>
        <w:t>en</w:t>
      </w:r>
      <w:r w:rsidRPr="00D20917">
        <w:rPr>
          <w:rStyle w:val="HideTWBExt"/>
        </w:rPr>
        <w:t>&lt;/Original&gt;</w:t>
      </w:r>
    </w:p>
    <w:p w:rsidR="00467F7B" w:rsidRPr="00D20917" w:rsidRDefault="00952B8E" w:rsidP="00467F7B">
      <w:r w:rsidRPr="00D20917">
        <w:rPr>
          <w:rStyle w:val="HideTWBExt"/>
        </w:rPr>
        <w:t>&lt;/Amend&gt;</w:t>
      </w:r>
    </w:p>
    <w:p w:rsidR="002669B6" w:rsidRPr="00D20917" w:rsidRDefault="00952B8E" w:rsidP="002669B6">
      <w:r w:rsidRPr="00D20917">
        <w:rPr>
          <w:rStyle w:val="HideTWBExt"/>
        </w:rPr>
        <w:t>&lt;/</w:t>
      </w:r>
      <w:r w:rsidRPr="00D20917">
        <w:rPr>
          <w:rStyle w:val="HideTWBExt"/>
        </w:rPr>
        <w:t>RepeatBlock-Amend&gt;</w:t>
      </w:r>
    </w:p>
    <w:p w:rsidR="002669B6" w:rsidRPr="00D20917" w:rsidRDefault="002669B6" w:rsidP="002669B6"/>
    <w:sectPr w:rsidR="002669B6" w:rsidRPr="00D20917" w:rsidSect="00D2091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D20917" w:rsidRDefault="00952B8E">
      <w:r w:rsidRPr="00D20917">
        <w:separator/>
      </w:r>
    </w:p>
  </w:endnote>
  <w:endnote w:type="continuationSeparator" w:id="0">
    <w:p w:rsidR="00000000" w:rsidRPr="00D20917" w:rsidRDefault="00952B8E">
      <w:r w:rsidRPr="00D2091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0917" w:rsidRPr="00D20917" w:rsidRDefault="00D20917" w:rsidP="00D20917">
    <w:pPr>
      <w:pStyle w:val="EPFooter"/>
    </w:pPr>
    <w:r w:rsidRPr="00D20917">
      <w:t>PE</w:t>
    </w:r>
    <w:r w:rsidRPr="00D20917">
      <w:rPr>
        <w:rStyle w:val="HideTWBExt"/>
      </w:rPr>
      <w:t>&lt;NoPE&gt;</w:t>
    </w:r>
    <w:r w:rsidRPr="00D20917">
      <w:t>752.913</w:t>
    </w:r>
    <w:r w:rsidRPr="00D20917">
      <w:rPr>
        <w:rStyle w:val="HideTWBExt"/>
      </w:rPr>
      <w:t>&lt;/NoPE&gt;&lt;Version&gt;</w:t>
    </w:r>
    <w:r w:rsidRPr="00D20917">
      <w:t>v01-00</w:t>
    </w:r>
    <w:r w:rsidRPr="00D20917">
      <w:rPr>
        <w:rStyle w:val="HideTWBExt"/>
      </w:rPr>
      <w:t>&lt;/Version&gt;</w:t>
    </w:r>
    <w:r w:rsidRPr="00D20917">
      <w:tab/>
    </w:r>
    <w:r w:rsidRPr="00D20917">
      <w:fldChar w:fldCharType="begin"/>
    </w:r>
    <w:r w:rsidRPr="00D20917">
      <w:instrText xml:space="preserve"> PAGE  \* MERGEFORMAT </w:instrText>
    </w:r>
    <w:r w:rsidRPr="00D20917">
      <w:fldChar w:fldCharType="separate"/>
    </w:r>
    <w:r w:rsidR="00952B8E">
      <w:rPr>
        <w:noProof/>
      </w:rPr>
      <w:t>2</w:t>
    </w:r>
    <w:r w:rsidRPr="00D20917">
      <w:fldChar w:fldCharType="end"/>
    </w:r>
    <w:r w:rsidRPr="00D20917">
      <w:t>/</w:t>
    </w:r>
    <w:fldSimple w:instr=" NUMPAGES  \* MERGEFORMAT ">
      <w:r w:rsidR="00952B8E">
        <w:rPr>
          <w:noProof/>
        </w:rPr>
        <w:t>20</w:t>
      </w:r>
    </w:fldSimple>
    <w:r w:rsidRPr="00D20917">
      <w:tab/>
    </w:r>
    <w:r w:rsidRPr="00D20917">
      <w:rPr>
        <w:rStyle w:val="HideTWBExt"/>
      </w:rPr>
      <w:t>&lt;PathFdR&gt;</w:t>
    </w:r>
    <w:r w:rsidRPr="00D20917">
      <w:t>PR\1285454SK.docx</w:t>
    </w:r>
    <w:r w:rsidRPr="00D20917">
      <w:rPr>
        <w:rStyle w:val="HideTWBExt"/>
      </w:rPr>
      <w:t>&lt;/PathFdR&gt;</w:t>
    </w:r>
  </w:p>
  <w:p w:rsidR="0048211B" w:rsidRPr="00D20917" w:rsidRDefault="00D20917" w:rsidP="00D20917">
    <w:pPr>
      <w:pStyle w:val="EPFooter2"/>
    </w:pPr>
    <w:r w:rsidRPr="00D20917">
      <w:t>SK</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0917" w:rsidRPr="00D20917" w:rsidRDefault="00D20917" w:rsidP="00D20917">
    <w:pPr>
      <w:pStyle w:val="EPFooter"/>
    </w:pPr>
    <w:r w:rsidRPr="00D20917">
      <w:rPr>
        <w:rStyle w:val="HideTWBExt"/>
      </w:rPr>
      <w:t>&lt;PathFdR&gt;</w:t>
    </w:r>
    <w:r w:rsidRPr="00D20917">
      <w:t>PR\1285454SK.docx</w:t>
    </w:r>
    <w:r w:rsidRPr="00D20917">
      <w:rPr>
        <w:rStyle w:val="HideTWBExt"/>
      </w:rPr>
      <w:t>&lt;/PathFdR&gt;</w:t>
    </w:r>
    <w:r w:rsidRPr="00D20917">
      <w:tab/>
    </w:r>
    <w:r w:rsidRPr="00D20917">
      <w:fldChar w:fldCharType="begin"/>
    </w:r>
    <w:r w:rsidRPr="00D20917">
      <w:instrText xml:space="preserve"> PAGE  \* MERGEFORMAT </w:instrText>
    </w:r>
    <w:r w:rsidRPr="00D20917">
      <w:fldChar w:fldCharType="separate"/>
    </w:r>
    <w:r w:rsidR="00952B8E">
      <w:rPr>
        <w:noProof/>
      </w:rPr>
      <w:t>19</w:t>
    </w:r>
    <w:r w:rsidRPr="00D20917">
      <w:fldChar w:fldCharType="end"/>
    </w:r>
    <w:r w:rsidRPr="00D20917">
      <w:t>/</w:t>
    </w:r>
    <w:fldSimple w:instr=" NUMPAGES  \* MERGEFORMAT ">
      <w:r w:rsidR="00952B8E">
        <w:rPr>
          <w:noProof/>
        </w:rPr>
        <w:t>20</w:t>
      </w:r>
    </w:fldSimple>
    <w:r w:rsidRPr="00D20917">
      <w:tab/>
      <w:t>PE</w:t>
    </w:r>
    <w:r w:rsidRPr="00D20917">
      <w:rPr>
        <w:rStyle w:val="HideTWBExt"/>
      </w:rPr>
      <w:t>&lt;NoPE&gt;</w:t>
    </w:r>
    <w:r w:rsidRPr="00D20917">
      <w:t>752.913</w:t>
    </w:r>
    <w:r w:rsidRPr="00D20917">
      <w:rPr>
        <w:rStyle w:val="HideTWBExt"/>
      </w:rPr>
      <w:t>&lt;/NoPE&gt;&lt;Version&gt;</w:t>
    </w:r>
    <w:r w:rsidRPr="00D20917">
      <w:t>v01-00</w:t>
    </w:r>
    <w:r w:rsidRPr="00D20917">
      <w:rPr>
        <w:rStyle w:val="HideTWBExt"/>
      </w:rPr>
      <w:t>&lt;/Version&gt;</w:t>
    </w:r>
  </w:p>
  <w:p w:rsidR="0048211B" w:rsidRPr="00D20917" w:rsidRDefault="00D20917" w:rsidP="00D20917">
    <w:pPr>
      <w:pStyle w:val="EPFooter2"/>
    </w:pPr>
    <w:r w:rsidRPr="00D20917">
      <w:tab/>
    </w:r>
    <w:r w:rsidRPr="00D20917">
      <w:tab/>
      <w:t>SK</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0917" w:rsidRPr="00D20917" w:rsidRDefault="00D20917" w:rsidP="00D20917">
    <w:pPr>
      <w:pStyle w:val="EPFooter"/>
    </w:pPr>
    <w:r w:rsidRPr="00D20917">
      <w:rPr>
        <w:rStyle w:val="HideTWBExt"/>
      </w:rPr>
      <w:t>&lt;PathFdR&gt;</w:t>
    </w:r>
    <w:r w:rsidRPr="00D20917">
      <w:t>PR\1285454SK.docx</w:t>
    </w:r>
    <w:r w:rsidRPr="00D20917">
      <w:rPr>
        <w:rStyle w:val="HideTWBExt"/>
      </w:rPr>
      <w:t>&lt;/PathFdR&gt;</w:t>
    </w:r>
    <w:r w:rsidRPr="00D20917">
      <w:tab/>
    </w:r>
    <w:r w:rsidRPr="00D20917">
      <w:tab/>
      <w:t>PE</w:t>
    </w:r>
    <w:r w:rsidRPr="00D20917">
      <w:rPr>
        <w:rStyle w:val="HideTWBExt"/>
      </w:rPr>
      <w:t>&lt;NoPE&gt;</w:t>
    </w:r>
    <w:r w:rsidRPr="00D20917">
      <w:t>752.913</w:t>
    </w:r>
    <w:r w:rsidRPr="00D20917">
      <w:rPr>
        <w:rStyle w:val="HideTWBExt"/>
      </w:rPr>
      <w:t>&lt;/NoPE&gt;&lt;Version&gt;</w:t>
    </w:r>
    <w:r w:rsidRPr="00D20917">
      <w:t>v01-00</w:t>
    </w:r>
    <w:r w:rsidRPr="00D20917">
      <w:rPr>
        <w:rStyle w:val="HideTWBExt"/>
      </w:rPr>
      <w:t>&lt;/Version&gt;</w:t>
    </w:r>
  </w:p>
  <w:p w:rsidR="0048211B" w:rsidRPr="00D20917" w:rsidRDefault="00D20917" w:rsidP="00D20917">
    <w:pPr>
      <w:pStyle w:val="EPFooter2"/>
    </w:pPr>
    <w:r w:rsidRPr="00D20917">
      <w:t>SK</w:t>
    </w:r>
    <w:r w:rsidRPr="00D20917">
      <w:tab/>
    </w:r>
    <w:r w:rsidRPr="00D20917">
      <w:rPr>
        <w:b w:val="0"/>
        <w:i/>
        <w:color w:val="C0C0C0"/>
        <w:sz w:val="22"/>
      </w:rPr>
      <w:t>Zjednotení v rozmanitosti</w:t>
    </w:r>
    <w:r w:rsidRPr="00D20917">
      <w:tab/>
      <w:t>SK</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211B" w:rsidRPr="00D20917" w:rsidRDefault="00952B8E">
      <w:r w:rsidRPr="00D20917">
        <w:separator/>
      </w:r>
    </w:p>
  </w:footnote>
  <w:footnote w:type="continuationSeparator" w:id="0">
    <w:p w:rsidR="0048211B" w:rsidRPr="00D20917" w:rsidRDefault="00952B8E">
      <w:r w:rsidRPr="00D20917">
        <w:continuationSeparator/>
      </w:r>
    </w:p>
  </w:footnote>
  <w:footnote w:id="1">
    <w:p w:rsidR="0048211B" w:rsidRPr="00D20917" w:rsidRDefault="00952B8E">
      <w:pPr>
        <w:pStyle w:val="FootnoteText"/>
        <w:rPr>
          <w:sz w:val="24"/>
          <w:szCs w:val="24"/>
        </w:rPr>
      </w:pPr>
      <w:r w:rsidRPr="00D20917">
        <w:rPr>
          <w:rStyle w:val="FootnoteReference"/>
          <w:sz w:val="24"/>
          <w:szCs w:val="24"/>
        </w:rPr>
        <w:footnoteRef/>
      </w:r>
      <w:r w:rsidRPr="00D20917">
        <w:tab/>
        <w:t>Ú. v. EÚ C 307, 31.8.2023, s. 19.</w:t>
      </w:r>
    </w:p>
  </w:footnote>
  <w:footnote w:id="2">
    <w:p w:rsidR="0048211B" w:rsidRPr="00D20917" w:rsidRDefault="00952B8E">
      <w:pPr>
        <w:pStyle w:val="FootnoteText"/>
      </w:pPr>
      <w:r w:rsidRPr="00D20917">
        <w:rPr>
          <w:rStyle w:val="FootnoteReference"/>
          <w:sz w:val="24"/>
          <w:szCs w:val="24"/>
        </w:rPr>
        <w:footnoteRef/>
      </w:r>
      <w:r w:rsidRPr="00D20917">
        <w:tab/>
        <w:t>Zatiaľ neuverejnené v úradnom vestníku.</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2B8E" w:rsidRDefault="00952B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2B8E" w:rsidRDefault="00952B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2B8E" w:rsidRDefault="00952B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CJMNU" w:val="1"/>
    <w:docVar w:name="COMKEY" w:val="ECON"/>
    <w:docVar w:name="CopyToNetwork" w:val="-1"/>
    <w:docVar w:name="CVar" w:val="2"/>
    <w:docVar w:name="DOCMNU" w:val=" 2"/>
    <w:docVar w:name="EPOJMNU" w:val=" 3"/>
    <w:docVar w:name="EPSTATMNU" w:val=" 1"/>
    <w:docVar w:name="EPSTATPLURMNU" w:val=" 1"/>
    <w:docVar w:name="iNoAmend" w:val="2"/>
    <w:docVar w:name="INSTITUTIONSMNU" w:val=" 1"/>
    <w:docVar w:name="JURI1MNU" w:val=" 2"/>
    <w:docVar w:name="JURI2MNU" w:val=" 2"/>
    <w:docVar w:name="LastEditedSection" w:val=" 1"/>
    <w:docVar w:name="ORLANGKEY" w:val="EN"/>
    <w:docVar w:name="ORLANGMNU"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1\fbidi \froman\fcharset238\fprq2 Times New Roman CE;}{\f302\fbidi \froman\fcharset204\fprq2 Times New Roman Cyr;}_x000d__x000a_{\f304\fbidi \froman\fcharset161\fprq2 Times New Roman Greek;}{\f305\fbidi \froman\fcharset162\fprq2 Times New Roman Tur;}{\f306\fbidi \froman\fcharset177\fprq2 Times New Roman (Hebrew);}{\f307\fbidi \froman\fcharset178\fprq2 Times New Roman (Arabic);}_x000d__x000a_{\f308\fbidi \froman\fcharset186\fprq2 Times New Roman Baltic;}{\f309\fbidi \froman\fcharset163\fprq2 Times New Roman (Vietnamese);}{\f311\fbidi \fswiss\fcharset238\fprq2 Arial CE;}{\f312\fbidi \fswiss\fcharset204\fprq2 Arial Cyr;}_x000d__x000a_{\f314\fbidi \fswiss\fcharset161\fprq2 Arial Greek;}{\f315\fbidi \fswiss\fcharset162\fprq2 Arial Tur;}{\f316\fbidi \fswiss\fcharset177\fprq2 Arial (Hebrew);}{\f317\fbidi \fswiss\fcharset178\fprq2 Arial (Arabic);}_x000d__x000a_{\f318\fbidi \fswiss\fcharset186\fprq2 Arial Baltic;}{\f319\fbidi \fswiss\fcharset163\fprq2 Arial (Vietnamese);}{\f641\fbidi \froman\fcharset238\fprq2 Cambria Math CE;}{\f642\fbidi \froman\fcharset204\fprq2 Cambria Math Cyr;}_x000d__x000a_{\f644\fbidi \froman\fcharset161\fprq2 Cambria Math Greek;}{\f645\fbidi \froman\fcharset162\fprq2 Cambria Math Tur;}{\f648\fbidi \froman\fcharset186\fprq2 Cambria Math Baltic;}{\f64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658872 HideTWBExt;}{\*\cs18 \additive \v\f1\fs20\cf15 _x000d__x000a_\spriority0 \styrsid16658872 HideTWBInt;}{\s19\ql \li0\ri0\sa120\nowidctlpar\wrapdefault\aspalpha\aspnum\faauto\adjustright\rin0\lin0\itap0 \rtlch\fcs1 \af0\afs20\alang1025 \ltrch\fcs0 \fs24\lang2057\langfe2057\cgrid\langnp2057\langfenp2057 _x000d__x000a_\sbasedon0 \snext19 \spriority0 \styrsid16658872 Normal6a;}{\s20\ql \li0\ri0\nowidctlpar\wrapdefault\aspalpha\aspnum\faauto\adjustright\rin0\lin0\itap0 \rtlch\fcs1 \af0\afs20\alang1025 \ltrch\fcs0 \b\fs24\lang2057\langfe2057\cgrid\langnp2057\langfenp2057 _x000d__x000a_\sbasedon0 \snext20 \spriority0 \styrsid16658872 NormalBold;}{\s21\ql \li0\ri0\sa240\nowidctlpar\wrapdefault\aspalpha\aspnum\faauto\adjustright\rin0\lin0\itap0 \rtlch\fcs1 \af0\afs20\alang1025 \ltrch\fcs0 _x000d__x000a_\i\fs24\lang2057\langfe2057\cgrid\langnp2057\langfenp2057 \sbasedon0 \snext21 \spriority0 \styrsid16658872 AmJustText;}{\s22\qc \li0\ri0\sb240\sa240\nowidctlpar\wrapdefault\aspalpha\aspnum\faauto\adjustright\rin0\lin0\itap0 \rtlch\fcs1 _x000d__x000a_\af0\afs20\alang1025 \ltrch\fcs0 \i\fs24\lang2057\langfe2057\cgrid\langnp2057\langfenp2057 \sbasedon0 \snext22 \spriority0 \styrsid16658872 AmCrossRef;}{_x000d__x000a_\s23\qc \li0\ri0\sb240\sa240\keepn\nowidctlpar\wrapdefault\aspalpha\aspnum\faauto\adjustright\rin0\lin0\itap0 \rtlch\fcs1 \af0\afs20\alang1025 \ltrch\fcs0 \i\fs24\lang2057\langfe2057\cgrid\langnp2057\langfenp2057 _x000d__x000a_\sbasedon0 \snext21 \spriority0 \styrsid16658872 AmJustTitle;}{\s24\qr \li0\ri0\sb240\sa240\nowidctlpar\wrapdefault\aspalpha\aspnum\faauto\adjustright\rin0\lin0\itap0 \rtlch\fcs1 \af0\afs20\alang1025 \ltrch\fcs0 _x000d__x000a_\fs24\lang2057\langfe2057\cgrid\langnp2057\langfenp2057 \sbasedon0 \snext24 \spriority0 \styrsid16658872 AmOrLang;}{\s25\qc \li0\ri0\sa240\nowidctlpar\wrapdefault\aspalpha\aspnum\faauto\adjustright\rin0\lin0\itap0 \rtlch\fcs1 \af0\afs20\alang1025 _x000d__x000a_\ltrch\fcs0 \i\fs24\lang2057\langfe2057\cgrid\langnp2057\langfenp2057 \sbasedon0 \snext25 \spriority0 \styrsid1665887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6658872 AmNumberTabs;}{\s27\ql \li0\ri0\sb240\nowidctlpar\wrapdefault\aspalpha\aspnum\faauto\adjustright\rin0\lin0\itap0 \rtlch\fcs1 _x000d__x000a_\af0\afs20\alang1025 \ltrch\fcs0 \b\fs24\lang2057\langfe2057\cgrid\langnp2057\langfenp2057 \sbasedon0 \snext27 \spriority0 \styrsid16658872 NormalBold12b;}}{\*\rsidtbl \rsid24658\rsid223860\rsid735077\rsid1718133\rsid2892074\rsid3565327\rsid4666813_x000d__x000a_\rsid6641733\rsid7602181\rsid7823322\rsid9636012\rsid10377208\rsid11215221\rsid11549030\rsid12154954\rsid14382809\rsid14424199\rsid15204470\rsid15285974\rsid15950462\rsid16324206\rsid16658872\rsid16662270}{\mmathPr\mmathFont34\mbrkBin0\mbrkBinSub0_x000d__x000a_\msmallFrac0\mdispDef1\mlMargin0\mrMargin0\mdefJc1\mwrapIndent1440\mintLim0\mnaryLim1}{\info{\author TURLUI Emil-Gabriel}{\operator TURLUI Emil-Gabriel}{\creatim\yr2023\mo9\dy8\hr15\min57}{\revtim\yr2023\mo9\dy8\hr15\min57}{\version1}{\edmins0}_x000d__x000a_{\nofpages1}{\nofwords104}{\nofchars596}{\nofcharsws69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658872\newtblstyruls\nogrowautofit\usenormstyforlist\noindnmbrts\felnbrelev\nocxsptable\indrlsweleven\noafcnsttbl\afelev\utinl\hwelev\spltpgpar\notcvasp\notbrkcnstfrctbl\notvatxbx\krnprsnet\cachedcolbal _x000d__x000a_\nouicompat \fet0{\*\wgrffmtfilter 013f}\nofeaturethrottle1\ilfomacatclnup0{\*\template C:\\Users\\gturlui\\AppData\\Local\\Temp\\Blank1.dotx}{\*\ftnsep \ltrpar \pard\plain \ltrpar_x000d__x000a_\ql \li0\ri0\widctlpar\wrapdefault\aspalpha\aspnum\faauto\adjustright\rin0\lin0\itap0 \rtlch\fcs1 \af0\afs20\alang1025 \ltrch\fcs0 \fs24\lang2057\langfe2057\cgrid\langnp2057\langfenp2057 {\rtlch\fcs1 \af0 \ltrch\fcs0 \insrsid7602181 \chftnsep _x000d__x000a_\par }}{\*\ftnsepc \ltrpar \pard\plain \ltrpar\ql \li0\ri0\widctlpar\wrapdefault\aspalpha\aspnum\faauto\adjustright\rin0\lin0\itap0 \rtlch\fcs1 \af0\afs20\alang1025 \ltrch\fcs0 \fs24\lang2057\langfe2057\cgrid\langnp2057\langfenp2057 {\rtlch\fcs1 \af0 _x000d__x000a_\ltrch\fcs0 \insrsid7602181 \chftnsepc _x000d__x000a_\par }}{\*\aftnsep \ltrpar \pard\plain \ltrpar\ql \li0\ri0\widctlpar\wrapdefault\aspalpha\aspnum\faauto\adjustright\rin0\lin0\itap0 \rtlch\fcs1 \af0\afs20\alang1025 \ltrch\fcs0 \fs24\lang2057\langfe2057\cgrid\langnp2057\langfenp2057 {\rtlch\fcs1 \af0 _x000d__x000a_\ltrch\fcs0 \insrsid7602181 \chftnsep _x000d__x000a_\par }}{\*\aftnsepc \ltrpar \pard\plain \ltrpar\ql \li0\ri0\widctlpar\wrapdefault\aspalpha\aspnum\faauto\adjustright\rin0\lin0\itap0 \rtlch\fcs1 \af0\afs20\alang1025 \ltrch\fcs0 \fs24\lang2057\langfe2057\cgrid\langnp2057\langfenp2057 {\rtlch\fcs1 \af0 _x000d__x000a_\ltrch\fcs0 \insrsid760218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6658872 \rtlch\fcs1 _x000d__x000a_\af0\afs20\alang1025 \ltrch\fcs0 \b\fs24\lang2057\langfe2057\cgrid\langnp2057\langfenp2057 {\rtlch\fcs1 \af0 \ltrch\fcs0 \cs17\b0\v\fs20\cf9\lang1024\langfe1024\loch\af1\hich\af1\dbch\af31501\noproof\insrsid16658872\charrsid6768093 {\*\bkmkstart restart}_x000d__x000a_\hich\af1\dbch\af31501\loch\f1 &lt;Amend&gt;}{\rtlch\fcs1 \af0 \ltrch\fcs0 \insrsid16658872\charrsid6768093 Amendment\tab \tab }{\rtlch\fcs1 \af0 \ltrch\fcs0 _x000d__x000a_\cs17\b0\v\fs20\cf9\lang1024\langfe1024\loch\af1\hich\af1\dbch\af31501\noproof\insrsid16658872\charrsid6768093 \hich\af1\dbch\af31501\loch\f1 &lt;NumAm&gt;}{\rtlch\fcs1 \af0 \ltrch\fcs0 \insrsid16658872\charrsid6768093 #}{\rtlch\fcs1 \af1 \ltrch\fcs0 _x000d__x000a_\cs18\v\f1\fs20\cf15\insrsid16658872\charrsid6768093 ENMIENDA@NRAM@}{\rtlch\fcs1 \af0 \ltrch\fcs0 \insrsid16658872\charrsid6768093 #}{\rtlch\fcs1 \af0 \ltrch\fcs0 _x000d__x000a_\cs17\b0\v\fs20\cf9\lang1024\langfe1024\loch\af1\hich\af1\dbch\af31501\noproof\insrsid16658872\charrsid6768093 \hich\af1\dbch\af31501\loch\f1 &lt;/NumAm&gt;}{\rtlch\fcs1 \af0 \ltrch\fcs0 \insrsid16658872\charrsid6768093 _x000d__x000a_\par }\pard\plain \ltrpar\s27\ql \li0\ri0\sb240\keepn\nowidctlpar\wrapdefault\aspalpha\aspnum\faauto\adjustright\rin0\lin0\itap0\pararsid16658872 \rtlch\fcs1 \af0\afs20\alang1025 \ltrch\fcs0 \b\fs24\lang2057\langfe2057\cgrid\langnp2057\langfenp2057 {_x000d__x000a_\rtlch\fcs1 \af0 \ltrch\fcs0 \cs17\b0\v\fs20\cf9\lang1024\langfe1024\loch\af1\hich\af1\dbch\af31501\noproof\insrsid16658872\charrsid6768093 \hich\af1\dbch\af31501\loch\f1 &lt;DocAmend&gt;}{\rtlch\fcs1 \af0 \ltrch\fcs0 \insrsid16658872\charrsid6768093 _x000d__x000a_Proposal for a #}{\rtlch\fcs1 \af1 \ltrch\fcs0 \cs18\v\f1\fs20\cf15\insrsid16658872\charrsid6768093 MNU[DOC1][DOC2][DOC3]@DOCMSG@DOCMNU}{\rtlch\fcs1 \af0 \ltrch\fcs0 \insrsid16658872\charrsid6768093 ##}{\rtlch\fcs1 \af1 \ltrch\fcs0 _x000d__x000a_\cs18\v\f1\fs20\cf15\insrsid16658872\charrsid6768093 MNU[AMACTYES][NOTAPP]@CHOICE@AMACTMNU}{\rtlch\fcs1 \af0 \ltrch\fcs0 \insrsid16658872\charrsid6768093 #}{\rtlch\fcs1 \af0 \ltrch\fcs0 _x000d__x000a_\cs17\b0\v\fs20\cf9\lang1024\langfe1024\loch\af1\hich\af1\dbch\af31501\noproof\insrsid16658872\charrsid6768093 \hich\af1\dbch\af31501\loch\f1 &lt;/DocAmend&gt;}{\rtlch\fcs1 \af0 \ltrch\fcs0 \insrsid16658872\charrsid6768093 _x000d__x000a_\par }\pard\plain \ltrpar\s20\ql \li0\ri0\keepn\nowidctlpar\wrapdefault\aspalpha\aspnum\faauto\adjustright\rin0\lin0\itap0\pararsid16658872 \rtlch\fcs1 \af0\afs20\alang1025 \ltrch\fcs0 \b\fs24\lang2057\langfe2057\cgrid\langnp2057\langfenp2057 {\rtlch\fcs1 _x000d__x000a_\af0 \ltrch\fcs0 \cs17\b0\v\fs20\cf9\lang1024\langfe1024\loch\af1\hich\af1\dbch\af31501\noproof\insrsid16658872\charrsid6768093 \hich\af1\dbch\af31501\loch\f1 &lt;Article&gt;}{\rtlch\fcs1 \af0 \ltrch\fcs0 \insrsid16658872\charrsid6768093 #}{\rtlch\fcs1 \af1 _x000d__x000a_\ltrch\fcs0 \cs18\v\f1\fs20\cf15\insrsid16658872\charrsid6768093 MNU[AMACTPARTYES][AMACTPARTNO]@CHOICE@AMACTMNU}{\rtlch\fcs1 \af0 \ltrch\fcs0 \insrsid16658872\charrsid6768093 #}{\rtlch\fcs1 \af0 \ltrch\fcs0 _x000d__x000a_\cs17\b0\v\fs20\cf9\lang1024\langfe1024\loch\af1\hich\af1\dbch\af31501\noproof\insrsid16658872\charrsid6768093 \hich\af1\dbch\af31501\loch\f1 &lt;/Article&gt;}{\rtlch\fcs1 \af0 \ltrch\fcs0 \insrsid16658872\charrsid6768093 _x000d__x000a_\par }\pard\plain \ltrpar\ql \li0\ri0\keepn\widctlpar\wrapdefault\aspalpha\aspnum\faauto\adjustright\rin0\lin0\itap0\pararsid16658872 \rtlch\fcs1 \af0\afs20\alang1025 \ltrch\fcs0 \fs24\lang2057\langfe2057\cgrid\langnp2057\langfenp2057 {\rtlch\fcs1 \af0 _x000d__x000a_\ltrch\fcs0 \cs17\v\fs20\cf9\lang1024\langfe1024\loch\af1\hich\af1\dbch\af31501\noproof\insrsid16658872\charrsid6768093 \hich\af1\dbch\af31501\loch\f1 &lt;DocAmend2&gt;&lt;OptDel&gt;}{\rtlch\fcs1 \af0 \ltrch\fcs0 \insrsid16658872\charrsid6768093 #}{\rtlch\fcs1 \af1 _x000d__x000a_\ltrch\fcs0 \cs18\v\f1\fs20\cf15\insrsid16658872\charrsid6768093 MNU[OPTNRACTYES][NOTAPP]@CHOICE@AMACTMNU}{\rtlch\fcs1 \af0 \ltrch\fcs0 \insrsid16658872\charrsid6768093 #}{\rtlch\fcs1 \af0 \ltrch\fcs0 _x000d__x000a_\cs17\v\fs20\cf9\lang1024\langfe1024\loch\af1\hich\af1\dbch\af31501\noproof\insrsid16658872\charrsid6768093 \hich\af1\dbch\af31501\loch\f1 &lt;/OptDel&gt;&lt;/DocAmend2&gt;}{\rtlch\fcs1 \af0 \ltrch\fcs0 \insrsid16658872\charrsid6768093 _x000d__x000a_\par }\pard \ltrpar\ql \li0\ri0\widctlpar\wrapdefault\aspalpha\aspnum\faauto\adjustright\rin0\lin0\itap0\pararsid16658872 {\rtlch\fcs1 \af0 \ltrch\fcs0 \cs17\v\fs20\cf9\lang1024\langfe1024\loch\af1\hich\af1\dbch\af31501\noproof\insrsid16658872\charrsid6768093 _x000d__x000a_\hich\af1\dbch\af31501\loch\f1 &lt;Article2&gt;&lt;OptDel&gt;}{\rtlch\fcs1 \af0 \ltrch\fcs0 \insrsid16658872\charrsid6768093 #}{\rtlch\fcs1 \af1 \ltrch\fcs0 \cs18\v\f1\fs20\cf15\insrsid16658872\charrsid6768093 MNU[OPTACTPARTYES][NOTAPP]@CHOICE@AMACTMNU}{\rtlch\fcs1 _x000d__x000a_\af0 \ltrch\fcs0 \insrsid16658872\charrsid6768093 #}{\rtlch\fcs1 \af0 \ltrch\fcs0 \cs17\v\fs20\cf9\lang1024\langfe1024\loch\af1\hich\af1\dbch\af31501\noproof\insrsid16658872\charrsid6768093 \hich\af1\dbch\af31501\loch\f1 &lt;/OptDel&gt;&lt;/Article2&gt;}{\rtlch\fcs1 _x000d__x000a_\af0 \ltrch\fcs0 \insrsid16658872\charrsid6768093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16658872\charrsid6768093 \cell }\pard\plain \ltrpar\ql \li0\ri0\widctlpar\intbl\wrapdefault\aspalpha\aspnum\faauto\adjustright\rin0\lin0 \rtlch\fcs1 _x000d__x000a_\af0\afs20\alang1025 \ltrch\fcs0 \fs24\lang2057\langfe2057\cgrid\langnp2057\langfenp2057 {\rtlch\fcs1 \af0 \ltrch\fcs0 \insrsid16658872\charrsid6768093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16658872\charrsid6768093 #}{\rtlch\fcs1 \af1 \ltrch\fcs0 \cs18\v\f1\fs20\cf15\insrsid16658872\charrsid6768093 MNU[OPTLEFTAMACT][LEFTPROP]@CHOICE@AMACTMNU}{\rtlch\fcs1 \af0 \ltrch\fcs0 \insrsid16658872\charrsid6768093 #\cell Amendment\cell _x000d__x000a_}\pard\plain \ltrpar\ql \li0\ri0\widctlpar\intbl\wrapdefault\aspalpha\aspnum\faauto\adjustright\rin0\lin0 \rtlch\fcs1 \af0\afs20\alang1025 \ltrch\fcs0 \fs24\lang2057\langfe2057\cgrid\langnp2057\langfenp2057 {\rtlch\fcs1 \af0 \ltrch\fcs0 _x000d__x000a_\insrsid16658872\charrsid6768093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16658872\charrsid6768093 ##\cell ##}{\rtlch\fcs1 \af0\afs24 \ltrch\fcs0 \insrsid16658872\charrsid6768093 \cell }\pard\plain \ltrpar\ql \li0\ri0\widctlpar\intbl\wrapdefault\aspalpha\aspnum\faauto\adjustright\rin0\lin0 \rtlch\fcs1 _x000d__x000a_\af0\afs20\alang1025 \ltrch\fcs0 \fs24\lang2057\langfe2057\cgrid\langnp2057\langfenp2057 {\rtlch\fcs1 \af0 \ltrch\fcs0 \insrsid16658872\charrsid6768093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658872 \rtlch\fcs1 \af0\afs20\alang1025 \ltrch\fcs0 \fs24\lang2057\langfe2057\cgrid\langnp2057\langfenp2057 {\rtlch\fcs1 \af0 \ltrch\fcs0 _x000d__x000a_\insrsid16658872\charrsid6768093 Or. }{\rtlch\fcs1 \af0 \ltrch\fcs0 \cs17\v\fs20\cf9\lang1024\langfe1024\loch\af1\hich\af1\dbch\af31501\noproof\insrsid16658872\charrsid6768093 \hich\af1\dbch\af31501\loch\f1 &lt;Original&gt;}{\rtlch\fcs1 \af0 \ltrch\fcs0 _x000d__x000a_\insrsid16658872\charrsid6768093 #}{\rtlch\fcs1 \af1 \ltrch\fcs0 \cs18\v\f1\fs20\cf15\insrsid16658872\charrsid6768093 MNU[ORLANGONE][ORLANGMORE]@CHOICE@ORLANGMNU}{\rtlch\fcs1 \af0 \ltrch\fcs0 \insrsid16658872\charrsid6768093 #}{\rtlch\fcs1 \af0 _x000d__x000a_\ltrch\fcs0 \cs17\v\fs20\cf9\lang1024\langfe1024\loch\af1\hich\af1\dbch\af31501\noproof\insrsid16658872\charrsid6768093 \hich\af1\dbch\af31501\loch\f1 &lt;/Original&gt;}{\rtlch\fcs1 \af0 \ltrch\fcs0 \insrsid16658872\charrsid6768093 _x000d__x000a_\par }\pard\plain \ltrpar\s22\qc \li0\ri0\sb240\sa240\nowidctlpar\wrapdefault\aspalpha\aspnum\faauto\adjustright\rin0\lin0\itap0\pararsid16658872 \rtlch\fcs1 \af0\afs20\alang1025 \ltrch\fcs0 \i\fs24\lang2057\langfe2057\cgrid\langnp2057\langfenp2057 {_x000d__x000a_\rtlch\fcs1 \af0 \ltrch\fcs0 \cs17\i0\v\fs20\cf9\lang1024\langfe1024\loch\af1\hich\af1\dbch\af31501\noproof\insrsid16658872\charrsid6768093 \hich\af1\dbch\af31501\loch\f1 &lt;OptDel&gt;}{\rtlch\fcs1 \af0 \ltrch\fcs0 \insrsid16658872\charrsid6768093 #}{_x000d__x000a_\rtlch\fcs1 \af1 \ltrch\fcs0 \cs18\v\f1\fs20\cf15\insrsid16658872\charrsid6768093 MNU[CROSSREFNO][CROSSREFYES]@CHOICE@}{\rtlch\fcs1 \af0 \ltrch\fcs0 \insrsid16658872\charrsid6768093 #}{\rtlch\fcs1 \af0 \ltrch\fcs0 _x000d__x000a_\cs17\i0\v\fs20\cf9\lang1024\langfe1024\loch\af1\hich\af1\dbch\af31501\noproof\insrsid16658872\charrsid6768093 \hich\af1\dbch\af31501\loch\f1 &lt;/OptDel&gt;}{\rtlch\fcs1 \af0 \ltrch\fcs0 \insrsid16658872\charrsid6768093 _x000d__x000a_\par }\pard\plain \ltrpar\s23\qc \li0\ri0\sb240\sa240\keepn\nowidctlpar\wrapdefault\aspalpha\aspnum\faauto\adjustright\rin0\lin0\itap0\pararsid16658872 \rtlch\fcs1 \af0\afs20\alang1025 \ltrch\fcs0 \i\fs24\lang2057\langfe2057\cgrid\langnp2057\langfenp2057 {_x000d__x000a_\rtlch\fcs1 \af0 \ltrch\fcs0 \cs17\i0\v\fs20\cf9\lang1024\langfe1024\loch\af1\hich\af1\dbch\af31501\noproof\insrsid16658872\charrsid6768093 \hich\af1\dbch\af31501\loch\f1 &lt;TitreJust&gt;}{\rtlch\fcs1 \af0 \ltrch\fcs0 \insrsid16658872\charrsid6768093 _x000d__x000a_Justification}{\rtlch\fcs1 \af0 \ltrch\fcs0 \cs17\i0\v\fs20\cf9\lang1024\langfe1024\loch\af1\hich\af1\dbch\af31501\noproof\insrsid16658872\charrsid6768093 \hich\af1\dbch\af31501\loch\f1 &lt;/TitreJust&gt;}{\rtlch\fcs1 \af0 \ltrch\fcs0 _x000d__x000a_\insrsid16658872\charrsid6768093 _x000d__x000a_\par }\pard\plain \ltrpar\s21\ql \li0\ri0\sa240\nowidctlpar\wrapdefault\aspalpha\aspnum\faauto\adjustright\rin0\lin0\itap0\pararsid16658872 \rtlch\fcs1 \af0\afs20\alang1025 \ltrch\fcs0 \i\fs24\lang2057\langfe2057\cgrid\langnp2057\langfenp2057 {\rtlch\fcs1 _x000d__x000a_\af0 \ltrch\fcs0 \cs17\i0\v\fs20\cf9\lang1024\langfe1024\loch\af1\hich\af1\dbch\af31501\noproof\insrsid16658872\charrsid6768093 \hich\af1\dbch\af31501\loch\f1 &lt;OptDelPrev&gt;}{\rtlch\fcs1 \af0 \ltrch\fcs0 \insrsid16658872\charrsid6768093 #}{\rtlch\fcs1 \af1 _x000d__x000a_\ltrch\fcs0 \cs18\v\f1\fs20\cf15\insrsid16658872\charrsid6768093 MNU[TEXTJUSTYES][TEXTJUSTNO]@CHOICE@}{\rtlch\fcs1 \af0 \ltrch\fcs0 \insrsid16658872\charrsid6768093 #}{\rtlch\fcs1 \af0 \ltrch\fcs0 _x000d__x000a_\cs17\i0\v\fs20\cf9\lang1024\langfe1024\loch\af1\hich\af1\dbch\af31501\noproof\insrsid16658872\charrsid6768093 \hich\af1\dbch\af31501\loch\f1 &lt;/OptDelPrev&gt;}{\rtlch\fcs1 \af0 \ltrch\fcs0 \insrsid16658872\charrsid6768093 _x000d__x000a_\par }\pard\plain \ltrpar\ql \li0\ri0\widctlpar\wrapdefault\aspalpha\aspnum\faauto\adjustright\rin0\lin0\itap0\pararsid16658872 \rtlch\fcs1 \af0\afs20\alang1025 \ltrch\fcs0 \fs24\lang2057\langfe2057\cgrid\langnp2057\langfenp2057 {\rtlch\fcs1 \af0 \ltrch\fcs0 _x000d__x000a_\cs17\v\fs20\cf9\lang1024\langfe1024\loch\af1\hich\af1\dbch\af31501\noproof\insrsid16658872\charrsid6768093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a2_x000d__x000a_bc655ce2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85"/>
    <w:docVar w:name="TVTAMPART" w:val="Recital 1"/>
    <w:docVar w:name="TXTAUTHOR" w:val="Jonás Fernández"/>
    <w:docVar w:name="TXTLANGUE" w:val="EN"/>
    <w:docVar w:name="TXTLANGUEMIN" w:val="en"/>
    <w:docVar w:name="TXTNRC" w:val="0134/2023"/>
    <w:docVar w:name="TXTNRCOD" w:val="2023/0113"/>
    <w:docVar w:name="TXTNRCOM" w:val="(2023)0229"/>
    <w:docVar w:name="TXTNRFIRSTAM" w:val="1"/>
    <w:docVar w:name="TXTNRLASTAM" w:val="2"/>
    <w:docVar w:name="TXTNRPE" w:val="752.913"/>
    <w:docVar w:name="TXTPEorAP" w:val="PE"/>
    <w:docVar w:name="TXTROUTE" w:val="PR\1285454EN.docx"/>
    <w:docVar w:name="TXTTITLE" w:val="amending Directive 2014/59/EU and Regulation (EU) No 806/2014 as regards certain aspects of the minimum requirement for own funds and eligible liabilities"/>
    <w:docVar w:name="TXTVERSION" w:val="01-00"/>
  </w:docVars>
  <w:rsids>
    <w:rsidRoot w:val="006745DD"/>
    <w:rsid w:val="00011AAB"/>
    <w:rsid w:val="00012351"/>
    <w:rsid w:val="000139E5"/>
    <w:rsid w:val="00084DD2"/>
    <w:rsid w:val="00084E89"/>
    <w:rsid w:val="000A7B09"/>
    <w:rsid w:val="000B7489"/>
    <w:rsid w:val="000F1096"/>
    <w:rsid w:val="00120948"/>
    <w:rsid w:val="00123DD5"/>
    <w:rsid w:val="001277AE"/>
    <w:rsid w:val="00142215"/>
    <w:rsid w:val="001767E2"/>
    <w:rsid w:val="00187008"/>
    <w:rsid w:val="001B3829"/>
    <w:rsid w:val="001C01EE"/>
    <w:rsid w:val="001C5592"/>
    <w:rsid w:val="001C5B44"/>
    <w:rsid w:val="001C63AC"/>
    <w:rsid w:val="001C6FFC"/>
    <w:rsid w:val="001D3093"/>
    <w:rsid w:val="001F7C7C"/>
    <w:rsid w:val="00212B84"/>
    <w:rsid w:val="002346B0"/>
    <w:rsid w:val="002667C3"/>
    <w:rsid w:val="002669B6"/>
    <w:rsid w:val="00290BED"/>
    <w:rsid w:val="002D13EE"/>
    <w:rsid w:val="002E33EE"/>
    <w:rsid w:val="002F40BB"/>
    <w:rsid w:val="002F4B02"/>
    <w:rsid w:val="00323EF8"/>
    <w:rsid w:val="00325A50"/>
    <w:rsid w:val="003316DD"/>
    <w:rsid w:val="00366A46"/>
    <w:rsid w:val="00370AC3"/>
    <w:rsid w:val="003824EE"/>
    <w:rsid w:val="003B4689"/>
    <w:rsid w:val="003C2068"/>
    <w:rsid w:val="003C37CF"/>
    <w:rsid w:val="004100B1"/>
    <w:rsid w:val="00426E47"/>
    <w:rsid w:val="00455743"/>
    <w:rsid w:val="00461601"/>
    <w:rsid w:val="0046639E"/>
    <w:rsid w:val="00467F7B"/>
    <w:rsid w:val="0048211B"/>
    <w:rsid w:val="004C0915"/>
    <w:rsid w:val="004D424E"/>
    <w:rsid w:val="004E42C8"/>
    <w:rsid w:val="004E733D"/>
    <w:rsid w:val="004F3FA5"/>
    <w:rsid w:val="0051271F"/>
    <w:rsid w:val="00521F46"/>
    <w:rsid w:val="00551111"/>
    <w:rsid w:val="00551123"/>
    <w:rsid w:val="00557C21"/>
    <w:rsid w:val="00570A6A"/>
    <w:rsid w:val="00586E50"/>
    <w:rsid w:val="0059583D"/>
    <w:rsid w:val="005A42D9"/>
    <w:rsid w:val="005C2BEF"/>
    <w:rsid w:val="005D1A99"/>
    <w:rsid w:val="005D7609"/>
    <w:rsid w:val="005D7EE8"/>
    <w:rsid w:val="00620AA8"/>
    <w:rsid w:val="00642325"/>
    <w:rsid w:val="006606A1"/>
    <w:rsid w:val="006745DD"/>
    <w:rsid w:val="00682F54"/>
    <w:rsid w:val="006A17A3"/>
    <w:rsid w:val="006A1920"/>
    <w:rsid w:val="006A2F5D"/>
    <w:rsid w:val="006F1136"/>
    <w:rsid w:val="006F7907"/>
    <w:rsid w:val="00743189"/>
    <w:rsid w:val="00743D33"/>
    <w:rsid w:val="007932B3"/>
    <w:rsid w:val="00793EA9"/>
    <w:rsid w:val="007D6F68"/>
    <w:rsid w:val="00823E6B"/>
    <w:rsid w:val="00826780"/>
    <w:rsid w:val="00837CCD"/>
    <w:rsid w:val="00862812"/>
    <w:rsid w:val="008633CC"/>
    <w:rsid w:val="00865190"/>
    <w:rsid w:val="008719B9"/>
    <w:rsid w:val="00894ECE"/>
    <w:rsid w:val="00896BB4"/>
    <w:rsid w:val="008A7FB8"/>
    <w:rsid w:val="008C37B3"/>
    <w:rsid w:val="008F652F"/>
    <w:rsid w:val="009022B8"/>
    <w:rsid w:val="00914537"/>
    <w:rsid w:val="00917CC4"/>
    <w:rsid w:val="00932D06"/>
    <w:rsid w:val="00952B8E"/>
    <w:rsid w:val="009763DA"/>
    <w:rsid w:val="009975B3"/>
    <w:rsid w:val="009A216D"/>
    <w:rsid w:val="009B4B93"/>
    <w:rsid w:val="009F24BE"/>
    <w:rsid w:val="009F6C2F"/>
    <w:rsid w:val="009F767A"/>
    <w:rsid w:val="00A22533"/>
    <w:rsid w:val="00A26F46"/>
    <w:rsid w:val="00A34FD3"/>
    <w:rsid w:val="00A36929"/>
    <w:rsid w:val="00A50548"/>
    <w:rsid w:val="00A60EE7"/>
    <w:rsid w:val="00A910C9"/>
    <w:rsid w:val="00AA35B0"/>
    <w:rsid w:val="00AB59CE"/>
    <w:rsid w:val="00AD18C8"/>
    <w:rsid w:val="00AD7FA6"/>
    <w:rsid w:val="00AE4643"/>
    <w:rsid w:val="00AF0416"/>
    <w:rsid w:val="00B10CB4"/>
    <w:rsid w:val="00B13D6F"/>
    <w:rsid w:val="00B17848"/>
    <w:rsid w:val="00B23B72"/>
    <w:rsid w:val="00B42702"/>
    <w:rsid w:val="00B57B8B"/>
    <w:rsid w:val="00B85407"/>
    <w:rsid w:val="00B95702"/>
    <w:rsid w:val="00BC6489"/>
    <w:rsid w:val="00BD480C"/>
    <w:rsid w:val="00BE22DA"/>
    <w:rsid w:val="00C10E7F"/>
    <w:rsid w:val="00C20954"/>
    <w:rsid w:val="00C23324"/>
    <w:rsid w:val="00C42A41"/>
    <w:rsid w:val="00C47E74"/>
    <w:rsid w:val="00C57A72"/>
    <w:rsid w:val="00C73602"/>
    <w:rsid w:val="00CF60C8"/>
    <w:rsid w:val="00D20917"/>
    <w:rsid w:val="00D30DE2"/>
    <w:rsid w:val="00D32924"/>
    <w:rsid w:val="00D503A3"/>
    <w:rsid w:val="00D73518"/>
    <w:rsid w:val="00DA0796"/>
    <w:rsid w:val="00DA6ED0"/>
    <w:rsid w:val="00DC5011"/>
    <w:rsid w:val="00E171B6"/>
    <w:rsid w:val="00E70D3B"/>
    <w:rsid w:val="00E72695"/>
    <w:rsid w:val="00EB1753"/>
    <w:rsid w:val="00EB6CFF"/>
    <w:rsid w:val="00EE3996"/>
    <w:rsid w:val="00F07062"/>
    <w:rsid w:val="00F23CFC"/>
    <w:rsid w:val="00F433E2"/>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1E56A2"/>
  <w15:chartTrackingRefBased/>
  <w15:docId w15:val="{4DFF2750-D27A-4F52-B6FB-B2D7BB6C2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k-SK"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6F1136"/>
    <w:pPr>
      <w:tabs>
        <w:tab w:val="right" w:pos="454"/>
        <w:tab w:val="left" w:pos="737"/>
      </w:tabs>
      <w:ind w:left="737" w:hanging="737"/>
    </w:pPr>
    <w:rPr>
      <w:snapToGrid w:val="0"/>
      <w:sz w:val="18"/>
      <w:lang w:eastAsia="en-US"/>
    </w:rPr>
  </w:style>
  <w:style w:type="paragraph" w:customStyle="1" w:styleId="Lgendetitre">
    <w:name w:val="Légende titre"/>
    <w:basedOn w:val="Normal"/>
    <w:rsid w:val="006F1136"/>
    <w:pPr>
      <w:spacing w:before="240" w:after="240"/>
    </w:pPr>
    <w:rPr>
      <w:b/>
      <w:i/>
      <w:snapToGrid w:val="0"/>
      <w:lang w:eastAsia="en-US"/>
    </w:rPr>
  </w:style>
  <w:style w:type="paragraph" w:customStyle="1" w:styleId="Lgendestandard">
    <w:name w:val="Légende standard"/>
    <w:basedOn w:val="Normal"/>
    <w:rsid w:val="006F1136"/>
    <w:rPr>
      <w:sz w:val="18"/>
    </w:rPr>
  </w:style>
  <w:style w:type="paragraph" w:styleId="FootnoteText">
    <w:name w:val="footnote text"/>
    <w:basedOn w:val="Normal"/>
    <w:link w:val="FootnoteTextChar"/>
    <w:rsid w:val="006F1136"/>
    <w:rPr>
      <w:sz w:val="20"/>
    </w:rPr>
  </w:style>
  <w:style w:type="character" w:customStyle="1" w:styleId="FootnoteTextChar">
    <w:name w:val="Footnote Text Char"/>
    <w:basedOn w:val="DefaultParagraphFont"/>
    <w:link w:val="FootnoteText"/>
    <w:rsid w:val="006F1136"/>
  </w:style>
  <w:style w:type="character" w:styleId="FootnoteReference">
    <w:name w:val="footnote reference"/>
    <w:basedOn w:val="DefaultParagraphFont"/>
    <w:rsid w:val="006F1136"/>
    <w:rPr>
      <w:vertAlign w:val="superscript"/>
    </w:rPr>
  </w:style>
  <w:style w:type="character" w:customStyle="1" w:styleId="Normal6Char">
    <w:name w:val="Normal6 Char"/>
    <w:basedOn w:val="DefaultParagraphFont"/>
    <w:link w:val="Normal6"/>
    <w:locked/>
    <w:rsid w:val="00932D06"/>
    <w:rPr>
      <w:sz w:val="24"/>
      <w:lang w:val="sk-SK"/>
    </w:rPr>
  </w:style>
  <w:style w:type="paragraph" w:customStyle="1" w:styleId="Normal6">
    <w:name w:val="Normal6"/>
    <w:basedOn w:val="Normal"/>
    <w:link w:val="Normal6Char"/>
    <w:rsid w:val="00932D06"/>
    <w:pPr>
      <w:spacing w:after="120"/>
    </w:pPr>
  </w:style>
  <w:style w:type="character" w:customStyle="1" w:styleId="NormalBoldChar">
    <w:name w:val="NormalBold Char"/>
    <w:basedOn w:val="DefaultParagraphFont"/>
    <w:link w:val="NormalBold"/>
    <w:locked/>
    <w:rsid w:val="00932D06"/>
    <w:rPr>
      <w:b/>
      <w:sz w:val="24"/>
    </w:rPr>
  </w:style>
  <w:style w:type="paragraph" w:customStyle="1" w:styleId="ColumnHeading">
    <w:name w:val="ColumnHeading"/>
    <w:basedOn w:val="Normal"/>
    <w:rsid w:val="00932D06"/>
    <w:pPr>
      <w:spacing w:after="240"/>
      <w:jc w:val="center"/>
    </w:pPr>
    <w:rPr>
      <w:i/>
    </w:rPr>
  </w:style>
  <w:style w:type="paragraph" w:customStyle="1" w:styleId="AMNumberTabs0">
    <w:name w:val="AMNumberTabs"/>
    <w:basedOn w:val="Normal"/>
    <w:rsid w:val="00932D0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932D06"/>
    <w:pPr>
      <w:jc w:val="right"/>
    </w:pPr>
  </w:style>
  <w:style w:type="paragraph" w:styleId="Footer">
    <w:name w:val="footer"/>
    <w:basedOn w:val="Normal"/>
    <w:link w:val="FooterChar"/>
    <w:semiHidden/>
    <w:rsid w:val="00932D06"/>
    <w:pPr>
      <w:tabs>
        <w:tab w:val="center" w:pos="4513"/>
        <w:tab w:val="right" w:pos="9026"/>
      </w:tabs>
    </w:pPr>
  </w:style>
  <w:style w:type="character" w:customStyle="1" w:styleId="FooterChar">
    <w:name w:val="Footer Char"/>
    <w:basedOn w:val="DefaultParagraphFont"/>
    <w:link w:val="Footer"/>
    <w:semiHidden/>
    <w:rsid w:val="00932D06"/>
    <w:rPr>
      <w:sz w:val="24"/>
    </w:rPr>
  </w:style>
  <w:style w:type="paragraph" w:styleId="BalloonText">
    <w:name w:val="Balloon Text"/>
    <w:basedOn w:val="Normal"/>
    <w:link w:val="BalloonTextChar"/>
    <w:semiHidden/>
    <w:unhideWhenUsed/>
    <w:rsid w:val="00557C21"/>
    <w:rPr>
      <w:rFonts w:ascii="Segoe UI" w:hAnsi="Segoe UI" w:cs="Segoe UI"/>
      <w:sz w:val="18"/>
      <w:szCs w:val="18"/>
    </w:rPr>
  </w:style>
  <w:style w:type="character" w:customStyle="1" w:styleId="BalloonTextChar">
    <w:name w:val="Balloon Text Char"/>
    <w:basedOn w:val="DefaultParagraphFont"/>
    <w:link w:val="BalloonText"/>
    <w:semiHidden/>
    <w:rsid w:val="00557C21"/>
    <w:rPr>
      <w:rFonts w:ascii="Segoe UI" w:hAnsi="Segoe UI" w:cs="Segoe UI"/>
      <w:sz w:val="18"/>
      <w:szCs w:val="18"/>
    </w:rPr>
  </w:style>
  <w:style w:type="character" w:styleId="CommentReference">
    <w:name w:val="annotation reference"/>
    <w:basedOn w:val="DefaultParagraphFont"/>
    <w:rsid w:val="001C63AC"/>
    <w:rPr>
      <w:sz w:val="16"/>
      <w:szCs w:val="16"/>
    </w:rPr>
  </w:style>
  <w:style w:type="paragraph" w:styleId="CommentText">
    <w:name w:val="annotation text"/>
    <w:basedOn w:val="Normal"/>
    <w:link w:val="CommentTextChar"/>
    <w:rsid w:val="001C63AC"/>
    <w:rPr>
      <w:sz w:val="20"/>
    </w:rPr>
  </w:style>
  <w:style w:type="character" w:customStyle="1" w:styleId="CommentTextChar">
    <w:name w:val="Comment Text Char"/>
    <w:basedOn w:val="DefaultParagraphFont"/>
    <w:link w:val="CommentText"/>
    <w:rsid w:val="001C63AC"/>
  </w:style>
  <w:style w:type="paragraph" w:styleId="CommentSubject">
    <w:name w:val="annotation subject"/>
    <w:basedOn w:val="CommentText"/>
    <w:next w:val="CommentText"/>
    <w:link w:val="CommentSubjectChar"/>
    <w:semiHidden/>
    <w:unhideWhenUsed/>
    <w:rsid w:val="001C63AC"/>
    <w:rPr>
      <w:b/>
      <w:bCs/>
    </w:rPr>
  </w:style>
  <w:style w:type="character" w:customStyle="1" w:styleId="CommentSubjectChar">
    <w:name w:val="Comment Subject Char"/>
    <w:basedOn w:val="CommentTextChar"/>
    <w:link w:val="CommentSubject"/>
    <w:semiHidden/>
    <w:rsid w:val="001C63A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3D78B1-C24E-477C-8AA2-19A82DF7E6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6083</Words>
  <Characters>36929</Characters>
  <Application>Microsoft Office Word</Application>
  <DocSecurity>0</DocSecurity>
  <Lines>1273</Lines>
  <Paragraphs>281</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42731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TURLUI Emil-Gabriel</dc:creator>
  <cp:lastModifiedBy>KNOLLOVA Maria</cp:lastModifiedBy>
  <cp:revision>2</cp:revision>
  <cp:lastPrinted>2004-11-04T09:41:00Z</cp:lastPrinted>
  <dcterms:created xsi:type="dcterms:W3CDTF">2023-09-26T07:56:00Z</dcterms:created>
  <dcterms:modified xsi:type="dcterms:W3CDTF">2023-09-26T07:56:00Z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1285454</vt:lpwstr>
  </property>
  <property fmtid="{D5CDD505-2E9C-101B-9397-08002B2CF9AE}" pid="4" name="&lt;Model&gt;">
    <vt:lpwstr>PR_COD_1amCom</vt:lpwstr>
  </property>
  <property fmtid="{D5CDD505-2E9C-101B-9397-08002B2CF9AE}" pid="5" name="&lt;ModelCod&gt;">
    <vt:lpwstr>\\eiciBRUpr1\pdocep$\DocEP\DOCS\General\PR\PR_Leg\COD\COD_1st\PR_COD_1amCom.dotx(17/04/2020 19:27:09)</vt:lpwstr>
  </property>
  <property fmtid="{D5CDD505-2E9C-101B-9397-08002B2CF9AE}" pid="6" name="&lt;ModelTra&gt;">
    <vt:lpwstr>\\eiciBRUpr1\pdocep$\DocEP\TRANSFIL\EN\PR_COD_1amCom.EN(29/06/2022 10:21:37)</vt:lpwstr>
  </property>
  <property fmtid="{D5CDD505-2E9C-101B-9397-08002B2CF9AE}" pid="7" name="&lt;Type&gt;">
    <vt:lpwstr>PR</vt:lpwstr>
  </property>
  <property fmtid="{D5CDD505-2E9C-101B-9397-08002B2CF9AE}" pid="8" name="Created with">
    <vt:lpwstr>9.14.1 Build [20230315]</vt:lpwstr>
  </property>
  <property fmtid="{D5CDD505-2E9C-101B-9397-08002B2CF9AE}" pid="9" name="FooterPath">
    <vt:lpwstr>PR\1285454SK.docx</vt:lpwstr>
  </property>
  <property fmtid="{D5CDD505-2E9C-101B-9397-08002B2CF9AE}" pid="10" name="LastEdited with">
    <vt:lpwstr>9.14.1 Build [20230315]</vt:lpwstr>
  </property>
  <property fmtid="{D5CDD505-2E9C-101B-9397-08002B2CF9AE}" pid="11" name="PE number">
    <vt:lpwstr>752.913</vt:lpwstr>
  </property>
  <property fmtid="{D5CDD505-2E9C-101B-9397-08002B2CF9AE}" pid="12" name="SDLStudio">
    <vt:lpwstr/>
  </property>
  <property fmtid="{D5CDD505-2E9C-101B-9397-08002B2CF9AE}" pid="13" name="SendToEpades">
    <vt:lpwstr>OK - 2023/09/11 11:42</vt:lpwstr>
  </property>
  <property fmtid="{D5CDD505-2E9C-101B-9397-08002B2CF9AE}" pid="14" name="Bookout">
    <vt:lpwstr>OK - 2023/09/26 09:56</vt:lpwstr>
  </property>
</Properties>
</file>