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C1A04" w:rsidTr="00C85D0F">
        <w:trPr>
          <w:trHeight w:hRule="exact" w:val="1418"/>
        </w:trPr>
        <w:tc>
          <w:tcPr>
            <w:tcW w:w="6804" w:type="dxa"/>
            <w:shd w:val="clear" w:color="auto" w:fill="auto"/>
            <w:vAlign w:val="center"/>
          </w:tcPr>
          <w:p w:rsidR="00B13D6F" w:rsidRPr="009212B3" w:rsidRDefault="00E84D61" w:rsidP="00C85D0F">
            <w:pPr>
              <w:pStyle w:val="EPName"/>
            </w:pPr>
            <w:bookmarkStart w:id="0" w:name="_GoBack"/>
            <w:bookmarkEnd w:id="0"/>
            <w:r>
              <w:t>Evropski parlament</w:t>
            </w:r>
          </w:p>
          <w:p w:rsidR="00B13D6F" w:rsidRPr="009212B3" w:rsidRDefault="00E84D61" w:rsidP="009212B3">
            <w:pPr>
              <w:pStyle w:val="EPTerm"/>
            </w:pPr>
            <w:r>
              <w:t>2019-2024</w:t>
            </w:r>
          </w:p>
        </w:tc>
        <w:tc>
          <w:tcPr>
            <w:tcW w:w="2268" w:type="dxa"/>
            <w:shd w:val="clear" w:color="auto" w:fill="auto"/>
          </w:tcPr>
          <w:p w:rsidR="00B13D6F" w:rsidRPr="009212B3" w:rsidRDefault="00E84D61" w:rsidP="00C85D0F">
            <w:pPr>
              <w:pStyle w:val="EPLogo"/>
            </w:pPr>
            <w:r w:rsidRPr="009212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9212B3" w:rsidRDefault="00461601" w:rsidP="00461601">
      <w:pPr>
        <w:pStyle w:val="LineTop"/>
      </w:pPr>
    </w:p>
    <w:p w:rsidR="00461601" w:rsidRPr="009212B3" w:rsidRDefault="00E84D61" w:rsidP="00461601">
      <w:pPr>
        <w:pStyle w:val="EPBody"/>
      </w:pPr>
      <w:r w:rsidRPr="00EE33FA">
        <w:rPr>
          <w:rStyle w:val="HideTWBExt"/>
          <w:i w:val="0"/>
          <w:szCs w:val="20"/>
        </w:rPr>
        <w:t>&lt;Commission&gt;</w:t>
      </w:r>
      <w:r w:rsidRPr="00EE33FA">
        <w:rPr>
          <w:rStyle w:val="HideTWBInt"/>
          <w:i w:val="0"/>
          <w:szCs w:val="20"/>
        </w:rPr>
        <w:t>{ECON}</w:t>
      </w:r>
      <w:r>
        <w:t>Odbor za ekonomske in monetarne zadeve</w:t>
      </w:r>
      <w:r w:rsidRPr="00EE33FA">
        <w:rPr>
          <w:rStyle w:val="HideTWBExt"/>
          <w:i w:val="0"/>
          <w:szCs w:val="20"/>
        </w:rPr>
        <w:t>&lt;/Commission&gt;</w:t>
      </w:r>
    </w:p>
    <w:p w:rsidR="00461601" w:rsidRPr="009212B3" w:rsidRDefault="00461601" w:rsidP="00461601">
      <w:pPr>
        <w:pStyle w:val="LineBottom"/>
      </w:pPr>
    </w:p>
    <w:p w:rsidR="00793EA9" w:rsidRPr="009212B3" w:rsidRDefault="00E84D61">
      <w:pPr>
        <w:pStyle w:val="CoverReference"/>
      </w:pPr>
      <w:r w:rsidRPr="00EE33FA">
        <w:rPr>
          <w:rStyle w:val="HideTWBExt"/>
          <w:b w:val="0"/>
        </w:rPr>
        <w:t>&lt;RefProc&gt;</w:t>
      </w:r>
      <w:r>
        <w:t>2023/0113</w:t>
      </w:r>
      <w:r w:rsidRPr="00EE33FA">
        <w:rPr>
          <w:rStyle w:val="HideTWBExt"/>
          <w:b w:val="0"/>
        </w:rPr>
        <w:t>&lt;/RefProc&gt;&lt;RefTypeProc&gt;</w:t>
      </w:r>
      <w:r>
        <w:t>(COD)</w:t>
      </w:r>
      <w:r w:rsidRPr="00EE33FA">
        <w:rPr>
          <w:rStyle w:val="HideTWBExt"/>
          <w:b w:val="0"/>
        </w:rPr>
        <w:t>&lt;/RefTypeProc&gt;</w:t>
      </w:r>
    </w:p>
    <w:p w:rsidR="00793EA9" w:rsidRPr="009212B3" w:rsidRDefault="00E84D61">
      <w:pPr>
        <w:pStyle w:val="CoverDate"/>
      </w:pPr>
      <w:r w:rsidRPr="00EE33FA">
        <w:rPr>
          <w:rStyle w:val="HideTWBExt"/>
        </w:rPr>
        <w:t>&lt;Date&gt;</w:t>
      </w:r>
      <w:r w:rsidRPr="00EE33FA">
        <w:rPr>
          <w:rStyle w:val="HideTWBInt"/>
        </w:rPr>
        <w:t>{11/09/2023}</w:t>
      </w:r>
      <w:r>
        <w:t>11.9.2023</w:t>
      </w:r>
      <w:r w:rsidRPr="00EE33FA">
        <w:rPr>
          <w:rStyle w:val="HideTWBExt"/>
        </w:rPr>
        <w:t>&lt;/Date&gt;</w:t>
      </w:r>
    </w:p>
    <w:p w:rsidR="00793EA9" w:rsidRPr="009212B3" w:rsidRDefault="00E84D61">
      <w:pPr>
        <w:pStyle w:val="CoverDocType"/>
      </w:pPr>
      <w:r w:rsidRPr="00EE33FA">
        <w:rPr>
          <w:rStyle w:val="HideTWBExt"/>
          <w:b w:val="0"/>
        </w:rPr>
        <w:t>&lt;RefProcLect&gt;</w:t>
      </w:r>
      <w:r>
        <w:t>***I</w:t>
      </w:r>
      <w:r w:rsidRPr="00EE33FA">
        <w:rPr>
          <w:rStyle w:val="HideTWBExt"/>
          <w:b w:val="0"/>
        </w:rPr>
        <w:t>&lt;/RefProcLect&gt;</w:t>
      </w:r>
    </w:p>
    <w:p w:rsidR="00793EA9" w:rsidRPr="009212B3" w:rsidRDefault="00E84D61">
      <w:pPr>
        <w:pStyle w:val="CoverDocType24a"/>
      </w:pPr>
      <w:r w:rsidRPr="00EE33FA">
        <w:rPr>
          <w:rStyle w:val="HideTWBExt"/>
          <w:b w:val="0"/>
        </w:rPr>
        <w:t>&lt;TitreType&gt;</w:t>
      </w:r>
      <w:r>
        <w:t>OSNUTEK POROČILA</w:t>
      </w:r>
      <w:r w:rsidRPr="00EE33FA">
        <w:rPr>
          <w:rStyle w:val="HideTWBExt"/>
          <w:b w:val="0"/>
        </w:rPr>
        <w:t>&lt;/TitreType&gt;</w:t>
      </w:r>
    </w:p>
    <w:p w:rsidR="00793EA9" w:rsidRPr="009212B3" w:rsidRDefault="00E84D61">
      <w:pPr>
        <w:pStyle w:val="CoverNormal"/>
      </w:pPr>
      <w:r w:rsidRPr="00EE33FA">
        <w:rPr>
          <w:rStyle w:val="HideTWBExt"/>
        </w:rPr>
        <w:t>&lt;Titre&gt;</w:t>
      </w:r>
      <w:r>
        <w:t>o predlogu direktive Evropskega parlamenta in Sveta</w:t>
      </w:r>
      <w:r>
        <w:tab/>
        <w:t>o spremembi Direktive 2014/59/EU in Uredbe (EU) št. 806/2014 glede določenih vidikov minimalne zahteve glede kapitala in kvalificiranih obveznosti</w:t>
      </w:r>
      <w:r w:rsidRPr="00EE33FA">
        <w:rPr>
          <w:rStyle w:val="HideTWBExt"/>
        </w:rPr>
        <w:t>&lt;/Titre&gt;</w:t>
      </w:r>
    </w:p>
    <w:p w:rsidR="00793EA9" w:rsidRPr="009212B3" w:rsidRDefault="00E84D61">
      <w:pPr>
        <w:pStyle w:val="CoverNormal24a"/>
      </w:pPr>
      <w:r w:rsidRPr="00EE33FA">
        <w:rPr>
          <w:rStyle w:val="HideTWBExt"/>
        </w:rPr>
        <w:t>&lt;DocRef&gt;</w:t>
      </w:r>
      <w:r>
        <w:t>(COM(2023)0229 – C9</w:t>
      </w:r>
      <w:r>
        <w:noBreakHyphen/>
        <w:t>0134/2023 – 2023/0113(COD))</w:t>
      </w:r>
      <w:r w:rsidRPr="00EE33FA">
        <w:rPr>
          <w:rStyle w:val="HideTWBExt"/>
        </w:rPr>
        <w:t>&lt;/DocRef&gt;</w:t>
      </w:r>
    </w:p>
    <w:p w:rsidR="00793EA9" w:rsidRPr="009212B3" w:rsidRDefault="00E84D61">
      <w:pPr>
        <w:pStyle w:val="CoverNormal24a"/>
      </w:pPr>
      <w:r w:rsidRPr="00EE33FA">
        <w:rPr>
          <w:rStyle w:val="HideTWBExt"/>
        </w:rPr>
        <w:t>&lt;Commission&gt;</w:t>
      </w:r>
      <w:r w:rsidRPr="00EE33FA">
        <w:rPr>
          <w:rStyle w:val="HideTWBInt"/>
        </w:rPr>
        <w:t>{ECON}</w:t>
      </w:r>
      <w:r>
        <w:t>Odbor za ekonomske in monetarne zadeve</w:t>
      </w:r>
      <w:r w:rsidRPr="00EE33FA">
        <w:rPr>
          <w:rStyle w:val="HideTWBExt"/>
        </w:rPr>
        <w:t>&lt;/Commission&gt;</w:t>
      </w:r>
    </w:p>
    <w:p w:rsidR="00793EA9" w:rsidRPr="009212B3" w:rsidRDefault="00E84D61">
      <w:pPr>
        <w:pStyle w:val="CoverNormal24a"/>
      </w:pPr>
      <w:r>
        <w:t xml:space="preserve">Poročevalec: </w:t>
      </w:r>
      <w:r w:rsidRPr="00EE33FA">
        <w:rPr>
          <w:rStyle w:val="HideTWBExt"/>
        </w:rPr>
        <w:t>&lt;Depute&gt;</w:t>
      </w:r>
      <w:r>
        <w:t>Jonás Fernández</w:t>
      </w:r>
      <w:r w:rsidRPr="00EE33FA">
        <w:rPr>
          <w:rStyle w:val="HideTWBExt"/>
        </w:rPr>
        <w:t>&lt;/Depute&gt;</w:t>
      </w:r>
    </w:p>
    <w:p w:rsidR="001C5B44" w:rsidRPr="009212B3" w:rsidRDefault="001C5B44" w:rsidP="001C5B44">
      <w:pPr>
        <w:pStyle w:val="CoverNormal"/>
      </w:pPr>
    </w:p>
    <w:p w:rsidR="009212B3" w:rsidRPr="009212B3" w:rsidRDefault="00E84D61" w:rsidP="00894923">
      <w:r>
        <w:br w:type="page"/>
      </w:r>
      <w:r w:rsidR="004E0FEB">
        <w:lastRenderedPageBreak/>
        <w:fldChar w:fldCharType="begin"/>
      </w:r>
      <w:r>
        <w:instrText xml:space="preserve"> TITLE  \* MERGEFORMAT </w:instrText>
      </w:r>
      <w:r w:rsidR="004E0FEB">
        <w:fldChar w:fldCharType="separate"/>
      </w:r>
      <w:r w:rsidR="00EE33FA">
        <w:t>PR_COD_1amCom</w:t>
      </w:r>
      <w:r w:rsidR="004E0FEB">
        <w:fldChar w:fldCharType="end"/>
      </w:r>
    </w:p>
    <w:p w:rsidR="009212B3" w:rsidRPr="009212B3" w:rsidRDefault="009212B3" w:rsidP="00894923"/>
    <w:p w:rsidR="009212B3" w:rsidRPr="009212B3" w:rsidRDefault="009212B3"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C1A04">
        <w:tc>
          <w:tcPr>
            <w:tcW w:w="5811" w:type="dxa"/>
          </w:tcPr>
          <w:p w:rsidR="009212B3" w:rsidRPr="009212B3" w:rsidRDefault="00E84D61" w:rsidP="00894923">
            <w:pPr>
              <w:pStyle w:val="Lgendetitre"/>
            </w:pPr>
            <w:r>
              <w:t>Oznake postopkov</w:t>
            </w:r>
          </w:p>
        </w:tc>
      </w:tr>
      <w:tr w:rsidR="008C1A04" w:rsidTr="00C50C36">
        <w:trPr>
          <w:cantSplit/>
          <w:trHeight w:val="1944"/>
        </w:trPr>
        <w:tc>
          <w:tcPr>
            <w:tcW w:w="5811" w:type="dxa"/>
            <w:tcBorders>
              <w:bottom w:val="single" w:sz="4" w:space="0" w:color="auto"/>
            </w:tcBorders>
          </w:tcPr>
          <w:p w:rsidR="009212B3" w:rsidRPr="009212B3" w:rsidRDefault="00E84D61" w:rsidP="00713744">
            <w:pPr>
              <w:pStyle w:val="Lgendesigne"/>
              <w:rPr>
                <w:szCs w:val="24"/>
              </w:rPr>
            </w:pPr>
            <w:r>
              <w:tab/>
              <w:t>*</w:t>
            </w:r>
            <w:r>
              <w:tab/>
              <w:t>Postopek posvetovanja</w:t>
            </w:r>
          </w:p>
          <w:p w:rsidR="009212B3" w:rsidRPr="009212B3" w:rsidRDefault="00E84D61" w:rsidP="00713744">
            <w:pPr>
              <w:pStyle w:val="Lgendesigne"/>
              <w:rPr>
                <w:szCs w:val="24"/>
              </w:rPr>
            </w:pPr>
            <w:r>
              <w:tab/>
              <w:t>***</w:t>
            </w:r>
            <w:r>
              <w:tab/>
              <w:t>Postopek odobritve</w:t>
            </w:r>
          </w:p>
          <w:p w:rsidR="009212B3" w:rsidRPr="009212B3" w:rsidRDefault="00E84D61" w:rsidP="00713744">
            <w:pPr>
              <w:pStyle w:val="Lgendesigne"/>
              <w:rPr>
                <w:szCs w:val="24"/>
              </w:rPr>
            </w:pPr>
            <w:r>
              <w:tab/>
              <w:t>***I</w:t>
            </w:r>
            <w:r>
              <w:tab/>
              <w:t>Redni zakonodajni postopek (prva obravnava)</w:t>
            </w:r>
          </w:p>
          <w:p w:rsidR="009212B3" w:rsidRPr="009212B3" w:rsidRDefault="00E84D61" w:rsidP="00713744">
            <w:pPr>
              <w:pStyle w:val="Lgendesigne"/>
              <w:rPr>
                <w:szCs w:val="24"/>
              </w:rPr>
            </w:pPr>
            <w:r>
              <w:tab/>
              <w:t>***II</w:t>
            </w:r>
            <w:r>
              <w:tab/>
              <w:t>Redni zakonodajni postopek (druga obravnava)</w:t>
            </w:r>
          </w:p>
          <w:p w:rsidR="009212B3" w:rsidRPr="009212B3" w:rsidRDefault="00E84D61" w:rsidP="00713744">
            <w:pPr>
              <w:pStyle w:val="Lgendesigne"/>
              <w:rPr>
                <w:szCs w:val="24"/>
              </w:rPr>
            </w:pPr>
            <w:r>
              <w:tab/>
              <w:t>***III</w:t>
            </w:r>
            <w:r>
              <w:tab/>
              <w:t>Redni zakonodajni postopek (tretja obravnava)</w:t>
            </w:r>
          </w:p>
          <w:p w:rsidR="009212B3" w:rsidRPr="009212B3" w:rsidRDefault="009212B3" w:rsidP="00713744">
            <w:pPr>
              <w:pStyle w:val="Lgendestandard"/>
            </w:pPr>
          </w:p>
          <w:p w:rsidR="009212B3" w:rsidRPr="009212B3" w:rsidRDefault="00E84D61" w:rsidP="00713744">
            <w:pPr>
              <w:pStyle w:val="Lgendestandard"/>
            </w:pPr>
            <w:r>
              <w:t>(Vrsta postopka je odvisna od pravne podlage, ki je predlagana v osnutku akta.)</w:t>
            </w:r>
          </w:p>
          <w:p w:rsidR="009212B3" w:rsidRPr="009212B3" w:rsidRDefault="009212B3" w:rsidP="00713744">
            <w:pPr>
              <w:pStyle w:val="Lgendestandard"/>
            </w:pPr>
          </w:p>
        </w:tc>
      </w:tr>
    </w:tbl>
    <w:p w:rsidR="009212B3" w:rsidRPr="009212B3" w:rsidRDefault="009212B3" w:rsidP="00894923"/>
    <w:p w:rsidR="009212B3" w:rsidRPr="009212B3" w:rsidRDefault="009212B3" w:rsidP="00894923"/>
    <w:p w:rsidR="009212B3" w:rsidRPr="009212B3" w:rsidRDefault="009212B3" w:rsidP="00894923"/>
    <w:p w:rsidR="009212B3" w:rsidRPr="009212B3" w:rsidRDefault="009212B3"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C1A04">
        <w:tc>
          <w:tcPr>
            <w:tcW w:w="5811" w:type="dxa"/>
          </w:tcPr>
          <w:p w:rsidR="009212B3" w:rsidRPr="009212B3" w:rsidRDefault="00E84D61" w:rsidP="00894923">
            <w:pPr>
              <w:pStyle w:val="Lgendetitre"/>
            </w:pPr>
            <w:r>
              <w:t>Predlogi sprememb k osnutku akta</w:t>
            </w:r>
          </w:p>
        </w:tc>
      </w:tr>
      <w:tr w:rsidR="008C1A04" w:rsidTr="00AF21E6">
        <w:trPr>
          <w:trHeight w:val="4640"/>
        </w:trPr>
        <w:tc>
          <w:tcPr>
            <w:tcW w:w="5811" w:type="dxa"/>
          </w:tcPr>
          <w:p w:rsidR="009212B3" w:rsidRPr="009212B3" w:rsidRDefault="00E84D61" w:rsidP="0069511F">
            <w:pPr>
              <w:pStyle w:val="Lgendestandard"/>
              <w:rPr>
                <w:szCs w:val="24"/>
              </w:rPr>
            </w:pPr>
            <w:r>
              <w:rPr>
                <w:b/>
              </w:rPr>
              <w:t>Spremembe, ki jih predlaga Parlament, v dveh stolpcih</w:t>
            </w:r>
          </w:p>
          <w:p w:rsidR="009212B3" w:rsidRPr="009212B3" w:rsidRDefault="009212B3" w:rsidP="0069511F">
            <w:pPr>
              <w:pStyle w:val="Lgendestandard"/>
              <w:rPr>
                <w:szCs w:val="24"/>
              </w:rPr>
            </w:pPr>
          </w:p>
          <w:p w:rsidR="009212B3" w:rsidRPr="009212B3" w:rsidRDefault="00E84D61" w:rsidP="0069511F">
            <w:pPr>
              <w:pStyle w:val="Lgendestandard"/>
              <w:rPr>
                <w:szCs w:val="24"/>
              </w:rPr>
            </w:pPr>
            <w:r>
              <w:t xml:space="preserve">Izbrisano besedilo je označeno s </w:t>
            </w:r>
            <w:r>
              <w:rPr>
                <w:b/>
                <w:i/>
              </w:rPr>
              <w:t xml:space="preserve">krepkim poševnim tiskom </w:t>
            </w:r>
            <w:r>
              <w:t xml:space="preserve">v levem stolpcu, zamenjano besedilo s </w:t>
            </w:r>
            <w:r>
              <w:rPr>
                <w:b/>
                <w:i/>
              </w:rPr>
              <w:t>krepkim poševnim tiskom</w:t>
            </w:r>
            <w:r>
              <w:t xml:space="preserve"> v obeh stolpcih, novo besedilo pa s </w:t>
            </w:r>
            <w:r>
              <w:rPr>
                <w:b/>
                <w:i/>
              </w:rPr>
              <w:t>krepkim poševnim tiskom</w:t>
            </w:r>
            <w:r>
              <w:t xml:space="preserve"> v desnem stolpcu.</w:t>
            </w:r>
          </w:p>
          <w:p w:rsidR="009212B3" w:rsidRPr="009212B3" w:rsidRDefault="009212B3" w:rsidP="0069511F">
            <w:pPr>
              <w:pStyle w:val="Lgendestandard"/>
              <w:rPr>
                <w:szCs w:val="24"/>
              </w:rPr>
            </w:pPr>
          </w:p>
          <w:p w:rsidR="009212B3" w:rsidRPr="009212B3" w:rsidRDefault="00E84D61" w:rsidP="0069511F">
            <w:pPr>
              <w:pStyle w:val="Lgendestandard"/>
              <w:rPr>
                <w:szCs w:val="24"/>
              </w:rPr>
            </w:pPr>
            <w:r>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rsidR="009212B3" w:rsidRPr="009212B3" w:rsidRDefault="009212B3" w:rsidP="0069511F">
            <w:pPr>
              <w:pStyle w:val="Lgendestandard"/>
              <w:rPr>
                <w:szCs w:val="24"/>
              </w:rPr>
            </w:pPr>
          </w:p>
          <w:p w:rsidR="009212B3" w:rsidRPr="009212B3" w:rsidRDefault="00E84D61" w:rsidP="0069511F">
            <w:pPr>
              <w:pStyle w:val="Lgendestandard"/>
              <w:rPr>
                <w:szCs w:val="24"/>
              </w:rPr>
            </w:pPr>
            <w:r>
              <w:rPr>
                <w:b/>
              </w:rPr>
              <w:t>Spremembe, ki jih predlaga Parlament, v obliki konsolidiranega besedila</w:t>
            </w:r>
          </w:p>
          <w:p w:rsidR="009212B3" w:rsidRPr="009212B3" w:rsidRDefault="009212B3" w:rsidP="0069511F">
            <w:pPr>
              <w:pStyle w:val="Lgendestandard"/>
              <w:rPr>
                <w:szCs w:val="24"/>
              </w:rPr>
            </w:pPr>
          </w:p>
          <w:p w:rsidR="009212B3" w:rsidRPr="009212B3" w:rsidRDefault="00E84D61" w:rsidP="0069511F">
            <w:pPr>
              <w:pStyle w:val="Lgendestandard"/>
              <w:rPr>
                <w:szCs w:val="24"/>
              </w:rPr>
            </w:pPr>
            <w:r>
              <w:t xml:space="preserve">Novo besedilo je označeno s </w:t>
            </w:r>
            <w:r>
              <w:rPr>
                <w:b/>
                <w:i/>
              </w:rPr>
              <w:t>krepkim poševnim tiskom</w:t>
            </w:r>
            <w:r>
              <w:t xml:space="preserve">. Izbrisano besedilo je označeno s simbolom ▌ali prečrtano. Zamenjano besedilo je izbrisano ali prečrtano, besedilo, ki ga nadomešča, pa je označeno s </w:t>
            </w:r>
            <w:r>
              <w:rPr>
                <w:b/>
                <w:i/>
              </w:rPr>
              <w:t>krepkim poševnim tiskom</w:t>
            </w:r>
            <w:r>
              <w:t>.</w:t>
            </w:r>
          </w:p>
          <w:p w:rsidR="009212B3" w:rsidRPr="009212B3" w:rsidRDefault="00E84D61" w:rsidP="0069511F">
            <w:pPr>
              <w:pStyle w:val="Lgendestandard"/>
            </w:pPr>
            <w:r>
              <w:t>Izjema so spremembe izključno tehnične narave, ki so jih vnesle službe z namenom priprave končnega besedila in niso označene.</w:t>
            </w:r>
          </w:p>
          <w:p w:rsidR="009212B3" w:rsidRPr="009212B3" w:rsidRDefault="009212B3" w:rsidP="0069092A">
            <w:pPr>
              <w:pStyle w:val="Lgendestandard"/>
            </w:pPr>
          </w:p>
        </w:tc>
      </w:tr>
    </w:tbl>
    <w:p w:rsidR="009212B3" w:rsidRPr="009212B3" w:rsidRDefault="009212B3" w:rsidP="00894923"/>
    <w:p w:rsidR="00793EA9" w:rsidRPr="009212B3" w:rsidRDefault="00793EA9" w:rsidP="00012351">
      <w:pPr>
        <w:widowControl/>
        <w:tabs>
          <w:tab w:val="center" w:pos="4677"/>
        </w:tabs>
      </w:pPr>
    </w:p>
    <w:p w:rsidR="00793EA9" w:rsidRPr="009212B3" w:rsidRDefault="00E84D61">
      <w:pPr>
        <w:pStyle w:val="TOCHeading"/>
      </w:pPr>
      <w:r>
        <w:br w:type="page"/>
      </w:r>
      <w:r>
        <w:lastRenderedPageBreak/>
        <w:t>VSEBINA</w:t>
      </w:r>
    </w:p>
    <w:p w:rsidR="00793EA9" w:rsidRPr="009212B3" w:rsidRDefault="00E84D61">
      <w:pPr>
        <w:pStyle w:val="TOCPage"/>
      </w:pPr>
      <w:r>
        <w:t>Stran</w:t>
      </w:r>
    </w:p>
    <w:p w:rsidR="00EE33FA" w:rsidRDefault="00E84D61">
      <w:pPr>
        <w:pStyle w:val="TOC1"/>
        <w:tabs>
          <w:tab w:val="right" w:leader="dot" w:pos="9060"/>
        </w:tabs>
        <w:rPr>
          <w:rFonts w:asciiTheme="minorHAnsi" w:eastAsiaTheme="minorEastAsia" w:hAnsiTheme="minorHAnsi" w:cstheme="minorBidi"/>
          <w:noProof/>
          <w:sz w:val="22"/>
          <w:szCs w:val="22"/>
          <w:lang w:val="en-GB"/>
        </w:rPr>
      </w:pPr>
      <w:r w:rsidRPr="009212B3">
        <w:rPr>
          <w:b/>
        </w:rPr>
        <w:fldChar w:fldCharType="begin"/>
      </w:r>
      <w:r w:rsidRPr="009212B3">
        <w:rPr>
          <w:b/>
        </w:rPr>
        <w:instrText xml:space="preserve"> TOC \t "PageHeading</w:instrText>
      </w:r>
      <w:r w:rsidR="00EE33FA">
        <w:rPr>
          <w:b/>
        </w:rPr>
        <w:instrText>;</w:instrText>
      </w:r>
      <w:r w:rsidRPr="009212B3">
        <w:rPr>
          <w:b/>
        </w:rPr>
        <w:instrText xml:space="preserve">1" </w:instrText>
      </w:r>
      <w:r w:rsidRPr="009212B3">
        <w:rPr>
          <w:b/>
        </w:rPr>
        <w:fldChar w:fldCharType="separate"/>
      </w:r>
      <w:r w:rsidR="00EE33FA">
        <w:rPr>
          <w:noProof/>
        </w:rPr>
        <w:t>OSNUTEK ZAKONODAJNE RESOLUCIJE EVROPSKEGA PARLAMENTA</w:t>
      </w:r>
      <w:r w:rsidR="00EE33FA">
        <w:rPr>
          <w:noProof/>
        </w:rPr>
        <w:tab/>
      </w:r>
      <w:r w:rsidR="00EE33FA">
        <w:rPr>
          <w:noProof/>
        </w:rPr>
        <w:fldChar w:fldCharType="begin"/>
      </w:r>
      <w:r w:rsidR="00EE33FA">
        <w:rPr>
          <w:noProof/>
        </w:rPr>
        <w:instrText xml:space="preserve"> PAGEREF _Toc146618526 \h </w:instrText>
      </w:r>
      <w:r w:rsidR="00EE33FA">
        <w:rPr>
          <w:noProof/>
        </w:rPr>
      </w:r>
      <w:r w:rsidR="00EE33FA">
        <w:rPr>
          <w:noProof/>
        </w:rPr>
        <w:fldChar w:fldCharType="separate"/>
      </w:r>
      <w:r w:rsidR="00EE33FA">
        <w:rPr>
          <w:noProof/>
        </w:rPr>
        <w:t>5</w:t>
      </w:r>
      <w:r w:rsidR="00EE33FA">
        <w:rPr>
          <w:noProof/>
        </w:rPr>
        <w:fldChar w:fldCharType="end"/>
      </w:r>
    </w:p>
    <w:p w:rsidR="002346B0" w:rsidRPr="009212B3" w:rsidRDefault="00E84D61" w:rsidP="00C23324">
      <w:r w:rsidRPr="009212B3">
        <w:rPr>
          <w:b/>
        </w:rPr>
        <w:fldChar w:fldCharType="end"/>
      </w:r>
    </w:p>
    <w:p w:rsidR="00793EA9" w:rsidRPr="009212B3" w:rsidRDefault="00E84D61">
      <w:pPr>
        <w:pStyle w:val="PageHeading"/>
      </w:pPr>
      <w:r>
        <w:br w:type="page"/>
      </w:r>
      <w:r>
        <w:br w:type="page"/>
      </w:r>
      <w:bookmarkStart w:id="1" w:name="_Toc146618526"/>
      <w:r>
        <w:t>OSNUTEK ZAKONODAJNE RESOLUCIJE EVROPSKEGA PARLAMENTA</w:t>
      </w:r>
      <w:bookmarkEnd w:id="1"/>
    </w:p>
    <w:p w:rsidR="00793EA9" w:rsidRPr="009212B3" w:rsidRDefault="00E84D61">
      <w:pPr>
        <w:pStyle w:val="NormalBold"/>
      </w:pPr>
      <w:r>
        <w:t>o predlogu direktive Evropskega parlamenta in Sveta o spremembi Direktive 2014/59/EU in Uredbe (EU) št. 806/2014 glede določenih vidikov minimalne zahteve glede kapitala in kvalificiranih obveznosti</w:t>
      </w:r>
    </w:p>
    <w:p w:rsidR="00793EA9" w:rsidRPr="009212B3" w:rsidRDefault="00E84D61">
      <w:pPr>
        <w:pStyle w:val="NormalBold12a"/>
      </w:pPr>
      <w:r>
        <w:t>(COM(2023)0229 – C9</w:t>
      </w:r>
      <w:r>
        <w:noBreakHyphen/>
        <w:t>0134/2023 – 2023/0113(COD))</w:t>
      </w:r>
    </w:p>
    <w:p w:rsidR="00793EA9" w:rsidRPr="009212B3" w:rsidRDefault="00E84D61" w:rsidP="00A910C9">
      <w:pPr>
        <w:pStyle w:val="NormalBold"/>
      </w:pPr>
      <w:r>
        <w:t>(Redni zakonodajni postopek: prva obravnava)</w:t>
      </w:r>
    </w:p>
    <w:p w:rsidR="00793EA9" w:rsidRPr="009212B3" w:rsidRDefault="00E84D61" w:rsidP="00A910C9">
      <w:pPr>
        <w:pStyle w:val="EPComma"/>
      </w:pPr>
      <w:r>
        <w:rPr>
          <w:i/>
        </w:rPr>
        <w:t>Evropski parlament</w:t>
      </w:r>
      <w:r>
        <w:t>,</w:t>
      </w:r>
    </w:p>
    <w:p w:rsidR="00793EA9" w:rsidRPr="009212B3" w:rsidRDefault="00E84D61">
      <w:pPr>
        <w:pStyle w:val="NormalHanging12a"/>
      </w:pPr>
      <w:r>
        <w:t>–</w:t>
      </w:r>
      <w:r>
        <w:tab/>
        <w:t>ob upoštevanju predloga Komisije Evropskemu parlamentu in Svetu (COM(2023)0229),</w:t>
      </w:r>
    </w:p>
    <w:p w:rsidR="009212B3" w:rsidRPr="009212B3" w:rsidRDefault="00E84D61" w:rsidP="009212B3">
      <w:pPr>
        <w:pStyle w:val="NormalHanging12a"/>
      </w:pPr>
      <w:r>
        <w:t>–</w:t>
      </w:r>
      <w:r>
        <w:tab/>
        <w:t>ob upoštevanju člena 294(2) in člena 114 Pogodbe o delovanju Evropske unije, na podlagi katerih je Komisija podala predlog Parlamentu (C9</w:t>
      </w:r>
      <w:r>
        <w:noBreakHyphen/>
        <w:t>0134/2023),</w:t>
      </w:r>
    </w:p>
    <w:p w:rsidR="009212B3" w:rsidRPr="009212B3" w:rsidRDefault="00E84D61" w:rsidP="009212B3">
      <w:pPr>
        <w:pStyle w:val="NormalHanging12a"/>
      </w:pPr>
      <w:r>
        <w:t>–</w:t>
      </w:r>
      <w:r>
        <w:tab/>
        <w:t>ob upoštevanju člena 294(3) Pogodbe o delovanju Evropske unije,</w:t>
      </w:r>
    </w:p>
    <w:p w:rsidR="009212B3" w:rsidRPr="009212B3" w:rsidRDefault="00E84D61" w:rsidP="009212B3">
      <w:pPr>
        <w:pStyle w:val="NormalHanging12a"/>
      </w:pPr>
      <w:r>
        <w:t>–</w:t>
      </w:r>
      <w:r>
        <w:tab/>
        <w:t>ob upoštevanju mnenja Evropske centralne banke z dne 5. julija 2023</w:t>
      </w:r>
      <w:r>
        <w:rPr>
          <w:rStyle w:val="FootnoteReference"/>
        </w:rPr>
        <w:footnoteReference w:id="1"/>
      </w:r>
      <w:r>
        <w:t>,</w:t>
      </w:r>
    </w:p>
    <w:p w:rsidR="009212B3" w:rsidRPr="009212B3" w:rsidRDefault="00E84D61" w:rsidP="009212B3">
      <w:pPr>
        <w:pStyle w:val="NormalHanging12a"/>
      </w:pPr>
      <w:r>
        <w:t>–</w:t>
      </w:r>
      <w:r>
        <w:tab/>
        <w:t>ob upoštevanju mnenja Evropskega ekonomsko-socialnega odbora z dne 13. julija 2023</w:t>
      </w:r>
      <w:r>
        <w:rPr>
          <w:rStyle w:val="FootnoteReference"/>
          <w:szCs w:val="24"/>
        </w:rPr>
        <w:footnoteReference w:id="2"/>
      </w:r>
      <w:r>
        <w:t>,</w:t>
      </w:r>
    </w:p>
    <w:p w:rsidR="009212B3" w:rsidRPr="009212B3" w:rsidRDefault="00E84D61" w:rsidP="009212B3">
      <w:pPr>
        <w:pStyle w:val="NormalHanging12a"/>
      </w:pPr>
      <w:r>
        <w:t>–</w:t>
      </w:r>
      <w:r>
        <w:tab/>
        <w:t>ob upoštevanju člena 59 Poslovnika,</w:t>
      </w:r>
    </w:p>
    <w:p w:rsidR="009212B3" w:rsidRPr="009212B3" w:rsidRDefault="00E84D61" w:rsidP="009212B3">
      <w:pPr>
        <w:pStyle w:val="NormalHanging12a"/>
      </w:pPr>
      <w:r>
        <w:t>–</w:t>
      </w:r>
      <w:r>
        <w:tab/>
        <w:t>ob upoštevanju mnenja Odbora za ekonomske in monetarne zadeve (A9</w:t>
      </w:r>
      <w:r>
        <w:noBreakHyphen/>
        <w:t>0000/2023),</w:t>
      </w:r>
    </w:p>
    <w:p w:rsidR="009212B3" w:rsidRPr="009212B3" w:rsidRDefault="00E84D61" w:rsidP="009212B3">
      <w:pPr>
        <w:pStyle w:val="NormalHanging12a"/>
      </w:pPr>
      <w:r>
        <w:t>1.</w:t>
      </w:r>
      <w:r>
        <w:tab/>
        <w:t>sprejme stališče v prvi obravnavi, kakor je določeno v nadaljevanju;</w:t>
      </w:r>
    </w:p>
    <w:p w:rsidR="009212B3" w:rsidRPr="009212B3" w:rsidRDefault="00E84D61" w:rsidP="009212B3">
      <w:pPr>
        <w:pStyle w:val="NormalHanging12a"/>
      </w:pPr>
      <w:r>
        <w:t>2.</w:t>
      </w:r>
      <w:r>
        <w:tab/>
        <w:t>poziva Komisijo, naj mu zadevo ponovno predloži, če svoj predlog nadomesti, ga bistveno spremeni ali ga namerava bistveno spremeniti;</w:t>
      </w:r>
    </w:p>
    <w:p w:rsidR="009212B3" w:rsidRPr="009212B3" w:rsidRDefault="00E84D61" w:rsidP="009212B3">
      <w:pPr>
        <w:pStyle w:val="NormalHanging12a"/>
      </w:pPr>
      <w:r>
        <w:t>3.</w:t>
      </w:r>
      <w:r>
        <w:tab/>
        <w:t>naroči svoji predsednici, naj stališče Parlamenta posreduje Svetu in Komisiji ter nacionalnim parlamentom.</w:t>
      </w:r>
    </w:p>
    <w:p w:rsidR="009212B3" w:rsidRPr="009212B3" w:rsidRDefault="009212B3" w:rsidP="009212B3"/>
    <w:p w:rsidR="009212B3" w:rsidRPr="009212B3" w:rsidRDefault="009212B3" w:rsidP="009212B3"/>
    <w:p w:rsidR="009212B3" w:rsidRPr="009212B3" w:rsidRDefault="009212B3" w:rsidP="009212B3"/>
    <w:p w:rsidR="009212B3" w:rsidRPr="009212B3" w:rsidRDefault="009212B3" w:rsidP="009212B3"/>
    <w:p w:rsidR="00D30DE2" w:rsidRPr="009212B3" w:rsidRDefault="00D30DE2" w:rsidP="00D30DE2"/>
    <w:p w:rsidR="009212B3" w:rsidRPr="009212B3" w:rsidRDefault="00E84D61" w:rsidP="009212B3">
      <w:pPr>
        <w:pStyle w:val="AmNumberTabs"/>
        <w:keepNext/>
      </w:pPr>
      <w:bookmarkStart w:id="2" w:name="DocEPLastPosition"/>
      <w:bookmarkEnd w:id="2"/>
      <w:r w:rsidRPr="00EE33FA">
        <w:rPr>
          <w:rStyle w:val="HideTWBExt"/>
          <w:b w:val="0"/>
        </w:rPr>
        <w:t>&lt;RepeatBlock-Amend&gt;</w:t>
      </w:r>
      <w:bookmarkStart w:id="3" w:name="restart"/>
      <w:r w:rsidRPr="00EE33FA">
        <w:rPr>
          <w:rStyle w:val="HideTWBExt"/>
          <w:b w:val="0"/>
        </w:rPr>
        <w:t>&lt;Amend&gt;</w:t>
      </w:r>
      <w:r>
        <w:t>Predlog spremembe</w:t>
      </w:r>
      <w:r>
        <w:tab/>
      </w:r>
      <w:r>
        <w:tab/>
      </w:r>
      <w:r w:rsidRPr="00EE33FA">
        <w:rPr>
          <w:rStyle w:val="HideTWBExt"/>
          <w:b w:val="0"/>
        </w:rPr>
        <w:t>&lt;NumAm&gt;</w:t>
      </w:r>
      <w:r>
        <w:t>1</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Uvodna izjava 1</w:t>
      </w:r>
      <w:r w:rsidRPr="00EE33FA">
        <w:rPr>
          <w:rStyle w:val="HideTWBExt"/>
          <w:b w:val="0"/>
        </w:rPr>
        <w:t>&lt;/Article&gt;</w:t>
      </w:r>
      <w:bookmarkEnd w:id="3"/>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(1)</w:t>
            </w:r>
            <w:r>
              <w:tab/>
              <w:t>Z Direktivo (EU) 2019/879 Evropskega parlamenta in Sveta</w:t>
            </w:r>
            <w:r>
              <w:rPr>
                <w:vertAlign w:val="superscript"/>
              </w:rPr>
              <w:t>16</w:t>
            </w:r>
            <w:r>
              <w:t xml:space="preserve"> ter Uredbo (EU) 2019/877 Evropskega parlamenta in Sveta</w:t>
            </w:r>
            <w:r>
              <w:rPr>
                <w:vertAlign w:val="superscript"/>
              </w:rPr>
              <w:t>17</w:t>
            </w:r>
            <w:r>
              <w:t xml:space="preserve"> se je spremenila minimalna zahteva glede kapitala in kvalificiranih obveznosti (v nadaljnjem besedilu: MREL) iz Direktive 2014/59/EU Evropskega parlamenta in Sveta</w:t>
            </w:r>
            <w:r>
              <w:rPr>
                <w:vertAlign w:val="superscript"/>
              </w:rPr>
              <w:t>18</w:t>
            </w:r>
            <w:r>
              <w:t xml:space="preserve"> ter Uredbe (EU) št. 806/2014 Evropskega parlamenta in Sveta</w:t>
            </w:r>
            <w:r>
              <w:rPr>
                <w:vertAlign w:val="superscript"/>
              </w:rPr>
              <w:t>19</w:t>
            </w:r>
            <w:r>
              <w:t>, ki se uporablja za kreditne institucije in investicijska podjetja (v nadaljnjem besedilu: institucije) s sedežem v Uniji ter za vse druge subjekte, ki spadajo na področje uporabe Direktive 2014/59/EU ali Uredbe (EU) št. 806/2014 (v nadaljnjem besedilu: subjekti). S temi spremembami se je določilo, da lahko notranjo MREL, tj. MREL, ki se uporablja za institucije in subjekte, ki so podrejene družbe subjektov v postopku reševanja, vendar sami niso subjekti v postopku reševanja, ti subjekti izpolnijo z instrumenti, ki so bili izdani subjektu v postopku reševanja in jih ta kupi bodisi neposredno bodisi posredno prek drugih subjektov v isti skupini v postopku reševanja.</w:t>
            </w:r>
          </w:p>
        </w:tc>
        <w:tc>
          <w:tcPr>
            <w:tcW w:w="4876" w:type="dxa"/>
            <w:hideMark/>
          </w:tcPr>
          <w:p w:rsidR="009212B3" w:rsidRPr="009212B3" w:rsidRDefault="00E84D61" w:rsidP="00E61564">
            <w:pPr>
              <w:pStyle w:val="Normal6"/>
              <w:rPr>
                <w:szCs w:val="24"/>
              </w:rPr>
            </w:pPr>
            <w:r>
              <w:t>(1)</w:t>
            </w:r>
            <w:r>
              <w:tab/>
              <w:t>Z Direktivo (EU) 2019/879 Evropskega parlamenta in Sveta</w:t>
            </w:r>
            <w:r>
              <w:rPr>
                <w:vertAlign w:val="superscript"/>
              </w:rPr>
              <w:t>16</w:t>
            </w:r>
            <w:r>
              <w:t xml:space="preserve"> ter Uredbo (EU) 2019/877 Evropskega parlamenta in Sveta</w:t>
            </w:r>
            <w:r>
              <w:rPr>
                <w:vertAlign w:val="superscript"/>
              </w:rPr>
              <w:t>17</w:t>
            </w:r>
            <w:r>
              <w:t xml:space="preserve"> se je spremenila minimalna zahteva glede kapitala in kvalificiranih obveznosti (v nadaljnjem besedilu: MREL) iz Direktive 2014/59/EU Evropskega parlamenta in Sveta</w:t>
            </w:r>
            <w:r>
              <w:rPr>
                <w:vertAlign w:val="superscript"/>
              </w:rPr>
              <w:t>18</w:t>
            </w:r>
            <w:r>
              <w:t xml:space="preserve"> ter Uredbe (EU) št. 806/2014 Evropskega parlamenta in Sveta</w:t>
            </w:r>
            <w:r>
              <w:rPr>
                <w:vertAlign w:val="superscript"/>
              </w:rPr>
              <w:t>19</w:t>
            </w:r>
            <w:r>
              <w:t xml:space="preserve">, ki se uporablja za kreditne institucije in investicijska podjetja (v nadaljnjem besedilu: institucije) s sedežem v Uniji ter za vse druge subjekte, ki spadajo na področje uporabe Direktive 2014/59/EU ali Uredbe (EU) št. 806/2014 (v nadaljnjem besedilu: subjekti). S temi spremembami se je določilo, da lahko notranjo MREL, tj. MREL, ki se uporablja za institucije in subjekte, ki so podrejene družbe subjektov v postopku reševanja, vendar sami niso subjekti v postopku reševanja, ti </w:t>
            </w:r>
            <w:r>
              <w:rPr>
                <w:b/>
                <w:i/>
              </w:rPr>
              <w:t xml:space="preserve">institucije in </w:t>
            </w:r>
            <w:r>
              <w:t>subjekti izpolnijo z instrumenti, ki so bili izdani subjektu v postopku reševanja in jih ta kupi bodisi neposredno bodisi posredno prek drugih subjektov v isti skupini v postopku reševanja.</w:t>
            </w:r>
          </w:p>
        </w:tc>
      </w:tr>
      <w:tr w:rsidR="008C1A04" w:rsidTr="00E61564">
        <w:trPr>
          <w:jc w:val="center"/>
        </w:trPr>
        <w:tc>
          <w:tcPr>
            <w:tcW w:w="4876" w:type="dxa"/>
            <w:hideMark/>
          </w:tcPr>
          <w:p w:rsidR="009212B3" w:rsidRPr="009212B3" w:rsidRDefault="00E84D61" w:rsidP="00E61564">
            <w:pPr>
              <w:pStyle w:val="Normal6"/>
            </w:pPr>
            <w:r>
              <w:t>__________________</w:t>
            </w:r>
          </w:p>
        </w:tc>
        <w:tc>
          <w:tcPr>
            <w:tcW w:w="4876" w:type="dxa"/>
            <w:hideMark/>
          </w:tcPr>
          <w:p w:rsidR="009212B3" w:rsidRPr="009212B3" w:rsidRDefault="00E84D61" w:rsidP="00E61564">
            <w:pPr>
              <w:pStyle w:val="Normal6"/>
              <w:rPr>
                <w:szCs w:val="24"/>
              </w:rPr>
            </w:pPr>
            <w:r>
              <w:t>__________________</w:t>
            </w:r>
          </w:p>
        </w:tc>
      </w:tr>
      <w:tr w:rsidR="008C1A04" w:rsidTr="00E61564">
        <w:trPr>
          <w:jc w:val="center"/>
        </w:trPr>
        <w:tc>
          <w:tcPr>
            <w:tcW w:w="4876" w:type="dxa"/>
            <w:hideMark/>
          </w:tcPr>
          <w:p w:rsidR="009212B3" w:rsidRPr="009212B3" w:rsidRDefault="00E84D61" w:rsidP="00E61564">
            <w:pPr>
              <w:pStyle w:val="Normal6"/>
            </w:pPr>
            <w:r>
              <w:rPr>
                <w:vertAlign w:val="superscript"/>
              </w:rPr>
              <w:t>16</w:t>
            </w:r>
            <w:r>
              <w:t xml:space="preserve"> Direktiva (EU) 2019/879 Evropskega parlamenta in Sveta z dne 20. maja 2019 o spremembi Direktive 2014/59/EU glede sposobnosti kreditnih institucij in investicijskih podjetij za pokrivanje izgub in dokapitalizacijo ter Direktive 98/26/ES (UL L 150, 7.6.2019, str. 296).</w:t>
            </w:r>
          </w:p>
        </w:tc>
        <w:tc>
          <w:tcPr>
            <w:tcW w:w="4876" w:type="dxa"/>
            <w:hideMark/>
          </w:tcPr>
          <w:p w:rsidR="009212B3" w:rsidRPr="009212B3" w:rsidRDefault="00E84D61" w:rsidP="00E61564">
            <w:pPr>
              <w:pStyle w:val="Normal6"/>
              <w:rPr>
                <w:szCs w:val="24"/>
              </w:rPr>
            </w:pPr>
            <w:r>
              <w:rPr>
                <w:vertAlign w:val="superscript"/>
              </w:rPr>
              <w:t>16</w:t>
            </w:r>
            <w:r>
              <w:t xml:space="preserve"> Direktiva (EU) 2019/879 Evropskega parlamenta in Sveta z dne 20. maja 2019 o spremembi Direktive 2014/59/EU glede sposobnosti kreditnih institucij in investicijskih podjetij za pokrivanje izgub in dokapitalizacijo ter Direktive 98/26/ES (UL L 150, 7.6.2019, str. 296).</w:t>
            </w:r>
          </w:p>
        </w:tc>
      </w:tr>
      <w:tr w:rsidR="008C1A04" w:rsidTr="00E61564">
        <w:trPr>
          <w:jc w:val="center"/>
        </w:trPr>
        <w:tc>
          <w:tcPr>
            <w:tcW w:w="4876" w:type="dxa"/>
            <w:hideMark/>
          </w:tcPr>
          <w:p w:rsidR="009212B3" w:rsidRPr="009212B3" w:rsidRDefault="00E84D61" w:rsidP="00E61564">
            <w:pPr>
              <w:pStyle w:val="Normal6"/>
            </w:pPr>
            <w:r>
              <w:rPr>
                <w:vertAlign w:val="superscript"/>
              </w:rPr>
              <w:t>17</w:t>
            </w:r>
            <w:r>
              <w:t xml:space="preserve"> Uredba (EU) 2019/877 Evropskega parlamenta in Sveta z dne 20. maja 2019 o spremembi Uredbe (EU) št. 806/2014 glede sposobnosti kreditnih institucij in investicijskih podjetij za pokrivanje izgub in dokapitalizacijo (UL L 150, 7.6.2019, str. 226).</w:t>
            </w:r>
          </w:p>
        </w:tc>
        <w:tc>
          <w:tcPr>
            <w:tcW w:w="4876" w:type="dxa"/>
            <w:hideMark/>
          </w:tcPr>
          <w:p w:rsidR="009212B3" w:rsidRPr="009212B3" w:rsidRDefault="00E84D61" w:rsidP="00E61564">
            <w:pPr>
              <w:pStyle w:val="Normal6"/>
              <w:rPr>
                <w:szCs w:val="24"/>
              </w:rPr>
            </w:pPr>
            <w:r>
              <w:rPr>
                <w:vertAlign w:val="superscript"/>
              </w:rPr>
              <w:t>17</w:t>
            </w:r>
            <w:r>
              <w:t xml:space="preserve"> Uredba (EU) 2019/877 Evropskega parlamenta in Sveta z dne 20. maja 2019 o spremembi Uredbe (EU) št. 806/2014 glede sposobnosti kreditnih institucij in investicijskih podjetij za pokrivanje izgub in dokapitalizacijo (UL L 150, 7.6.2019, str. 226).</w:t>
            </w:r>
          </w:p>
        </w:tc>
      </w:tr>
      <w:tr w:rsidR="008C1A04" w:rsidTr="00E61564">
        <w:trPr>
          <w:jc w:val="center"/>
        </w:trPr>
        <w:tc>
          <w:tcPr>
            <w:tcW w:w="4876" w:type="dxa"/>
            <w:hideMark/>
          </w:tcPr>
          <w:p w:rsidR="009212B3" w:rsidRPr="009212B3" w:rsidRDefault="00E84D61" w:rsidP="00E61564">
            <w:pPr>
              <w:pStyle w:val="Normal6"/>
            </w:pPr>
            <w:r>
              <w:rPr>
                <w:vertAlign w:val="superscript"/>
              </w:rPr>
              <w:t>18</w:t>
            </w:r>
            <w:r>
              <w:t xml:space="preserve"> Direktiva 2014/59/EU Evropskega parlamenta in Sveta z dne 15. maja 2014 o vzpostavitvi okvira za sanacijo ter reševanje kreditnih institucij in investicijskih podjetij ter o spremembi Direktive Sveta 82/891/EGS ter direktiv 2001/24/ES, 2002/47/ES, 2004/25/ES, 2005/56/ES, 2007/36/ES, 2011/35/EU, 2012/30/EU in 2013/36/EU in uredb (EU) št. 1093/2010 ter (EU) št. 648/2012 Evropskega parlamenta in Sveta (UL L 173, 12.6.2014, str. 190).</w:t>
            </w:r>
          </w:p>
        </w:tc>
        <w:tc>
          <w:tcPr>
            <w:tcW w:w="4876" w:type="dxa"/>
            <w:hideMark/>
          </w:tcPr>
          <w:p w:rsidR="009212B3" w:rsidRPr="009212B3" w:rsidRDefault="00E84D61" w:rsidP="00E61564">
            <w:pPr>
              <w:pStyle w:val="Normal6"/>
              <w:rPr>
                <w:szCs w:val="24"/>
              </w:rPr>
            </w:pPr>
            <w:r>
              <w:rPr>
                <w:vertAlign w:val="superscript"/>
              </w:rPr>
              <w:t>18</w:t>
            </w:r>
            <w:r>
              <w:t xml:space="preserve"> Direktiva 2014/59/EU Evropskega parlamenta in Sveta z dne 15. maja 2014 o vzpostavitvi okvira za sanacijo ter reševanje kreditnih institucij in investicijskih podjetij ter o spremembi Direktive Sveta 82/891/EGS ter direktiv 2001/24/ES, 2002/47/ES, 2004/25/ES, 2005/56/ES, 2007/36/ES, 2011/35/EU, 2012/30/EU in 2013/36/EU in uredb (EU) št. 1093/2010 ter (EU) št. 648/2012 Evropskega parlamenta in Sveta (UL L 173, 12.6.2014, str. 190).</w:t>
            </w:r>
          </w:p>
        </w:tc>
      </w:tr>
      <w:tr w:rsidR="008C1A04" w:rsidTr="00E61564">
        <w:trPr>
          <w:jc w:val="center"/>
        </w:trPr>
        <w:tc>
          <w:tcPr>
            <w:tcW w:w="4876" w:type="dxa"/>
            <w:hideMark/>
          </w:tcPr>
          <w:p w:rsidR="009212B3" w:rsidRPr="009212B3" w:rsidRDefault="00E84D61" w:rsidP="00E61564">
            <w:pPr>
              <w:pStyle w:val="Normal6"/>
            </w:pPr>
            <w:r>
              <w:rPr>
                <w:vertAlign w:val="superscript"/>
              </w:rPr>
              <w:t>19</w:t>
            </w:r>
            <w:r>
              <w:t xml:space="preserve"> Uredba (EU) št. 806/2014 Evropskega parlamenta in Sveta z dne 15. julija 2014 o določitvi enotnih pravil in enotnega postopka za reševanje kreditnih institucij in določenih investicijskih podjetij v okviru enotnega mehanizma za reševanje in enotnega sklada za reševanje ter o spremembi Uredbe (EU) št. 1093/2010 (UL L 225, 30.7.2014, str. 1).</w:t>
            </w:r>
          </w:p>
        </w:tc>
        <w:tc>
          <w:tcPr>
            <w:tcW w:w="4876" w:type="dxa"/>
            <w:hideMark/>
          </w:tcPr>
          <w:p w:rsidR="009212B3" w:rsidRPr="009212B3" w:rsidRDefault="00E84D61" w:rsidP="00E61564">
            <w:pPr>
              <w:pStyle w:val="Normal6"/>
              <w:rPr>
                <w:szCs w:val="24"/>
              </w:rPr>
            </w:pPr>
            <w:r>
              <w:rPr>
                <w:vertAlign w:val="superscript"/>
              </w:rPr>
              <w:t>19</w:t>
            </w:r>
            <w:r>
              <w:t xml:space="preserve"> Uredba (EU) št. 806/2014 Evropskega parlamenta in Sveta z dne 15. julija 2014 o določitvi enotnih pravil in enotnega postopka za reševanje kreditnih institucij in določenih investicijskih podjetij v okviru enotnega mehanizma za reševanje in enotnega sklada za reševanje ter o spremembi Uredbe (EU) št. 1093/2010 (UL L 225, 30.7.2014, str. 1).</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2</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Uvodna izjava 3</w:t>
      </w:r>
      <w:r w:rsidRPr="00EE33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(3)</w:t>
            </w:r>
            <w:r>
              <w:tab/>
              <w:t>Komisija je pri pregledu ugotovila, da bi bilo primerno in sorazmerno s cilji pravil o notranji MREL, da se organom za reševanje dovoli, da notranjo MREL določijo na konsolidirani podlagi za niz subjektov, ki je širši od tistega, ki izhaja iz uporabe Direktive 2014/59/EU in Uredbe (EU) št. 806/2014, kadar tak širši razpon zajema institucije in subjekte, ki sami niso subjekti v postopku reševanja, vendar so podrejene družbe subjektov v postopku reševanja in sami obvladujejo podrejene družbe</w:t>
            </w:r>
            <w:r>
              <w:rPr>
                <w:b/>
                <w:i/>
              </w:rPr>
              <w:t>, za katere velja MREL</w:t>
            </w:r>
            <w:r>
              <w:t xml:space="preserve"> (v nadaljnjem besedilu: vmesni subjekti). To bi veljalo zlasti za tiste bančne skupine, ki jih vodi holding. V takih primerih vmesni subjekti običajno centralizirajo izpostavljenosti znotraj skupine in usmerjajo vire, primerne za notranjo MREL, ki jih je predhodno razporedil subjekt v postopku reševanja. Zaradi te strukture bi pravila o odbitkih nesorazmerno </w:t>
            </w:r>
            <w:r>
              <w:rPr>
                <w:b/>
                <w:i/>
              </w:rPr>
              <w:t>vplivala</w:t>
            </w:r>
            <w:r>
              <w:t xml:space="preserve"> na take vmesne subjekte. Komisija je ugotovila tudi, da bi</w:t>
            </w:r>
            <w:r>
              <w:rPr>
                <w:b/>
                <w:i/>
              </w:rPr>
              <w:t xml:space="preserve"> bil</w:t>
            </w:r>
            <w:r>
              <w:t xml:space="preserve"> okvir </w:t>
            </w:r>
            <w:r>
              <w:rPr>
                <w:b/>
                <w:i/>
              </w:rPr>
              <w:t xml:space="preserve">za </w:t>
            </w:r>
            <w:r>
              <w:t xml:space="preserve">MREL bolj sorazmeren, če </w:t>
            </w:r>
            <w:r>
              <w:rPr>
                <w:b/>
                <w:i/>
              </w:rPr>
              <w:t>se izdaje subjektov za likvidacijo izključijo iz obsega</w:t>
            </w:r>
            <w:r>
              <w:t xml:space="preserve"> izpostavljenosti, ki jih mora vmesni subjekt odbiti</w:t>
            </w:r>
            <w:r>
              <w:rPr>
                <w:b/>
                <w:i/>
              </w:rPr>
              <w:t xml:space="preserve"> v skladu z mehanizmom odbitkov</w:t>
            </w:r>
            <w:r>
              <w:t xml:space="preserve"> za </w:t>
            </w:r>
            <w:r>
              <w:rPr>
                <w:b/>
                <w:i/>
              </w:rPr>
              <w:t>posredni vpis virov, primernih za notranjo</w:t>
            </w:r>
            <w:r>
              <w:t xml:space="preserve"> MREL. V </w:t>
            </w:r>
            <w:r>
              <w:rPr>
                <w:b/>
                <w:i/>
              </w:rPr>
              <w:t>primeru propada subjekt za likvidacijo ne</w:t>
            </w:r>
            <w:r>
              <w:t xml:space="preserve"> bo </w:t>
            </w:r>
            <w:r>
              <w:rPr>
                <w:b/>
                <w:i/>
              </w:rPr>
              <w:t>potreboval podpore subjekta v postopku reševanja, s čimer bo odpravljena potreba po zaščiti</w:t>
            </w:r>
            <w:r>
              <w:t xml:space="preserve"> mehanizmov izgub in prenosov kapitala znotraj skupin v postopku reševanja, kar je bil namen pravil o odbitkih, uvedenih z Uredbo</w:t>
            </w:r>
            <w:r>
              <w:rPr>
                <w:b/>
                <w:i/>
              </w:rPr>
              <w:t xml:space="preserve"> </w:t>
            </w:r>
            <w:r>
              <w:t>(EU)</w:t>
            </w:r>
            <w:r>
              <w:rPr>
                <w:b/>
                <w:i/>
              </w:rPr>
              <w:t xml:space="preserve"> </w:t>
            </w:r>
            <w:r>
              <w:t>2022/2036. Nasprotno bo moral subjekt v postopku reševanja v primeru težav ali propada podpreti preostale subjekte skupine v postopku reševanja. Potrebni viri za MREL bi zato morali biti prisotni na vseh ravneh skupine v postopku reševanja, njihova razpoložljivost za pokrivanje izgub in dokapitalizacijo pa bi morala biti zagotovljena z mehanizmom odbitkov. Zato je Komisija v pregledu ugotovila, da bi morali vmesni subjekti še naprej odbiti celoten znesek svojih deležev virov, primernih za notranjo MREL, ki jih izdajo drugi subjekti, ki niso določeni za likvidacijo, v isti skupini v postopku reševanja.</w:t>
            </w:r>
          </w:p>
        </w:tc>
        <w:tc>
          <w:tcPr>
            <w:tcW w:w="4876" w:type="dxa"/>
            <w:hideMark/>
          </w:tcPr>
          <w:p w:rsidR="009212B3" w:rsidRPr="009212B3" w:rsidRDefault="00E84D61" w:rsidP="00E61564">
            <w:pPr>
              <w:pStyle w:val="Normal6"/>
              <w:rPr>
                <w:szCs w:val="24"/>
              </w:rPr>
            </w:pPr>
            <w:r>
              <w:t>(3)</w:t>
            </w:r>
            <w:r>
              <w:tab/>
              <w:t xml:space="preserve">Komisija je pri pregledu ugotovila, da bi bilo primerno in sorazmerno s cilji pravil o notranji MREL, da se organom za reševanje dovoli, da notranjo MREL določijo na konsolidirani podlagi za niz subjektov, ki je širši od tistega, ki izhaja iz uporabe Direktive 2014/59/EU in Uredbe (EU) št. 806/2014, kadar tak širši razpon zajema institucije in subjekte, ki sami niso subjekti v postopku reševanja, vendar so podrejene družbe subjektov v postopku reševanja in sami obvladujejo </w:t>
            </w:r>
            <w:r>
              <w:rPr>
                <w:b/>
                <w:i/>
              </w:rPr>
              <w:t xml:space="preserve">druge </w:t>
            </w:r>
            <w:r>
              <w:t>podrejene družbe (v nadaljnjem besedilu: vmesni subjekti)</w:t>
            </w:r>
            <w:r>
              <w:rPr>
                <w:b/>
                <w:i/>
              </w:rPr>
              <w:t xml:space="preserve"> v isti skupini v postopku reševanja</w:t>
            </w:r>
            <w:r>
              <w:t xml:space="preserve">. To bi veljalo zlasti za tiste bančne skupine, ki jih vodi holding. V takih primerih vmesni subjekti običajno centralizirajo izpostavljenosti znotraj skupine in usmerjajo vire, primerne za notranjo MREL, ki jih je predhodno razporedil subjekt v postopku reševanja. Zaradi te strukture bi </w:t>
            </w:r>
            <w:r>
              <w:rPr>
                <w:b/>
                <w:i/>
              </w:rPr>
              <w:t xml:space="preserve">utegnila </w:t>
            </w:r>
            <w:r>
              <w:t xml:space="preserve">pravila o odbitkih nesorazmerno </w:t>
            </w:r>
            <w:r>
              <w:rPr>
                <w:b/>
                <w:i/>
              </w:rPr>
              <w:t>vplivati</w:t>
            </w:r>
            <w:r>
              <w:t xml:space="preserve"> na take vmesne subjekte. Komisija je ugotovila tudi, da bi okvir MREL</w:t>
            </w:r>
            <w:r>
              <w:rPr>
                <w:b/>
                <w:i/>
              </w:rPr>
              <w:t xml:space="preserve"> postal</w:t>
            </w:r>
            <w:r>
              <w:t xml:space="preserve"> bolj sorazmeren, če </w:t>
            </w:r>
            <w:r>
              <w:rPr>
                <w:b/>
                <w:i/>
              </w:rPr>
              <w:t>bi bila prilagojena pravila o obsegu</w:t>
            </w:r>
            <w:r>
              <w:t xml:space="preserve"> izpostavljenosti, ki jih mora vmesni subjekt odbiti</w:t>
            </w:r>
            <w:r>
              <w:rPr>
                <w:b/>
                <w:i/>
              </w:rPr>
              <w:t>, kadar je izdajatelj subjekt za likvidacijo,</w:t>
            </w:r>
            <w:r>
              <w:t xml:space="preserve"> za </w:t>
            </w:r>
            <w:r>
              <w:rPr>
                <w:b/>
                <w:i/>
              </w:rPr>
              <w:t>katerega ne velja odločitev o</w:t>
            </w:r>
            <w:r>
              <w:t xml:space="preserve"> MREL.</w:t>
            </w:r>
            <w:r>
              <w:rPr>
                <w:b/>
                <w:i/>
              </w:rPr>
              <w:t xml:space="preserve"> </w:t>
            </w:r>
            <w:r>
              <w:t xml:space="preserve">V </w:t>
            </w:r>
            <w:r>
              <w:rPr>
                <w:b/>
                <w:i/>
              </w:rPr>
              <w:t>takih primerih se ne pričakuje, da</w:t>
            </w:r>
            <w:r>
              <w:t xml:space="preserve"> bo </w:t>
            </w:r>
            <w:r>
              <w:rPr>
                <w:b/>
                <w:i/>
              </w:rPr>
              <w:t>treba v zvezi s temi subjekti za likvidacijo izvajati pooblastila za odpis in konverzijo, zato</w:t>
            </w:r>
            <w:r>
              <w:t xml:space="preserve"> mehanizmov izgub in prenosov kapitala znotraj skupin v postopku reševanja</w:t>
            </w:r>
            <w:r>
              <w:rPr>
                <w:b/>
                <w:i/>
              </w:rPr>
              <w:t xml:space="preserve"> ne bo treba ohraniti</w:t>
            </w:r>
            <w:r>
              <w:t>, kar je bil namen pravil o odbitkih, uvedenih z Uredbo</w:t>
            </w:r>
            <w:r>
              <w:rPr>
                <w:b/>
                <w:i/>
              </w:rPr>
              <w:t> </w:t>
            </w:r>
            <w:r>
              <w:t>(EU)</w:t>
            </w:r>
            <w:r>
              <w:rPr>
                <w:b/>
                <w:i/>
              </w:rPr>
              <w:t> </w:t>
            </w:r>
            <w:r>
              <w:t>2022/2036. Nasprotno bo moral subjekt v postopku reševanja v primeru težav ali propada podpreti preostale subjekte skupine v postopku reševanja. Potrebni viri za MREL bi zato morali biti prisotni na vseh ravneh skupine v postopku reševanja, njihova razpoložljivost za pokrivanje izgub in dokapitalizacijo pa bi morala biti zagotovljena z mehanizmom odbitkov. Zato je Komisija v pregledu ugotovila, da bi morali vmesni subjekti še naprej odbiti celoten znesek svojih deležev virov, primernih za notranjo MREL, ki jih izdajo drugi subjekti, ki niso določeni za likvidacijo, v isti skupini v postopku reševanja.</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3</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Uvodna izjava 5</w:t>
      </w:r>
      <w:r w:rsidRPr="00EE33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(5)</w:t>
            </w:r>
            <w:r>
              <w:tab/>
              <w:t xml:space="preserve">Za zagotovitev, da je možnost izpolnjevanja MREL na konsolidirani podlagi na voljo le v ustreznih primerih, opredeljenih v pregledu Komisije, in ne vodi do pomanjkanja virov, primernih za notranjo MREL, v skupini v postopku reševanja, bi moralo biti pooblastilo za določitev notranje MREL na konsolidirani podlagi za vmesne subjekte diskrecijska pravica organa za reševanje in zanj bi morali veljati določeni pogoji. Vmesni subjekt bi moral biti edina neposredna podrejena družba, tj. institucija ali subjekt, subjekta v postopku reševanja, ki je nadrejeni finančni holding v Uniji ali nadrejeni mešani finančni holding v Uniji, ima sedež v isti državi članici in je del iste skupine v postopku reševanja. Alternativno bi moral zadevni vmesni subjekt izpolnjevati dodatno kapitalsko zahtevo ali zahtevo po skupnem blažilniku na podlagi svojega konsolidiranega položaja. Vendar v obeh primerih izpolnjevanje notranje MREL na konsolidirani podlagi po oceni organa za reševanje ne bi smelo </w:t>
            </w:r>
            <w:r>
              <w:rPr>
                <w:b/>
                <w:i/>
              </w:rPr>
              <w:t xml:space="preserve">bistveno </w:t>
            </w:r>
            <w:r>
              <w:t>negativno vplivati na rešljivost zadevne skupine v postopku reševanja niti na uporabo pooblastila organa za reševanje za odpis ali konverzijo zadevnih kapitalskih instrumentov in kvalificiranih obveznosti zadevnega vmesnega subjekta ali drugih subjektov v njegovi skupini v postopku reševanja.</w:t>
            </w:r>
          </w:p>
        </w:tc>
        <w:tc>
          <w:tcPr>
            <w:tcW w:w="4876" w:type="dxa"/>
            <w:hideMark/>
          </w:tcPr>
          <w:p w:rsidR="009212B3" w:rsidRPr="009212B3" w:rsidRDefault="00E84D61" w:rsidP="00E61564">
            <w:pPr>
              <w:pStyle w:val="Normal6"/>
              <w:rPr>
                <w:szCs w:val="24"/>
              </w:rPr>
            </w:pPr>
            <w:r>
              <w:t>(5)</w:t>
            </w:r>
            <w:r>
              <w:tab/>
              <w:t xml:space="preserve">Za zagotovitev, da je možnost izpolnjevanja MREL na konsolidirani podlagi na voljo le v ustreznih primerih, opredeljenih v pregledu Komisije, in ne vodi do pomanjkanja virov, primernih za notranjo MREL, v skupini v postopku reševanja, bi moralo biti pooblastilo za določitev notranje MREL na konsolidirani podlagi za vmesne subjekte diskrecijska pravica organa za reševanje in zanj bi morali veljati določeni pogoji. Vmesni subjekt bi moral biti edina neposredna podrejena družba, tj. institucija ali subjekt, subjekta v postopku reševanja, ki je nadrejeni finančni holding v Uniji ali nadrejeni mešani finančni holding v Uniji, ima sedež v isti državi članici in je del iste skupine v postopku reševanja. Alternativno bi moral zadevni vmesni subjekt izpolnjevati dodatno kapitalsko zahtevo ali zahtevo po skupnem blažilniku na podlagi svojega konsolidiranega položaja. Vendar v obeh primerih izpolnjevanje notranje MREL na konsolidirani podlagi po oceni organa za reševanje ne bi smelo negativno vplivati na rešljivost zadevne skupine v postopku reševanja niti na uporabo pooblastila organa za reševanje za odpis ali konverzijo zadevnih kapitalskih instrumentov in kvalificiranih obveznosti zadevnega vmesnega subjekta ali drugih subjektov v njegovi skupini v postopku reševanja. </w:t>
            </w:r>
            <w:r>
              <w:rPr>
                <w:b/>
                <w:i/>
              </w:rPr>
              <w:t>Eden od primerov, v katerih bi določitev notranje MREL na konsolidirani podlagi škodljivo vplivala na rešljivost skupine v postopku reševanja, je, da z zneskom navedene MREL ne bi bila zagotovljena skladnost s posameznimi kapitalskimi zahtevami, ki veljajo po izvedbi pooblastil za odpis in konverzijo.</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4</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Uvodna izjava 6</w:t>
      </w:r>
      <w:r w:rsidRPr="00EE33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(6)</w:t>
            </w:r>
            <w:r>
              <w:tab/>
              <w:t xml:space="preserve">V skladu s členom 45f(2) Direktive 2014/59/EU in členom 12 g(2) Uredbe (EU) št. 806/2014 lahko vmesni subjekti izpolnijo konsolidirano notranjo MREL z uporabo kapitala in kvalificiranih obveznosti. Da bi v celoti uresničili možnost izpolnjevanja MREL na konsolidirani podlagi, je treba zagotoviti, da se kvalificirane obveznosti vmesnih subjektov izračunajo na način, ki je podoben izračunu kapitala. Merila primernosti za kvalificirane obveznosti, ki se lahko uporabijo za izpolnjevanje notranje MREL na konsolidirani podlagi, bi zato morala biti usklajena s pravili za izračun konsolidiranega kapitala iz Uredbe (EU) št. 575/2013. Za zagotovitev skladnosti z obstoječimi pravili o zunanji MREL bi morala ta uskladitev odražati tudi obstoječa pravila iz člena 45b(3) Direktive 2014/59/EU in člena 12d(3) Uredbe (EU) št. 806/2014 za izračun kvalificiranih obveznosti, ki jih lahko subjekti v postopku reševanja uporabijo za izpolnjevanje konsolidirane MREL. Zlasti je treba zagotoviti, da se kvalificirane obveznosti, ki jih izdajo podrejene družbe subjekta, za katerega se uporablja konsolidirana notranja MREL, in ki so </w:t>
            </w:r>
            <w:r>
              <w:rPr>
                <w:b/>
                <w:i/>
              </w:rPr>
              <w:t>v posesti</w:t>
            </w:r>
            <w:r>
              <w:t xml:space="preserve"> drugih subjektov iz iste skupine v postopku reševanja, vendar zunaj obsega konsolidacije, </w:t>
            </w:r>
            <w:r>
              <w:rPr>
                <w:b/>
                <w:i/>
              </w:rPr>
              <w:t>vključno s subjektom v postopku reševanja</w:t>
            </w:r>
            <w:r>
              <w:t>, ali obstoječih delničarjev, ki ne pripadajo isti skupini v postopku reševanja, upoštevajo pri kapitalu in kvalificiranih obveznostih subjekta, za katerega se uporablja konsolidirana notranja MREL.</w:t>
            </w:r>
          </w:p>
        </w:tc>
        <w:tc>
          <w:tcPr>
            <w:tcW w:w="4876" w:type="dxa"/>
            <w:hideMark/>
          </w:tcPr>
          <w:p w:rsidR="009212B3" w:rsidRPr="009212B3" w:rsidRDefault="00E84D61" w:rsidP="00E61564">
            <w:pPr>
              <w:pStyle w:val="Normal6"/>
              <w:rPr>
                <w:szCs w:val="24"/>
              </w:rPr>
            </w:pPr>
            <w:r>
              <w:t>(6)</w:t>
            </w:r>
            <w:r>
              <w:tab/>
              <w:t xml:space="preserve">V skladu s členom 45f(2) Direktive 2014/59/EU in členom 12 g(2) Uredbe (EU) št. 806/2014 lahko vmesni subjekti izpolnijo konsolidirano notranjo MREL z uporabo kapitala in kvalificiranih obveznosti. Da bi v celoti uresničili možnost izpolnjevanja MREL na konsolidirani podlagi, je treba zagotoviti, da se kvalificirane obveznosti vmesnih subjektov izračunajo na način, ki je podoben izračunu kapitala. Merila primernosti za kvalificirane obveznosti, ki se lahko uporabijo za izpolnjevanje notranje MREL na konsolidirani podlagi, bi zato morala biti usklajena s pravili za izračun konsolidiranega kapitala iz Uredbe (EU) št. 575/2013. Za zagotovitev skladnosti z obstoječimi pravili o zunanji MREL bi morala ta uskladitev odražati tudi obstoječa pravila iz člena 45b(3) Direktive 2014/59/EU in člena 12d(3) Uredbe (EU) št. 806/2014 za izračun kvalificiranih obveznosti, ki jih lahko subjekti v postopku reševanja uporabijo za izpolnjevanje konsolidirane MREL. Zlasti je treba zagotoviti, da se kvalificirane obveznosti, ki jih izdajo podrejene družbe subjekta, za katerega se uporablja konsolidirana notranja MREL, in ki so </w:t>
            </w:r>
            <w:r>
              <w:rPr>
                <w:b/>
                <w:i/>
              </w:rPr>
              <w:t>neposredno ali posredno prek</w:t>
            </w:r>
            <w:r>
              <w:t xml:space="preserve"> drugih subjektov iz iste skupine v postopku reševanja</w:t>
            </w:r>
            <w:r>
              <w:rPr>
                <w:b/>
                <w:i/>
              </w:rPr>
              <w:t xml:space="preserve"> v lasti subjekta v postopku reševanja</w:t>
            </w:r>
            <w:r>
              <w:t>, vendar zunaj obsega konsolidacije, ali obstoječih delničarjev, ki ne pripadajo isti skupini v postopku reševanja, upoštevajo pri kapitalu in kvalificiranih obveznostih subjekta, za katerega se uporablja konsolidirana notranja MREL.</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5</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Uvodna izjava 7</w:t>
      </w:r>
      <w:r w:rsidRPr="00EE33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(7)</w:t>
            </w:r>
            <w:r>
              <w:tab/>
              <w:t xml:space="preserve">Za </w:t>
            </w:r>
            <w:r>
              <w:rPr>
                <w:b/>
                <w:i/>
              </w:rPr>
              <w:t>subjekte</w:t>
            </w:r>
            <w:r>
              <w:t xml:space="preserve"> za likvidacijo</w:t>
            </w:r>
            <w:r>
              <w:rPr>
                <w:b/>
                <w:i/>
              </w:rPr>
              <w:t xml:space="preserve"> je</w:t>
            </w:r>
            <w:r>
              <w:t xml:space="preserve"> MREL </w:t>
            </w:r>
            <w:r>
              <w:rPr>
                <w:b/>
                <w:i/>
              </w:rPr>
              <w:t>običajno omejena na</w:t>
            </w:r>
            <w:r>
              <w:t xml:space="preserve"> znesek, potreben za </w:t>
            </w:r>
            <w:r>
              <w:rPr>
                <w:b/>
                <w:i/>
              </w:rPr>
              <w:t>pokrivanje</w:t>
            </w:r>
            <w:r>
              <w:t xml:space="preserve"> izgub, ki ustreza kapitalskim zahtevam. V takih primerih MREL za subjekt za likvidacijo ne vključuje nobene dodatne zahteve, neposredno povezane z okvirom za reševanje. To pomeni, da lahko subjekt za likvidacijo v celoti izpolni MREL z izpolnjevanjem kapitalskih zahtev in da namenska odločitev organa za reševanje o določitvi MREL ne prispeva k rešljivosti subjektov za likvidacijo na smiseln način. Taka odločitev vključuje številne postopkovne obveznosti za organe za reševanje in subjekte za likvidacijo brez ustrezne koristi v smislu boljše rešljivosti. Zato organi za reševanje ne bi smeli določiti MREL za subjekte za likvidacijo.</w:t>
            </w:r>
          </w:p>
        </w:tc>
        <w:tc>
          <w:tcPr>
            <w:tcW w:w="4876" w:type="dxa"/>
            <w:hideMark/>
          </w:tcPr>
          <w:p w:rsidR="009212B3" w:rsidRPr="009212B3" w:rsidRDefault="00E84D61" w:rsidP="00E61564">
            <w:pPr>
              <w:pStyle w:val="Normal6"/>
              <w:rPr>
                <w:szCs w:val="24"/>
              </w:rPr>
            </w:pPr>
            <w:r>
              <w:t>(7)</w:t>
            </w:r>
            <w:r>
              <w:tab/>
            </w:r>
            <w:r>
              <w:rPr>
                <w:b/>
                <w:i/>
              </w:rPr>
              <w:t>V skladu s sedanjim okvirom</w:t>
            </w:r>
            <w:r>
              <w:t xml:space="preserve"> za </w:t>
            </w:r>
            <w:r>
              <w:rPr>
                <w:b/>
                <w:i/>
              </w:rPr>
              <w:t>MREL se v primeru subjektov, določenih</w:t>
            </w:r>
            <w:r>
              <w:t xml:space="preserve"> za likvidacijo</w:t>
            </w:r>
            <w:r>
              <w:rPr>
                <w:b/>
                <w:i/>
              </w:rPr>
              <w:t>,</w:t>
            </w:r>
            <w:r>
              <w:t xml:space="preserve"> MREL </w:t>
            </w:r>
            <w:r>
              <w:rPr>
                <w:b/>
                <w:i/>
              </w:rPr>
              <w:t>večinoma določi kot</w:t>
            </w:r>
            <w:r>
              <w:t xml:space="preserve"> znesek, potreben za </w:t>
            </w:r>
            <w:r>
              <w:rPr>
                <w:b/>
                <w:i/>
              </w:rPr>
              <w:t>pokritje</w:t>
            </w:r>
            <w:r>
              <w:t xml:space="preserve"> izgub, ki ustreza kapitalskim zahtevam. V takih primerih MREL za subjekt za likvidacijo ne vključuje nobene dodatne zahteve, neposredno povezane z okvirom za reševanje. To pomeni, da lahko subjekt za likvidacijo v celoti izpolni MREL z izpolnjevanjem kapitalskih zahtev in da namenska odločitev organa za reševanje o določitvi MREL ne prispeva k rešljivosti subjektov za likvidacijo na smiseln način. Taka odločitev vključuje številne postopkovne obveznosti za organe za reševanje in subjekte za likvidacijo brez ustrezne koristi v smislu boljše rešljivosti. Zato organi za reševanje ne bi smeli določiti MREL za subjekte za likvidacijo.</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6</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Uvodna izjava 8</w:t>
      </w:r>
      <w:r w:rsidRPr="00EE33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(8)</w:t>
            </w:r>
            <w:r>
              <w:tab/>
            </w:r>
            <w:r>
              <w:rPr>
                <w:b/>
                <w:i/>
              </w:rPr>
              <w:t>Kadar organ</w:t>
            </w:r>
            <w:r>
              <w:t xml:space="preserve"> za reševanje </w:t>
            </w:r>
            <w:r>
              <w:rPr>
                <w:b/>
                <w:i/>
              </w:rPr>
              <w:t>meni, da subjekt, ki je del skupine</w:t>
            </w:r>
            <w:r>
              <w:t xml:space="preserve"> v postopku reševanja, šteje za subjekt za likvidacijo, </w:t>
            </w:r>
            <w:r>
              <w:rPr>
                <w:b/>
                <w:i/>
              </w:rPr>
              <w:t xml:space="preserve">se </w:t>
            </w:r>
            <w:r>
              <w:t>od vmesnih subjektov</w:t>
            </w:r>
            <w:r>
              <w:rPr>
                <w:b/>
                <w:i/>
              </w:rPr>
              <w:t xml:space="preserve"> ne bi smelo </w:t>
            </w:r>
            <w:r>
              <w:t>zahtevati, da od svoje zmogljivosti za notranjo MREL odbijejo svoje deleže v kapitalu</w:t>
            </w:r>
            <w:r>
              <w:rPr>
                <w:b/>
                <w:i/>
              </w:rPr>
              <w:t xml:space="preserve"> ali drugih obveznostih</w:t>
            </w:r>
            <w:r>
              <w:t xml:space="preserve">, ki bi </w:t>
            </w:r>
            <w:r>
              <w:rPr>
                <w:b/>
                <w:i/>
              </w:rPr>
              <w:t>izpolnjevali</w:t>
            </w:r>
            <w:r>
              <w:t xml:space="preserve"> pogoje za izpolnjevanje notranje MREL </w:t>
            </w:r>
            <w:r>
              <w:rPr>
                <w:b/>
                <w:i/>
              </w:rPr>
              <w:t>in ki jih izdajo subjekti za likvidacijo. V takem primeru subjektu</w:t>
            </w:r>
            <w:r>
              <w:t xml:space="preserve"> za </w:t>
            </w:r>
            <w:r>
              <w:rPr>
                <w:b/>
                <w:i/>
              </w:rPr>
              <w:t>likvidacijo ni več treba izpolnjevati MREL</w:t>
            </w:r>
            <w:r>
              <w:t xml:space="preserve">, </w:t>
            </w:r>
            <w:r>
              <w:rPr>
                <w:b/>
                <w:i/>
              </w:rPr>
              <w:t>zato ni posrednega vpisa virov</w:t>
            </w:r>
            <w:r>
              <w:t xml:space="preserve">, </w:t>
            </w:r>
            <w:r>
              <w:rPr>
                <w:b/>
                <w:i/>
              </w:rPr>
              <w:t>primernih za notranjo</w:t>
            </w:r>
            <w:r>
              <w:t xml:space="preserve"> MREL</w:t>
            </w:r>
            <w:r>
              <w:rPr>
                <w:b/>
                <w:i/>
              </w:rPr>
              <w:t>, prek verige, ki jo sestavljajo subjekt v postopku reševanja</w:t>
            </w:r>
            <w:r>
              <w:t xml:space="preserve">, </w:t>
            </w:r>
            <w:r>
              <w:rPr>
                <w:b/>
                <w:i/>
              </w:rPr>
              <w:t>vmesni subjekt in subjekt</w:t>
            </w:r>
            <w:r>
              <w:t xml:space="preserve"> za </w:t>
            </w:r>
            <w:r>
              <w:rPr>
                <w:b/>
                <w:i/>
              </w:rPr>
              <w:t>likvidacijo</w:t>
            </w:r>
            <w:r>
              <w:t xml:space="preserve">. V primeru propada strategija reševanja ne predvideva, da bi subjekt v postopku reševanja </w:t>
            </w:r>
            <w:r>
              <w:rPr>
                <w:b/>
                <w:i/>
              </w:rPr>
              <w:t>podpiral</w:t>
            </w:r>
            <w:r>
              <w:t xml:space="preserve"> subjekt za likvidacijo. To pomeni, da se </w:t>
            </w:r>
            <w:r>
              <w:rPr>
                <w:b/>
                <w:i/>
              </w:rPr>
              <w:t>prenos izgub s subjekta za likvidacijo</w:t>
            </w:r>
            <w:r>
              <w:t xml:space="preserve"> na subjekt v postopku reševanja </w:t>
            </w:r>
            <w:r>
              <w:rPr>
                <w:b/>
                <w:bCs/>
                <w:i/>
                <w:iCs/>
              </w:rPr>
              <w:t>prek vmesnega subjekta</w:t>
            </w:r>
            <w:r>
              <w:rPr>
                <w:b/>
                <w:i/>
              </w:rPr>
              <w:t xml:space="preserve"> ne bi pričakoval</w:t>
            </w:r>
            <w:r>
              <w:t xml:space="preserve">, prav tako pa ne </w:t>
            </w:r>
            <w:r>
              <w:rPr>
                <w:b/>
                <w:bCs/>
                <w:i/>
                <w:iCs/>
              </w:rPr>
              <w:t>bi bil</w:t>
            </w:r>
            <w:r>
              <w:t xml:space="preserve"> nadaljnji prenos kapitala v nasprotni smeri. Ta prilagoditev obsega deležev, ki se odbijejo v okviru posrednega vpisa virov, primernih za notranjo MREL, tako ne bi vplivala na bonitetno trdnost okvira.</w:t>
            </w:r>
          </w:p>
        </w:tc>
        <w:tc>
          <w:tcPr>
            <w:tcW w:w="4876" w:type="dxa"/>
            <w:hideMark/>
          </w:tcPr>
          <w:p w:rsidR="009212B3" w:rsidRPr="009212B3" w:rsidRDefault="00E84D61" w:rsidP="00E61564">
            <w:pPr>
              <w:pStyle w:val="Normal6"/>
              <w:rPr>
                <w:szCs w:val="24"/>
              </w:rPr>
            </w:pPr>
            <w:r>
              <w:t>(8)</w:t>
            </w:r>
            <w:r>
              <w:tab/>
            </w:r>
            <w:r>
              <w:rPr>
                <w:b/>
                <w:i/>
              </w:rPr>
              <w:t>Organi</w:t>
            </w:r>
            <w:r>
              <w:t xml:space="preserve"> za reševanje </w:t>
            </w:r>
            <w:r>
              <w:rPr>
                <w:b/>
                <w:i/>
              </w:rPr>
              <w:t>lahko pri pripravi načrtov reševanja in ocenjevanju rešljivosti skupin</w:t>
            </w:r>
            <w:r>
              <w:t xml:space="preserve"> v postopku reševanja</w:t>
            </w:r>
            <w:r>
              <w:rPr>
                <w:b/>
                <w:i/>
              </w:rPr>
              <w:t xml:space="preserve"> upoštevajo</w:t>
            </w:r>
            <w:r>
              <w:t xml:space="preserve">, </w:t>
            </w:r>
            <w:r>
              <w:rPr>
                <w:b/>
                <w:i/>
              </w:rPr>
              <w:t xml:space="preserve">da se subjekt v skupini </w:t>
            </w:r>
            <w:r>
              <w:t xml:space="preserve">šteje za subjekt za likvidacijo, </w:t>
            </w:r>
            <w:r>
              <w:rPr>
                <w:b/>
                <w:i/>
              </w:rPr>
              <w:t>ker v zvezi s tem subjektom ni predvideno izvajanje pooblastil za odpis in konverzijo. Če to velja, se lahko od subjekta v skupini ne zahteva, da ima kapital in kvalificirane obveznosti, ki presegajo njegove kapitalske zahteve. V teh okoliščinah bi bilo treba</w:t>
            </w:r>
            <w:r>
              <w:t xml:space="preserve"> od vmesnih subjektov zahtevati, da od svoje zmogljivosti za notranjo MREL odbijejo svoje deleže v kapitalu, ki </w:t>
            </w:r>
            <w:r>
              <w:rPr>
                <w:b/>
                <w:i/>
              </w:rPr>
              <w:t>jih izdajo subjekti za likvidacijo</w:t>
            </w:r>
            <w:r>
              <w:t xml:space="preserve">, </w:t>
            </w:r>
            <w:r>
              <w:rPr>
                <w:b/>
                <w:i/>
              </w:rPr>
              <w:t>za katere ne velja odločitev o</w:t>
            </w:r>
            <w:r>
              <w:t xml:space="preserve"> </w:t>
            </w:r>
            <w:r>
              <w:rPr>
                <w:b/>
                <w:bCs/>
                <w:i/>
                <w:iCs/>
              </w:rPr>
              <w:t>MREL</w:t>
            </w:r>
            <w:r>
              <w:rPr>
                <w:b/>
                <w:i/>
              </w:rPr>
              <w:t>. Ne bi pa se smelo od njih zahtevati, da odbijejo obveznosti</w:t>
            </w:r>
            <w:r>
              <w:t xml:space="preserve">, </w:t>
            </w:r>
            <w:r>
              <w:rPr>
                <w:b/>
                <w:i/>
              </w:rPr>
              <w:t xml:space="preserve">ki </w:t>
            </w:r>
            <w:r>
              <w:t xml:space="preserve">bi </w:t>
            </w:r>
            <w:r>
              <w:rPr>
                <w:b/>
                <w:i/>
              </w:rPr>
              <w:t xml:space="preserve">izpolnjevale </w:t>
            </w:r>
            <w:r>
              <w:t xml:space="preserve">pogoje za skladnost z notranjo MREL. V primeru propada strategija reševanja ne predvideva, da bi subjekt v postopku reševanja </w:t>
            </w:r>
            <w:r>
              <w:rPr>
                <w:b/>
                <w:i/>
              </w:rPr>
              <w:t>dokapitaliziral</w:t>
            </w:r>
            <w:r>
              <w:t xml:space="preserve"> subjekt za likvidacijo. To pomeni, da se </w:t>
            </w:r>
            <w:r>
              <w:rPr>
                <w:b/>
                <w:i/>
              </w:rPr>
              <w:t xml:space="preserve">ne pričakuje, da bi se izgube subjekta za likvidacijo, ki presegajo obstoječe kapitalske zahteve, </w:t>
            </w:r>
            <w:r>
              <w:rPr>
                <w:b/>
                <w:bCs/>
                <w:i/>
                <w:iCs/>
              </w:rPr>
              <w:t>prek vmesnega subjekta prenesle</w:t>
            </w:r>
            <w:r>
              <w:t xml:space="preserve"> na subjekt v postopku reševanja, prav tako pa ne nadaljnji prenos kapitala v nasprotni smeri. Ta prilagoditev obsega deležev, ki se odbijejo v okviru posrednega vpisa virov, primernih za notranjo MREL, tako ne bi vplivala na bonitetno trdnost okvira.</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7</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Uvodna izjava 9</w:t>
      </w:r>
      <w:r w:rsidRPr="00EE33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(9)</w:t>
            </w:r>
            <w:r>
              <w:tab/>
              <w:t xml:space="preserve">Glavni cilj ureditve dovoljenj za zmanjšanje instrumentov kvalificiranih obveznosti iz členov 77(2) in 78a Uredbe (EU) št. 575/2013, ki se uporablja tudi za institucije in subjekte, za katere velja MREL, ter za obveznosti, izdane za izpolnitev MREL, je organom za reševanje omogočiti spremljanje ukrepov, s katerimi se zmanjša obseg kvalificiranih obveznosti, in prepovedati vsak ukrep, ki bi pomenil zmanjšanje pod raven, ki se organom za reševanje zdi ustrezna. Če organ za reševanje ni sprejel odločitve o določitvi MREL v zvezi z institucijo ali subjektom, ta cilj ni relevanten. </w:t>
            </w:r>
            <w:r>
              <w:rPr>
                <w:b/>
                <w:i/>
              </w:rPr>
              <w:t>Poleg tega institucije ali subjekti, za katere ne velja odločitev o določitvi MREL, v svoji bilanci stanja nimajo kvalificiranih obveznosti.</w:t>
            </w:r>
            <w:r>
              <w:t xml:space="preserve"> Od institucij ali subjektov, za katere niso bile sprejete odločitve o določitvi MREL, se zato ne bi smelo zahtevati, da pridobijo predhodno dovoljenje organa za reševanje za izvedbo odpoklica, odkupa, odplačila ali izplačila obveznosti, ki bi izpolnjevale zahteve glede primernosti za MREL.</w:t>
            </w:r>
          </w:p>
        </w:tc>
        <w:tc>
          <w:tcPr>
            <w:tcW w:w="4876" w:type="dxa"/>
            <w:hideMark/>
          </w:tcPr>
          <w:p w:rsidR="009212B3" w:rsidRPr="009212B3" w:rsidRDefault="00E84D61" w:rsidP="00E61564">
            <w:pPr>
              <w:pStyle w:val="Normal6"/>
              <w:rPr>
                <w:szCs w:val="24"/>
              </w:rPr>
            </w:pPr>
            <w:r>
              <w:t>(9)</w:t>
            </w:r>
            <w:r>
              <w:tab/>
              <w:t>Glavni cilj ureditve dovoljenj za zmanjšanje instrumentov kvalificiranih obveznosti iz členov 77(2) in 78a Uredbe (EU) št. 575/2013, ki se uporablja tudi za institucije in subjekte, za katere velja MREL, ter za obveznosti, izdane za izpolnitev MREL, je organom za reševanje omogočiti spremljanje ukrepov, s katerimi se zmanjša obseg kvalificiranih obveznosti, in prepovedati vsak ukrep, ki bi pomenil zmanjšanje pod raven, ki se organom za reševanje zdi ustrezna. Če organ za reševanje ni sprejel odločitve o določitvi MREL v zvezi z institucijo ali subjektom, ta cilj ni relevanten. Od institucij ali subjektov, za katere niso bile sprejete odločitve o določitvi MREL, se zato ne bi smelo zahtevati, da pridobijo predhodno dovoljenje organa za reševanje za izvedbo odpoklica, odkupa, odplačila ali izplačila obveznosti, ki bi izpolnjevale zahteve glede primernosti za MREL.</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8</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Uvodna izjava 10</w:t>
      </w:r>
      <w:r w:rsidRPr="00EE33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(10)</w:t>
            </w:r>
            <w:r>
              <w:tab/>
              <w:t xml:space="preserve">Obstajajo subjekti za likvidacijo, za katere MREL </w:t>
            </w:r>
            <w:r>
              <w:rPr>
                <w:b/>
                <w:i/>
              </w:rPr>
              <w:t xml:space="preserve">presega </w:t>
            </w:r>
            <w:r>
              <w:t xml:space="preserve">znesek </w:t>
            </w:r>
            <w:r>
              <w:rPr>
                <w:b/>
                <w:i/>
              </w:rPr>
              <w:t>kapitalskih zahtev, pri čemer bi morali imeti organi</w:t>
            </w:r>
            <w:r>
              <w:t xml:space="preserve"> </w:t>
            </w:r>
            <w:r>
              <w:rPr>
                <w:b/>
                <w:bCs/>
                <w:i/>
                <w:iCs/>
              </w:rPr>
              <w:t>za</w:t>
            </w:r>
            <w:r>
              <w:t xml:space="preserve"> </w:t>
            </w:r>
            <w:r>
              <w:rPr>
                <w:b/>
                <w:i/>
              </w:rPr>
              <w:t>reševanje možnost, da določijo MREL</w:t>
            </w:r>
            <w:r>
              <w:t>.</w:t>
            </w:r>
            <w:r>
              <w:rPr>
                <w:b/>
                <w:i/>
              </w:rPr>
              <w:t xml:space="preserve"> To MREL</w:t>
            </w:r>
            <w:r>
              <w:t xml:space="preserve"> bi </w:t>
            </w:r>
            <w:r>
              <w:rPr>
                <w:b/>
                <w:i/>
              </w:rPr>
              <w:t>bilo treba določiti pri znesku, ki presega</w:t>
            </w:r>
            <w:r>
              <w:t xml:space="preserve"> </w:t>
            </w:r>
            <w:r>
              <w:rPr>
                <w:b/>
                <w:bCs/>
                <w:i/>
                <w:iCs/>
              </w:rPr>
              <w:t>znesek</w:t>
            </w:r>
            <w:r>
              <w:t xml:space="preserve"> za pokrivanje izgub, kadar organi za reševanje menijo, da je tak znesek potreben za zaščito finančne stabilnosti ali obravnavanje tveganja širjenja negativnih posledic po finančnem sistemu. V teh primerih bi </w:t>
            </w:r>
            <w:r>
              <w:rPr>
                <w:b/>
                <w:i/>
              </w:rPr>
              <w:t>moral</w:t>
            </w:r>
            <w:r>
              <w:t xml:space="preserve"> subjekt za likvidacijo izpolnjevati MREL in ne bi smel biti izvzet iz ureditve predhodnega dovoljenja iz členov 77(2) in 78a Uredbe (EU) št. 575/2013. Od vseh vmesnih subjektov, ki pripadajo isti skupini v postopku reševanja kot zadevni subjekt za likvidacijo, bi bilo treba še naprej zahtevati, da od svoje zmogljivosti za notranjo MREL odbijejo svoje deleže virov, primernih za notranjo MREL, ki jih je izdal ta subjekt za likvidacijo. Ker poleg tega likvidacijski postopek poteka na ravni pravnega subjekta, bi morali subjekti za likvidacijo, za katere še vedno velja MREL, izpolnjevati zahtevo le na posamični podlagi. Nazadnje, nekatere zahteve glede primernosti, povezane z lastništvom zadevne obveznosti, niso pomembne, saj </w:t>
            </w:r>
            <w:r>
              <w:rPr>
                <w:b/>
                <w:i/>
              </w:rPr>
              <w:t>ni</w:t>
            </w:r>
            <w:r>
              <w:t xml:space="preserve"> treba </w:t>
            </w:r>
            <w:r>
              <w:rPr>
                <w:b/>
                <w:i/>
              </w:rPr>
              <w:t>zagotoviti prenosa izgub in kapitala s subjekta za likvidacijo na subjekt v postopku reševanja</w:t>
            </w:r>
            <w:r>
              <w:t xml:space="preserve">, zato </w:t>
            </w:r>
            <w:r>
              <w:rPr>
                <w:b/>
                <w:i/>
              </w:rPr>
              <w:t>se</w:t>
            </w:r>
            <w:r>
              <w:t xml:space="preserve"> ne bi smele </w:t>
            </w:r>
            <w:r>
              <w:rPr>
                <w:b/>
                <w:i/>
              </w:rPr>
              <w:t>uporabljati</w:t>
            </w:r>
            <w:r>
              <w:t>.</w:t>
            </w:r>
          </w:p>
        </w:tc>
        <w:tc>
          <w:tcPr>
            <w:tcW w:w="4876" w:type="dxa"/>
            <w:hideMark/>
          </w:tcPr>
          <w:p w:rsidR="009212B3" w:rsidRPr="009212B3" w:rsidRDefault="00E84D61" w:rsidP="00E61564">
            <w:pPr>
              <w:pStyle w:val="Normal6"/>
              <w:rPr>
                <w:szCs w:val="24"/>
              </w:rPr>
            </w:pPr>
            <w:r>
              <w:t>(10)</w:t>
            </w:r>
            <w:r>
              <w:tab/>
              <w:t xml:space="preserve">Obstajajo subjekti za likvidacijo, za katere </w:t>
            </w:r>
            <w:r>
              <w:rPr>
                <w:b/>
                <w:i/>
              </w:rPr>
              <w:t>bi morala MREL presegati</w:t>
            </w:r>
            <w:r>
              <w:t xml:space="preserve"> znesek za pokrivanje izgub.</w:t>
            </w:r>
            <w:r>
              <w:rPr>
                <w:b/>
                <w:i/>
              </w:rPr>
              <w:t xml:space="preserve"> To</w:t>
            </w:r>
            <w:r>
              <w:t xml:space="preserve"> bi </w:t>
            </w:r>
            <w:r>
              <w:rPr>
                <w:b/>
                <w:i/>
              </w:rPr>
              <w:t>moralo veljati</w:t>
            </w:r>
            <w:r>
              <w:t xml:space="preserve">, kadar organi za reševanje menijo, da je tak </w:t>
            </w:r>
            <w:r>
              <w:rPr>
                <w:b/>
                <w:bCs/>
                <w:i/>
                <w:iCs/>
              </w:rPr>
              <w:t>višji</w:t>
            </w:r>
            <w:r>
              <w:t xml:space="preserve"> znesek potreben za zaščito finančne stabilnosti ali obravnavanje tveganja širjenja negativnih posledic po finančnem sistemu. V teh primerih bi </w:t>
            </w:r>
            <w:r>
              <w:rPr>
                <w:b/>
                <w:i/>
              </w:rPr>
              <w:t>morali organi za reševanje za</w:t>
            </w:r>
            <w:r>
              <w:t xml:space="preserve"> subjekt za likvidacijo</w:t>
            </w:r>
            <w:r>
              <w:rPr>
                <w:b/>
                <w:i/>
              </w:rPr>
              <w:t xml:space="preserve"> določiti MREL, sestavljeno iz zneska, ki zadostuje za pokritje izgub, povečanega za znesek, ki je potreben za ustrezno obravnavo morebitnih tveganj, ki jih ugotovijo organi za reševanje.</w:t>
            </w:r>
            <w:r>
              <w:t xml:space="preserve"> </w:t>
            </w:r>
            <w:r>
              <w:rPr>
                <w:b/>
                <w:i/>
              </w:rPr>
              <w:t>Subjekt za likvidacijo bi moral</w:t>
            </w:r>
            <w:r>
              <w:t xml:space="preserve"> izpolnjevati MREL in ne bi smel biti izvzet iz ureditve predhodnega dovoljenja iz členov 77(2) in 78a Uredbe (EU) št. 575/2013. Od vseh vmesnih subjektov, ki pripadajo isti skupini v postopku reševanja kot zadevni subjekt za likvidacijo, bi bilo treba še naprej zahtevati, da od svoje zmogljivosti za notranjo MREL odbijejo svoje deleže virov, primernih za notranjo MREL, ki jih je izdal ta subjekt za likvidacijo. Ker poleg tega likvidacijski postopek poteka na ravni pravnega subjekta, bi morali subjekti za likvidacijo, za katere še vedno velja MREL, izpolnjevati zahtevo le na posamični podlagi. Nazadnje, nekatere zahteve glede primernosti, povezane z lastništvom zadevne obveznosti, niso pomembne, saj </w:t>
            </w:r>
            <w:r>
              <w:rPr>
                <w:b/>
                <w:i/>
              </w:rPr>
              <w:t>subjektu v postopku reševanja ne bi bilo</w:t>
            </w:r>
            <w:r>
              <w:t xml:space="preserve"> treba </w:t>
            </w:r>
            <w:r>
              <w:rPr>
                <w:b/>
                <w:i/>
              </w:rPr>
              <w:t>ohraniti nadzora nad podrejeno družbo, če se ne izvajajo pooblastila za odpis in konverzijo</w:t>
            </w:r>
            <w:r>
              <w:t>,</w:t>
            </w:r>
            <w:r>
              <w:rPr>
                <w:b/>
                <w:i/>
              </w:rPr>
              <w:t xml:space="preserve"> in</w:t>
            </w:r>
            <w:r>
              <w:t xml:space="preserve"> zato </w:t>
            </w:r>
            <w:r>
              <w:rPr>
                <w:b/>
                <w:i/>
              </w:rPr>
              <w:t>zanje</w:t>
            </w:r>
            <w:r>
              <w:t xml:space="preserve"> ne bi smele </w:t>
            </w:r>
            <w:r>
              <w:rPr>
                <w:b/>
                <w:i/>
              </w:rPr>
              <w:t>veljati</w:t>
            </w:r>
            <w:r>
              <w:t>.</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9</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Uvodna izjava 14</w:t>
      </w:r>
      <w:r w:rsidRPr="00EE33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(14)</w:t>
            </w:r>
            <w:r>
              <w:tab/>
              <w:t xml:space="preserve">Ker ciljev te direktive, in sicer prilagoditve obravnave subjektov za likvidacijo v okviru za MREL in možnosti za </w:t>
            </w:r>
            <w:r>
              <w:rPr>
                <w:b/>
                <w:i/>
              </w:rPr>
              <w:t>izpolnjevanje notranje</w:t>
            </w:r>
            <w:r>
              <w:t xml:space="preserve"> MREL na konsolidirani podlagi, države članice same ne morejo zadovoljivo doseči, temveč se s spremembo pravil, ki so že določena na ravni Unije, lažje dosežejo na ravni Unije, lahko Unija sprejme ukrepe v skladu z načelom subsidiarnosti iz člena 5 Pogodbe o Evropski uniji. V skladu z načelom sorazmernosti iz navedenega člena ta direktiva ne presega tistega, kar je potrebno za doseganje navedenih ciljev –</w:t>
            </w:r>
          </w:p>
        </w:tc>
        <w:tc>
          <w:tcPr>
            <w:tcW w:w="4876" w:type="dxa"/>
            <w:hideMark/>
          </w:tcPr>
          <w:p w:rsidR="009212B3" w:rsidRPr="009212B3" w:rsidRDefault="00E84D61" w:rsidP="00E61564">
            <w:pPr>
              <w:pStyle w:val="Normal6"/>
              <w:rPr>
                <w:szCs w:val="24"/>
              </w:rPr>
            </w:pPr>
            <w:r>
              <w:t>(14)</w:t>
            </w:r>
            <w:r>
              <w:tab/>
              <w:t>Ker ciljev te direktive, in sicer prilagoditve obravnave subjektov za likvidacijo v okviru za MREL in možnosti</w:t>
            </w:r>
            <w:r>
              <w:rPr>
                <w:b/>
                <w:i/>
              </w:rPr>
              <w:t>, da organi</w:t>
            </w:r>
            <w:r>
              <w:t xml:space="preserve"> za </w:t>
            </w:r>
            <w:r>
              <w:rPr>
                <w:b/>
                <w:i/>
              </w:rPr>
              <w:t>reševanje notranjo</w:t>
            </w:r>
            <w:r>
              <w:t xml:space="preserve"> MREL</w:t>
            </w:r>
            <w:r>
              <w:rPr>
                <w:b/>
                <w:i/>
              </w:rPr>
              <w:t xml:space="preserve"> določijo</w:t>
            </w:r>
            <w:r>
              <w:t xml:space="preserve"> na konsolidirani podlagi, države članice same ne morejo zadovoljivo doseči, temveč se s spremembo pravil, ki so že določena na ravni Unije, lažje dosežejo na ravni Unije, lahko Unija sprejme ukrepe v skladu z načelom subsidiarnosti iz člena 5 Pogodbe o Evropski uniji. V skladu z načelom sorazmernosti iz navedenega člena ta direktiva ne presega tistega, kar je potrebno za doseganje navedenih ciljev –</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10</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Člen 1 – odstavek 1 – točka 1</w:t>
      </w:r>
      <w:r w:rsidRPr="00EE33FA">
        <w:rPr>
          <w:rStyle w:val="HideTWBExt"/>
          <w:b w:val="0"/>
        </w:rPr>
        <w:t>&lt;/Article&gt;</w:t>
      </w:r>
    </w:p>
    <w:p w:rsidR="009212B3" w:rsidRPr="009212B3" w:rsidRDefault="00E84D61" w:rsidP="009212B3">
      <w:pPr>
        <w:keepNext/>
      </w:pPr>
      <w:r w:rsidRPr="00EE33FA">
        <w:rPr>
          <w:rStyle w:val="HideTWBExt"/>
        </w:rPr>
        <w:t>&lt;DocAmend2&gt;</w:t>
      </w:r>
      <w:r>
        <w:t>Direktiva 2014/59/EU</w:t>
      </w:r>
      <w:r w:rsidRPr="00EE33FA">
        <w:rPr>
          <w:rStyle w:val="HideTWBExt"/>
        </w:rPr>
        <w:t>&lt;/DocAmend2&gt;</w:t>
      </w:r>
    </w:p>
    <w:p w:rsidR="009212B3" w:rsidRPr="009212B3" w:rsidRDefault="00E84D61" w:rsidP="009212B3">
      <w:r w:rsidRPr="00EE33FA">
        <w:rPr>
          <w:rStyle w:val="HideTWBExt"/>
        </w:rPr>
        <w:t>&lt;Article2&gt;</w:t>
      </w:r>
      <w:r>
        <w:t>Člen 2 – odstavek 1 – točka 83 a a</w:t>
      </w:r>
      <w:r w:rsidRPr="00EE33F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„(83aa)</w:t>
            </w:r>
            <w:r>
              <w:tab/>
              <w:t xml:space="preserve">‚subjekt za likvidacijo‘ pomeni pravno osebo s sedežem v Uniji, v zvezi s katero načrt reševanja skupine oziroma, za subjekte, ki niso del skupine, načrt reševanja določa, da subjekt preneha </w:t>
            </w:r>
            <w:r>
              <w:rPr>
                <w:b/>
                <w:i/>
              </w:rPr>
              <w:t>na ustrezen način v skladu z veljavnim nacionalnim pravom</w:t>
            </w:r>
            <w:r>
              <w:t>;“;</w:t>
            </w:r>
          </w:p>
        </w:tc>
        <w:tc>
          <w:tcPr>
            <w:tcW w:w="4876" w:type="dxa"/>
            <w:hideMark/>
          </w:tcPr>
          <w:p w:rsidR="009212B3" w:rsidRPr="009212B3" w:rsidRDefault="00E84D61" w:rsidP="00E61564">
            <w:pPr>
              <w:pStyle w:val="Normal6"/>
              <w:rPr>
                <w:szCs w:val="24"/>
              </w:rPr>
            </w:pPr>
            <w:r>
              <w:t>„(83aa)</w:t>
            </w:r>
            <w:r>
              <w:tab/>
              <w:t xml:space="preserve">‚subjekt za likvidacijo‘ pomeni pravno osebo s sedežem v Uniji, v zvezi s katero načrt reševanja skupine oziroma, za subjekte, ki niso del skupine, načrt reševanja določa, da subjekt preneha </w:t>
            </w:r>
            <w:r>
              <w:rPr>
                <w:b/>
                <w:i/>
              </w:rPr>
              <w:t>po običajnem insolvenčnem postopku, ali ne predvideva izvajanja pooblastil za odpis in konverzijo v zvezi s tem subjektom</w:t>
            </w:r>
            <w:r>
              <w:t>;“;</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11</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Člen 1 – odstavek 1 – točka 2 – točka b</w:t>
      </w:r>
      <w:r w:rsidRPr="00EE33FA">
        <w:rPr>
          <w:rStyle w:val="HideTWBExt"/>
          <w:b w:val="0"/>
        </w:rPr>
        <w:t>&lt;/Article&gt;</w:t>
      </w:r>
    </w:p>
    <w:p w:rsidR="009212B3" w:rsidRPr="009212B3" w:rsidRDefault="00E84D61" w:rsidP="009212B3">
      <w:pPr>
        <w:keepNext/>
      </w:pPr>
      <w:r w:rsidRPr="00EE33FA">
        <w:rPr>
          <w:rStyle w:val="HideTWBExt"/>
        </w:rPr>
        <w:t>&lt;DocAmend2&gt;</w:t>
      </w:r>
      <w:r>
        <w:t>Direktiva 2014/59/EU</w:t>
      </w:r>
      <w:r w:rsidRPr="00EE33FA">
        <w:rPr>
          <w:rStyle w:val="HideTWBExt"/>
        </w:rPr>
        <w:t>&lt;/DocAmend2&gt;</w:t>
      </w:r>
    </w:p>
    <w:p w:rsidR="009212B3" w:rsidRPr="009212B3" w:rsidRDefault="00E84D61" w:rsidP="009212B3">
      <w:r w:rsidRPr="00EE33FA">
        <w:rPr>
          <w:rStyle w:val="HideTWBExt"/>
        </w:rPr>
        <w:t>&lt;Article2&gt;</w:t>
      </w:r>
      <w:r>
        <w:t>Člen 45 c – odstavek 2 a – pododstavek 2</w:t>
      </w:r>
      <w:r w:rsidRPr="00EE33F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 xml:space="preserve">Z odstopanjem od prvega pododstavka </w:t>
            </w:r>
            <w:r>
              <w:rPr>
                <w:b/>
                <w:i/>
              </w:rPr>
              <w:t>in kadar je to potrebno</w:t>
            </w:r>
            <w:r>
              <w:t xml:space="preserve"> za </w:t>
            </w:r>
            <w:r>
              <w:rPr>
                <w:b/>
                <w:i/>
              </w:rPr>
              <w:t>zaščito finančne stabilnosti</w:t>
            </w:r>
            <w:r>
              <w:t xml:space="preserve"> ali </w:t>
            </w:r>
            <w:r>
              <w:rPr>
                <w:b/>
                <w:i/>
              </w:rPr>
              <w:t>omejitev morebitnega širjenja negativnih posledic po finančnem sistemu</w:t>
            </w:r>
            <w:r>
              <w:t xml:space="preserve">, </w:t>
            </w:r>
            <w:r>
              <w:rPr>
                <w:b/>
                <w:i/>
              </w:rPr>
              <w:t>lahko organi za reševanje izjemoma določijo zahtevo</w:t>
            </w:r>
            <w:r>
              <w:t xml:space="preserve"> iz člena 45(1) za subjekte za likvidacijo na posamični podlagi v znesku, ki zadostuje za pokritje izgub v skladu z odstavkom 2, točka (a), tega člena, </w:t>
            </w:r>
            <w:r>
              <w:rPr>
                <w:b/>
                <w:i/>
              </w:rPr>
              <w:t>povečanem</w:t>
            </w:r>
            <w:r>
              <w:t xml:space="preserve"> na </w:t>
            </w:r>
            <w:r>
              <w:rPr>
                <w:b/>
                <w:i/>
              </w:rPr>
              <w:t>znesek, ki je potreben</w:t>
            </w:r>
            <w:r>
              <w:t xml:space="preserve"> za </w:t>
            </w:r>
            <w:r>
              <w:rPr>
                <w:b/>
                <w:i/>
              </w:rPr>
              <w:t>doseganje teh ciljev</w:t>
            </w:r>
            <w:r>
              <w:t>. V teh primerih subjekti za likvidacijo izpolnijo zahtevo iz člena 45(1) tako, da uporabijo eno ali več od naslednjega:</w:t>
            </w:r>
          </w:p>
        </w:tc>
        <w:tc>
          <w:tcPr>
            <w:tcW w:w="4876" w:type="dxa"/>
            <w:hideMark/>
          </w:tcPr>
          <w:p w:rsidR="009212B3" w:rsidRPr="009212B3" w:rsidRDefault="00E84D61" w:rsidP="00E61564">
            <w:pPr>
              <w:pStyle w:val="Normal6"/>
              <w:rPr>
                <w:szCs w:val="24"/>
              </w:rPr>
            </w:pPr>
            <w:r>
              <w:t xml:space="preserve">Z odstopanjem od prvega pododstavka </w:t>
            </w:r>
            <w:r>
              <w:rPr>
                <w:b/>
                <w:i/>
              </w:rPr>
              <w:t>organ</w:t>
            </w:r>
            <w:r>
              <w:t xml:space="preserve"> za </w:t>
            </w:r>
            <w:r>
              <w:rPr>
                <w:b/>
                <w:i/>
              </w:rPr>
              <w:t>reševanje oceni,</w:t>
            </w:r>
            <w:r>
              <w:t xml:space="preserve"> ali </w:t>
            </w:r>
            <w:r>
              <w:rPr>
                <w:b/>
                <w:i/>
              </w:rPr>
              <w:t>je upravičeno</w:t>
            </w:r>
            <w:r>
              <w:t xml:space="preserve">, </w:t>
            </w:r>
            <w:r>
              <w:rPr>
                <w:b/>
                <w:i/>
              </w:rPr>
              <w:t>da se zahteva</w:t>
            </w:r>
            <w:r>
              <w:t xml:space="preserve"> iz člena 45(1) za subjekte za likvidacijo na posamični podlagi </w:t>
            </w:r>
            <w:r>
              <w:rPr>
                <w:b/>
                <w:i/>
              </w:rPr>
              <w:t xml:space="preserve">določi </w:t>
            </w:r>
            <w:r>
              <w:t xml:space="preserve">v znesku, ki </w:t>
            </w:r>
            <w:r>
              <w:rPr>
                <w:b/>
                <w:i/>
              </w:rPr>
              <w:t xml:space="preserve">presega znesek, ki </w:t>
            </w:r>
            <w:r>
              <w:t>zadostuje za pokritje izgub v skladu z odstavkom 2, točka (a), tega člena</w:t>
            </w:r>
            <w:r>
              <w:rPr>
                <w:b/>
                <w:i/>
              </w:rPr>
              <w:t>. Organ za reševanje pri oceni upošteva morebitne posledice propada zadevnega subjekta za likvidacijo</w:t>
            </w:r>
            <w:r>
              <w:t xml:space="preserve">, </w:t>
            </w:r>
            <w:r>
              <w:rPr>
                <w:b/>
                <w:i/>
              </w:rPr>
              <w:t>še zlasti pa morebitne vplive</w:t>
            </w:r>
            <w:r>
              <w:t xml:space="preserve"> na </w:t>
            </w:r>
            <w:r>
              <w:rPr>
                <w:b/>
                <w:i/>
              </w:rPr>
              <w:t>finančno stabilnost in tveganje</w:t>
            </w:r>
            <w:r>
              <w:t xml:space="preserve"> za </w:t>
            </w:r>
            <w:r>
              <w:rPr>
                <w:b/>
                <w:i/>
              </w:rPr>
              <w:t>širjenje negativnih posledic po finančnem sistemu</w:t>
            </w:r>
            <w:r>
              <w:t>. V teh primerih subjekti za likvidacijo izpolnijo zahtevo iz člena 45(1) tako, da uporabijo eno ali več od naslednjega:</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12</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Člen 1 – odstavek 1 – točka 2 – točka b</w:t>
      </w:r>
      <w:r w:rsidRPr="00EE33FA">
        <w:rPr>
          <w:rStyle w:val="HideTWBExt"/>
          <w:b w:val="0"/>
        </w:rPr>
        <w:t>&lt;/Article&gt;</w:t>
      </w:r>
    </w:p>
    <w:p w:rsidR="009212B3" w:rsidRPr="009212B3" w:rsidRDefault="00E84D61" w:rsidP="009212B3">
      <w:pPr>
        <w:keepNext/>
      </w:pPr>
      <w:r w:rsidRPr="00EE33FA">
        <w:rPr>
          <w:rStyle w:val="HideTWBExt"/>
        </w:rPr>
        <w:t>&lt;DocAmend2&gt;</w:t>
      </w:r>
      <w:r>
        <w:t>Direktiva 2014/59/EU</w:t>
      </w:r>
      <w:r w:rsidRPr="00EE33FA">
        <w:rPr>
          <w:rStyle w:val="HideTWBExt"/>
        </w:rPr>
        <w:t>&lt;/DocAmend2&gt;</w:t>
      </w:r>
    </w:p>
    <w:p w:rsidR="009212B3" w:rsidRPr="009212B3" w:rsidRDefault="00E84D61" w:rsidP="009212B3">
      <w:r w:rsidRPr="00EE33FA">
        <w:rPr>
          <w:rStyle w:val="HideTWBExt"/>
        </w:rPr>
        <w:t>&lt;Article2&gt;</w:t>
      </w:r>
      <w:r>
        <w:t>Člen 45 c – odstavek 2 a – pododstavek 4</w:t>
      </w:r>
      <w:r w:rsidRPr="00EE33F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 xml:space="preserve">Deleži v </w:t>
            </w:r>
            <w:r>
              <w:rPr>
                <w:b/>
                <w:i/>
              </w:rPr>
              <w:t xml:space="preserve">kapitalskih instrumentih ali </w:t>
            </w:r>
            <w:r>
              <w:t>obveznostih, ki jih izdajo podrejene družbe, ki so subjekti za likvidacijo, za katere organ za reševanje ni določil zahteve iz člena 45(1), se ne odbijejo v skladu s členom 72e(5) Uredbe (EU) št. 575/2013.“;</w:t>
            </w:r>
          </w:p>
        </w:tc>
        <w:tc>
          <w:tcPr>
            <w:tcW w:w="4876" w:type="dxa"/>
            <w:hideMark/>
          </w:tcPr>
          <w:p w:rsidR="009212B3" w:rsidRPr="009212B3" w:rsidRDefault="00E84D61" w:rsidP="00E61564">
            <w:pPr>
              <w:pStyle w:val="Normal6"/>
              <w:rPr>
                <w:szCs w:val="24"/>
              </w:rPr>
            </w:pPr>
            <w:r>
              <w:t xml:space="preserve">Deleži v obveznostih, ki </w:t>
            </w:r>
            <w:r>
              <w:rPr>
                <w:b/>
                <w:i/>
              </w:rPr>
              <w:t>se ne štejejo za kapitalske instrumente</w:t>
            </w:r>
            <w:r>
              <w:rPr>
                <w:b/>
                <w:bCs/>
                <w:i/>
                <w:iCs/>
              </w:rPr>
              <w:t>, ki</w:t>
            </w:r>
            <w:r>
              <w:t xml:space="preserve"> jih izdajo podrejene družbe, ki so subjekti za likvidacijo, za katere organ za reševanje ni določil zahteve iz člena 45(1), se ne odbijejo v skladu s členom 72e(5) Uredbe (EU) št. 575/2013.“;</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13</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Člen 1 – odstavek 1 – točka 3 – točka a</w:t>
      </w:r>
      <w:r w:rsidRPr="00EE33FA">
        <w:rPr>
          <w:rStyle w:val="HideTWBExt"/>
          <w:b w:val="0"/>
        </w:rPr>
        <w:t>&lt;/Article&gt;</w:t>
      </w:r>
    </w:p>
    <w:p w:rsidR="009212B3" w:rsidRPr="009212B3" w:rsidRDefault="00E84D61" w:rsidP="009212B3">
      <w:pPr>
        <w:keepNext/>
      </w:pPr>
      <w:r w:rsidRPr="00EE33FA">
        <w:rPr>
          <w:rStyle w:val="HideTWBExt"/>
        </w:rPr>
        <w:t>&lt;DocAmend2&gt;</w:t>
      </w:r>
      <w:r>
        <w:t>Direktiva 2014/59/EU</w:t>
      </w:r>
      <w:r w:rsidRPr="00EE33FA">
        <w:rPr>
          <w:rStyle w:val="HideTWBExt"/>
        </w:rPr>
        <w:t>&lt;/DocAmend2&gt;</w:t>
      </w:r>
    </w:p>
    <w:p w:rsidR="009212B3" w:rsidRPr="009212B3" w:rsidRDefault="00E84D61" w:rsidP="009212B3">
      <w:r w:rsidRPr="00EE33FA">
        <w:rPr>
          <w:rStyle w:val="HideTWBExt"/>
        </w:rPr>
        <w:t>&lt;Article2&gt;</w:t>
      </w:r>
      <w:r>
        <w:t>Člen 45 f – odstavek 1 – pododstavek 3 a – točka a – točka ii</w:t>
      </w:r>
      <w:r w:rsidRPr="00EE33F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(ii)</w:t>
            </w:r>
            <w:r>
              <w:tab/>
              <w:t xml:space="preserve">za podrejeno družbo </w:t>
            </w:r>
            <w:r>
              <w:rPr>
                <w:b/>
                <w:i/>
              </w:rPr>
              <w:t xml:space="preserve">velja </w:t>
            </w:r>
            <w:r>
              <w:t xml:space="preserve">zahteva iz člena 104a Direktive 2013/36/EU </w:t>
            </w:r>
            <w:r>
              <w:rPr>
                <w:b/>
                <w:i/>
              </w:rPr>
              <w:t>ali zahteva po skupnem blažilniku</w:t>
            </w:r>
            <w:r>
              <w:t xml:space="preserve"> na konsolidirani podlagi;</w:t>
            </w:r>
          </w:p>
        </w:tc>
        <w:tc>
          <w:tcPr>
            <w:tcW w:w="4876" w:type="dxa"/>
            <w:hideMark/>
          </w:tcPr>
          <w:p w:rsidR="009212B3" w:rsidRPr="009212B3" w:rsidRDefault="00E84D61" w:rsidP="00E61564">
            <w:pPr>
              <w:pStyle w:val="Normal6"/>
              <w:rPr>
                <w:szCs w:val="24"/>
              </w:rPr>
            </w:pPr>
            <w:r>
              <w:t>(ii)</w:t>
            </w:r>
            <w:r>
              <w:tab/>
              <w:t xml:space="preserve">za podrejeno družbo zahteva iz člena 104a Direktive 2013/36/EU </w:t>
            </w:r>
            <w:r>
              <w:rPr>
                <w:b/>
                <w:i/>
              </w:rPr>
              <w:t>velja samo</w:t>
            </w:r>
            <w:r>
              <w:t xml:space="preserve"> na konsolidirani podlagi;</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14</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Člen 1 – odstavek 1 – točka 3 – točka a</w:t>
      </w:r>
      <w:r w:rsidRPr="00EE33FA">
        <w:rPr>
          <w:rStyle w:val="HideTWBExt"/>
          <w:b w:val="0"/>
        </w:rPr>
        <w:t>&lt;/Article&gt;</w:t>
      </w:r>
    </w:p>
    <w:p w:rsidR="009212B3" w:rsidRPr="009212B3" w:rsidRDefault="00E84D61" w:rsidP="009212B3">
      <w:pPr>
        <w:keepNext/>
      </w:pPr>
      <w:r w:rsidRPr="00EE33FA">
        <w:rPr>
          <w:rStyle w:val="HideTWBExt"/>
        </w:rPr>
        <w:t>&lt;DocAmend2&gt;</w:t>
      </w:r>
      <w:r>
        <w:t>Direktiva 2014/59/EU</w:t>
      </w:r>
      <w:r w:rsidRPr="00EE33FA">
        <w:rPr>
          <w:rStyle w:val="HideTWBExt"/>
        </w:rPr>
        <w:t>&lt;/DocAmend2&gt;</w:t>
      </w:r>
    </w:p>
    <w:p w:rsidR="009212B3" w:rsidRPr="009212B3" w:rsidRDefault="00E84D61" w:rsidP="009212B3">
      <w:r w:rsidRPr="00EE33FA">
        <w:rPr>
          <w:rStyle w:val="HideTWBExt"/>
        </w:rPr>
        <w:t>&lt;Article2&gt;</w:t>
      </w:r>
      <w:r>
        <w:t>Člen 45 f – odstavek 1 – pododstavek 3 a – točka b</w:t>
      </w:r>
      <w:r w:rsidRPr="00EE33F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(b)</w:t>
            </w:r>
            <w:r>
              <w:tab/>
              <w:t xml:space="preserve">izpolnjevanje zahteve iz člena 45c na konsolidirani podlagi nima </w:t>
            </w:r>
            <w:r>
              <w:rPr>
                <w:b/>
                <w:i/>
              </w:rPr>
              <w:t xml:space="preserve">bistvenega </w:t>
            </w:r>
            <w:r>
              <w:t>negativnega vpliva na rešljivost skupine v postopku reševanja ali na odpis ali konverzijo zadevnih kapitalskih instrumentov in kvalificiranih obveznosti zadevne podrejene družbe ali drugih subjektov v skupini v postopku reševanja v skladu s členom 59.“;</w:t>
            </w:r>
          </w:p>
        </w:tc>
        <w:tc>
          <w:tcPr>
            <w:tcW w:w="4876" w:type="dxa"/>
            <w:hideMark/>
          </w:tcPr>
          <w:p w:rsidR="009212B3" w:rsidRPr="009212B3" w:rsidRDefault="00E84D61" w:rsidP="00E61564">
            <w:pPr>
              <w:pStyle w:val="Normal6"/>
              <w:rPr>
                <w:szCs w:val="24"/>
              </w:rPr>
            </w:pPr>
            <w:r>
              <w:t>(b)</w:t>
            </w:r>
            <w:r>
              <w:tab/>
              <w:t>izpolnjevanje zahteve iz člena 45c na konsolidirani podlagi nima negativnega vpliva na rešljivost skupine v postopku reševanja ali na odpis ali konverzijo zadevnih kapitalskih instrumentov in kvalificiranih obveznosti zadevne podrejene družbe ali drugih subjektov v skupini v postopku reševanja v skladu s členom 59.“;</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15</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Člen 2 – odstavek 1 – točka 2 – točka b</w:t>
      </w:r>
      <w:r w:rsidRPr="00EE33FA">
        <w:rPr>
          <w:rStyle w:val="HideTWBExt"/>
          <w:b w:val="0"/>
        </w:rPr>
        <w:t>&lt;/Article&gt;</w:t>
      </w:r>
    </w:p>
    <w:p w:rsidR="009212B3" w:rsidRPr="009212B3" w:rsidRDefault="00E84D61" w:rsidP="009212B3">
      <w:pPr>
        <w:keepNext/>
      </w:pPr>
      <w:r w:rsidRPr="00EE33FA">
        <w:rPr>
          <w:rStyle w:val="HideTWBExt"/>
        </w:rPr>
        <w:t>&lt;DocAmend2&gt;</w:t>
      </w:r>
      <w:r>
        <w:t>Uredba (EU) št. 806/2014</w:t>
      </w:r>
      <w:r w:rsidRPr="00EE33FA">
        <w:rPr>
          <w:rStyle w:val="HideTWBExt"/>
        </w:rPr>
        <w:t>&lt;/DocAmend2&gt;</w:t>
      </w:r>
    </w:p>
    <w:p w:rsidR="009212B3" w:rsidRPr="009212B3" w:rsidRDefault="00E84D61" w:rsidP="009212B3">
      <w:r w:rsidRPr="00EE33FA">
        <w:rPr>
          <w:rStyle w:val="HideTWBExt"/>
        </w:rPr>
        <w:t>&lt;Article2&gt;</w:t>
      </w:r>
      <w:r>
        <w:t>Člen 12 d – odstavek 2 a – pododstavek 2</w:t>
      </w:r>
      <w:r w:rsidRPr="00EE33F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 xml:space="preserve">Z odstopanjem od prvega pododstavka </w:t>
            </w:r>
            <w:r>
              <w:rPr>
                <w:b/>
                <w:i/>
              </w:rPr>
              <w:t>in kadar je to potrebno za zaščito finančne stabilnosti</w:t>
            </w:r>
            <w:r>
              <w:t xml:space="preserve"> ali </w:t>
            </w:r>
            <w:r>
              <w:rPr>
                <w:b/>
                <w:i/>
              </w:rPr>
              <w:t>omejitev morebitnega širjenja negativnih posledic po finančnem sistemu</w:t>
            </w:r>
            <w:r>
              <w:t xml:space="preserve">, </w:t>
            </w:r>
            <w:r>
              <w:rPr>
                <w:b/>
                <w:i/>
              </w:rPr>
              <w:t>lahko odbor izjemoma določi zahtevo</w:t>
            </w:r>
            <w:r>
              <w:t xml:space="preserve"> iz člena 12a(1) za subjekte za likvidacijo na posamični podlagi v znesku, ki zadostuje za pokritje izgub v skladu z odstavkom 2, točka (a), tega člena, </w:t>
            </w:r>
            <w:r>
              <w:rPr>
                <w:b/>
                <w:i/>
              </w:rPr>
              <w:t>povečanem</w:t>
            </w:r>
            <w:r>
              <w:t xml:space="preserve"> na </w:t>
            </w:r>
            <w:r>
              <w:rPr>
                <w:b/>
                <w:i/>
              </w:rPr>
              <w:t>znesek, ki je potreben</w:t>
            </w:r>
            <w:r>
              <w:t xml:space="preserve"> za </w:t>
            </w:r>
            <w:r>
              <w:rPr>
                <w:b/>
                <w:i/>
              </w:rPr>
              <w:t>doseganje teh ciljev</w:t>
            </w:r>
            <w:r>
              <w:t>. V teh primerih subjekti za likvidacijo izpolnijo zahtevo iz člena 12a(1) tako, da uporabijo eno ali več od naslednjega:</w:t>
            </w:r>
          </w:p>
        </w:tc>
        <w:tc>
          <w:tcPr>
            <w:tcW w:w="4876" w:type="dxa"/>
            <w:hideMark/>
          </w:tcPr>
          <w:p w:rsidR="009212B3" w:rsidRPr="009212B3" w:rsidRDefault="00E84D61" w:rsidP="00E61564">
            <w:pPr>
              <w:pStyle w:val="Normal6"/>
              <w:rPr>
                <w:szCs w:val="24"/>
              </w:rPr>
            </w:pPr>
            <w:r>
              <w:t xml:space="preserve">Z odstopanjem od prvega pododstavka </w:t>
            </w:r>
            <w:r>
              <w:rPr>
                <w:b/>
                <w:i/>
              </w:rPr>
              <w:t>odbor oceni,</w:t>
            </w:r>
            <w:r>
              <w:t xml:space="preserve"> ali </w:t>
            </w:r>
            <w:r>
              <w:rPr>
                <w:b/>
                <w:i/>
              </w:rPr>
              <w:t>je upravičeno</w:t>
            </w:r>
            <w:r>
              <w:t xml:space="preserve">, </w:t>
            </w:r>
            <w:r>
              <w:rPr>
                <w:b/>
                <w:i/>
              </w:rPr>
              <w:t>da se zahteva</w:t>
            </w:r>
            <w:r>
              <w:t xml:space="preserve"> iz člena 12a(1) za subjekte za likvidacijo na posamični podlagi </w:t>
            </w:r>
            <w:r>
              <w:rPr>
                <w:b/>
                <w:i/>
              </w:rPr>
              <w:t xml:space="preserve">določi </w:t>
            </w:r>
            <w:r>
              <w:t>v znesku</w:t>
            </w:r>
            <w:r>
              <w:rPr>
                <w:b/>
                <w:i/>
              </w:rPr>
              <w:t>, ki presega znesek</w:t>
            </w:r>
            <w:r>
              <w:t>, ki zadostuje za pokritje izgub v skladu z odstavkom 2, točka (a), tega člena</w:t>
            </w:r>
            <w:r>
              <w:rPr>
                <w:b/>
                <w:i/>
              </w:rPr>
              <w:t>. Odbor pri oceni upošteva morebitne posledice propada zadevnega subjekta za likvidacijo</w:t>
            </w:r>
            <w:r>
              <w:t xml:space="preserve">, </w:t>
            </w:r>
            <w:r>
              <w:rPr>
                <w:b/>
                <w:i/>
              </w:rPr>
              <w:t>še zlasti pa morebitne vplive</w:t>
            </w:r>
            <w:r>
              <w:t xml:space="preserve"> na </w:t>
            </w:r>
            <w:r>
              <w:rPr>
                <w:b/>
                <w:i/>
              </w:rPr>
              <w:t>finančno stabilnost in tveganje</w:t>
            </w:r>
            <w:r>
              <w:t xml:space="preserve"> za </w:t>
            </w:r>
            <w:r>
              <w:rPr>
                <w:b/>
                <w:i/>
              </w:rPr>
              <w:t>širjenje negativnih posledic po finančnem sistemu</w:t>
            </w:r>
            <w:r>
              <w:t>. V teh primerih subjekti za likvidacijo izpolnijo zahtevo iz člena 12a(1) tako, da uporabijo eno ali več od naslednjega:</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16</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Člen 2 – odstavek 1 – točka 2 – točka b</w:t>
      </w:r>
      <w:r w:rsidRPr="00EE33FA">
        <w:rPr>
          <w:rStyle w:val="HideTWBExt"/>
          <w:b w:val="0"/>
        </w:rPr>
        <w:t>&lt;/Article&gt;</w:t>
      </w:r>
    </w:p>
    <w:p w:rsidR="009212B3" w:rsidRPr="009212B3" w:rsidRDefault="00E84D61" w:rsidP="009212B3">
      <w:pPr>
        <w:keepNext/>
      </w:pPr>
      <w:r w:rsidRPr="00EE33FA">
        <w:rPr>
          <w:rStyle w:val="HideTWBExt"/>
        </w:rPr>
        <w:t>&lt;DocAmend2&gt;</w:t>
      </w:r>
      <w:r>
        <w:t>Uredba (EU) št. 806/2014</w:t>
      </w:r>
      <w:r w:rsidRPr="00EE33FA">
        <w:rPr>
          <w:rStyle w:val="HideTWBExt"/>
        </w:rPr>
        <w:t>&lt;/DocAmend2&gt;</w:t>
      </w:r>
    </w:p>
    <w:p w:rsidR="009212B3" w:rsidRPr="009212B3" w:rsidRDefault="00E84D61" w:rsidP="009212B3">
      <w:r w:rsidRPr="00EE33FA">
        <w:rPr>
          <w:rStyle w:val="HideTWBExt"/>
        </w:rPr>
        <w:t>&lt;Article2&gt;</w:t>
      </w:r>
      <w:r>
        <w:t>Člen 12 d – odstavek 2 a – pododstavek 4</w:t>
      </w:r>
      <w:r w:rsidRPr="00EE33F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 xml:space="preserve">Deleži v </w:t>
            </w:r>
            <w:r>
              <w:rPr>
                <w:b/>
                <w:i/>
              </w:rPr>
              <w:t xml:space="preserve">kapitalskih instrumentih ali </w:t>
            </w:r>
            <w:r>
              <w:t>obveznostih, ki jih izdajo podrejene družbe, ki so subjekti za likvidacijo, za katere organ za reševanje ni določil zahteve iz člena 12a(1), se ne odbijejo v skladu s členom 72e(5) Uredbe (EU) št. 575/2013.“;</w:t>
            </w:r>
          </w:p>
        </w:tc>
        <w:tc>
          <w:tcPr>
            <w:tcW w:w="4876" w:type="dxa"/>
            <w:hideMark/>
          </w:tcPr>
          <w:p w:rsidR="009212B3" w:rsidRPr="009212B3" w:rsidRDefault="00E84D61" w:rsidP="00E61564">
            <w:pPr>
              <w:pStyle w:val="Normal6"/>
              <w:rPr>
                <w:szCs w:val="24"/>
              </w:rPr>
            </w:pPr>
            <w:r>
              <w:t>Deleži v obveznostih, ki</w:t>
            </w:r>
            <w:r>
              <w:rPr>
                <w:b/>
                <w:i/>
              </w:rPr>
              <w:t xml:space="preserve"> se ne štejejo za kapitalske instrumente</w:t>
            </w:r>
            <w:r>
              <w:rPr>
                <w:b/>
                <w:bCs/>
                <w:i/>
                <w:iCs/>
              </w:rPr>
              <w:t>, ki</w:t>
            </w:r>
            <w:r>
              <w:t xml:space="preserve"> jih izdajo podrejene družbe, ki so subjekti za likvidacijo, za katere organ za reševanje ni določil zahteve iz člena 12a(1), se ne odbijejo v skladu s členom 72e(5) Uredbe (EU) št. 575/2013.“;</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17</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Člen 2 – odstavek 1 – točka 3 – točka a</w:t>
      </w:r>
      <w:r w:rsidRPr="00EE33FA">
        <w:rPr>
          <w:rStyle w:val="HideTWBExt"/>
          <w:b w:val="0"/>
        </w:rPr>
        <w:t>&lt;/Article&gt;</w:t>
      </w:r>
    </w:p>
    <w:p w:rsidR="009212B3" w:rsidRPr="009212B3" w:rsidRDefault="00E84D61" w:rsidP="009212B3">
      <w:pPr>
        <w:keepNext/>
      </w:pPr>
      <w:r w:rsidRPr="00EE33FA">
        <w:rPr>
          <w:rStyle w:val="HideTWBExt"/>
        </w:rPr>
        <w:t>&lt;DocAmend2&gt;</w:t>
      </w:r>
      <w:r>
        <w:t>Uredba (EU) št. 806/2014</w:t>
      </w:r>
      <w:r w:rsidRPr="00EE33FA">
        <w:rPr>
          <w:rStyle w:val="HideTWBExt"/>
        </w:rPr>
        <w:t>&lt;/DocAmend2&gt;</w:t>
      </w:r>
    </w:p>
    <w:p w:rsidR="009212B3" w:rsidRPr="009212B3" w:rsidRDefault="00E84D61" w:rsidP="009212B3">
      <w:r w:rsidRPr="00EE33FA">
        <w:rPr>
          <w:rStyle w:val="HideTWBExt"/>
        </w:rPr>
        <w:t>&lt;Article2&gt;</w:t>
      </w:r>
      <w:r>
        <w:t>Člen 12 g – odstavek 1 – pododstavek 3 a – točka a – točka ii</w:t>
      </w:r>
      <w:r w:rsidRPr="00EE33F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(ii)</w:t>
            </w:r>
            <w:r>
              <w:tab/>
              <w:t xml:space="preserve">za podrejeno družbo </w:t>
            </w:r>
            <w:r>
              <w:rPr>
                <w:b/>
                <w:i/>
              </w:rPr>
              <w:t xml:space="preserve">velja </w:t>
            </w:r>
            <w:r>
              <w:t xml:space="preserve">zahteva iz člena 104a Direktive 2013/36/EU </w:t>
            </w:r>
            <w:r>
              <w:rPr>
                <w:b/>
                <w:i/>
              </w:rPr>
              <w:t>ali zahteva po skupnem blažilniku</w:t>
            </w:r>
            <w:r>
              <w:t xml:space="preserve"> na konsolidirani podlagi;</w:t>
            </w:r>
          </w:p>
        </w:tc>
        <w:tc>
          <w:tcPr>
            <w:tcW w:w="4876" w:type="dxa"/>
            <w:hideMark/>
          </w:tcPr>
          <w:p w:rsidR="009212B3" w:rsidRPr="009212B3" w:rsidRDefault="00E84D61" w:rsidP="00E61564">
            <w:pPr>
              <w:pStyle w:val="Normal6"/>
              <w:rPr>
                <w:szCs w:val="24"/>
              </w:rPr>
            </w:pPr>
            <w:r>
              <w:t>(ii)</w:t>
            </w:r>
            <w:r>
              <w:tab/>
              <w:t xml:space="preserve">za podrejeno družbo zahteva iz člena 104a Direktive 2013/36/EU </w:t>
            </w:r>
            <w:r>
              <w:rPr>
                <w:b/>
                <w:i/>
              </w:rPr>
              <w:t>velja samo</w:t>
            </w:r>
            <w:r>
              <w:t xml:space="preserve"> na konsolidirani podlagi;</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18</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Člen 2 – odstavek 1 – točka 3 – točka a</w:t>
      </w:r>
      <w:r w:rsidRPr="00EE33FA">
        <w:rPr>
          <w:rStyle w:val="HideTWBExt"/>
          <w:b w:val="0"/>
        </w:rPr>
        <w:t>&lt;/Article&gt;</w:t>
      </w:r>
    </w:p>
    <w:p w:rsidR="009212B3" w:rsidRPr="009212B3" w:rsidRDefault="00E84D61" w:rsidP="009212B3">
      <w:pPr>
        <w:keepNext/>
      </w:pPr>
      <w:r w:rsidRPr="00EE33FA">
        <w:rPr>
          <w:rStyle w:val="HideTWBExt"/>
        </w:rPr>
        <w:t>&lt;DocAmend2&gt;</w:t>
      </w:r>
      <w:r>
        <w:t>Uredba (EU) št. 806/2014</w:t>
      </w:r>
      <w:r w:rsidRPr="00EE33FA">
        <w:rPr>
          <w:rStyle w:val="HideTWBExt"/>
        </w:rPr>
        <w:t>&lt;/DocAmend2&gt;</w:t>
      </w:r>
    </w:p>
    <w:p w:rsidR="009212B3" w:rsidRPr="009212B3" w:rsidRDefault="00E84D61" w:rsidP="009212B3">
      <w:r w:rsidRPr="00EE33FA">
        <w:rPr>
          <w:rStyle w:val="HideTWBExt"/>
        </w:rPr>
        <w:t>&lt;Article2&gt;</w:t>
      </w:r>
      <w:r>
        <w:t>Člen 12 g – odstavek 1 – pododstavek 3 a – točka b</w:t>
      </w:r>
      <w:r w:rsidRPr="00EE33F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(b)</w:t>
            </w:r>
            <w:r>
              <w:tab/>
              <w:t xml:space="preserve">izpolnjevanje zahteve iz člena 12d na konsolidirani podlagi nima </w:t>
            </w:r>
            <w:r>
              <w:rPr>
                <w:b/>
                <w:i/>
              </w:rPr>
              <w:t xml:space="preserve">bistvenega </w:t>
            </w:r>
            <w:r>
              <w:t>negativnega vpliva na rešljivost skupine v postopku reševanja ali na odpis ali konverzijo zadevnih kapitalskih instrumentov in kvalificiranih obveznosti zadevne institucije ali podrejene družbe ali drugih subjektov v skupini v postopku reševanja v skladu s členom 21.“;</w:t>
            </w:r>
          </w:p>
        </w:tc>
        <w:tc>
          <w:tcPr>
            <w:tcW w:w="4876" w:type="dxa"/>
            <w:hideMark/>
          </w:tcPr>
          <w:p w:rsidR="009212B3" w:rsidRPr="009212B3" w:rsidRDefault="00E84D61" w:rsidP="00E61564">
            <w:pPr>
              <w:pStyle w:val="Normal6"/>
              <w:rPr>
                <w:szCs w:val="24"/>
              </w:rPr>
            </w:pPr>
            <w:r>
              <w:t>(b)</w:t>
            </w:r>
            <w:r>
              <w:tab/>
              <w:t>izpolnjevanje zahteve iz člena 12d na konsolidirani podlagi nima negativnega vpliva na rešljivost skupine v postopku reševanja ali na odpis ali konverzijo zadevnih kapitalskih instrumentov in kvalificiranih obveznosti zadevne institucije ali podrejene družbe ali drugih subjektov v skupini v postopku reševanja v skladu s členom 21.“;</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pPr>
        <w:rPr>
          <w:szCs w:val="24"/>
        </w:rPr>
      </w:pPr>
      <w:r w:rsidRPr="00EE33FA">
        <w:rPr>
          <w:rStyle w:val="HideTWBExt"/>
        </w:rPr>
        <w:t>&lt;/Amend&gt;</w:t>
      </w:r>
    </w:p>
    <w:p w:rsidR="009212B3" w:rsidRPr="009212B3" w:rsidRDefault="00E84D61" w:rsidP="009212B3">
      <w:pPr>
        <w:pStyle w:val="AMNumberTabs0"/>
        <w:keepNext/>
      </w:pPr>
      <w:r w:rsidRPr="00EE33FA">
        <w:rPr>
          <w:rStyle w:val="HideTWBExt"/>
          <w:b w:val="0"/>
        </w:rPr>
        <w:t>&lt;Amend&gt;</w:t>
      </w:r>
      <w:r>
        <w:t>Predlog spremembe</w:t>
      </w:r>
      <w:r>
        <w:tab/>
      </w:r>
      <w:r>
        <w:tab/>
      </w:r>
      <w:r w:rsidRPr="00EE33FA">
        <w:rPr>
          <w:rStyle w:val="HideTWBExt"/>
          <w:b w:val="0"/>
        </w:rPr>
        <w:t>&lt;NumAm&gt;</w:t>
      </w:r>
      <w:r>
        <w:t>19</w:t>
      </w:r>
      <w:r w:rsidRPr="00EE33FA">
        <w:rPr>
          <w:rStyle w:val="HideTWBExt"/>
          <w:b w:val="0"/>
        </w:rPr>
        <w:t>&lt;/NumAm&gt;</w:t>
      </w:r>
    </w:p>
    <w:p w:rsidR="009212B3" w:rsidRPr="009212B3" w:rsidRDefault="00E84D61" w:rsidP="009212B3">
      <w:pPr>
        <w:pStyle w:val="NormalBold12b"/>
        <w:keepNext/>
      </w:pPr>
      <w:r w:rsidRPr="00EE33FA">
        <w:rPr>
          <w:rStyle w:val="HideTWBExt"/>
          <w:b w:val="0"/>
        </w:rPr>
        <w:t>&lt;DocAmend&gt;</w:t>
      </w:r>
      <w:r>
        <w:t>Predlog direktive</w:t>
      </w:r>
      <w:r w:rsidRPr="00EE33FA">
        <w:rPr>
          <w:rStyle w:val="HideTWBExt"/>
          <w:b w:val="0"/>
        </w:rPr>
        <w:t>&lt;/DocAmend&gt;</w:t>
      </w:r>
    </w:p>
    <w:p w:rsidR="009212B3" w:rsidRPr="009212B3" w:rsidRDefault="00E84D61" w:rsidP="009212B3">
      <w:pPr>
        <w:pStyle w:val="NormalBold"/>
      </w:pPr>
      <w:r w:rsidRPr="00EE33FA">
        <w:rPr>
          <w:rStyle w:val="HideTWBExt"/>
          <w:b w:val="0"/>
        </w:rPr>
        <w:t>&lt;Article&gt;</w:t>
      </w:r>
      <w:r>
        <w:t>Člen 2 – odstavek 1 – točka 3 – točka b</w:t>
      </w:r>
      <w:r w:rsidRPr="00EE33FA">
        <w:rPr>
          <w:rStyle w:val="HideTWBExt"/>
          <w:b w:val="0"/>
        </w:rPr>
        <w:t>&lt;/Article&gt;</w:t>
      </w:r>
    </w:p>
    <w:p w:rsidR="009212B3" w:rsidRPr="009212B3" w:rsidRDefault="00E84D61" w:rsidP="009212B3">
      <w:pPr>
        <w:keepNext/>
      </w:pPr>
      <w:r w:rsidRPr="00EE33FA">
        <w:rPr>
          <w:rStyle w:val="HideTWBExt"/>
        </w:rPr>
        <w:t>&lt;DocAmend2&gt;</w:t>
      </w:r>
      <w:r>
        <w:t>Uredba (EU) št. 806/2014</w:t>
      </w:r>
      <w:r w:rsidRPr="00EE33FA">
        <w:rPr>
          <w:rStyle w:val="HideTWBExt"/>
        </w:rPr>
        <w:t>&lt;/DocAmend2&gt;</w:t>
      </w:r>
    </w:p>
    <w:p w:rsidR="009212B3" w:rsidRPr="009212B3" w:rsidRDefault="00E84D61" w:rsidP="009212B3">
      <w:r w:rsidRPr="00EE33FA">
        <w:rPr>
          <w:rStyle w:val="HideTWBExt"/>
        </w:rPr>
        <w:t>&lt;Article2&gt;</w:t>
      </w:r>
      <w:r>
        <w:t>Člen 12 g – odstavek 2 a – pododstavek 2 – uvodni del</w:t>
      </w:r>
      <w:r w:rsidRPr="00EE33F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1A04" w:rsidTr="00E61564">
        <w:trPr>
          <w:jc w:val="center"/>
        </w:trPr>
        <w:tc>
          <w:tcPr>
            <w:tcW w:w="9752" w:type="dxa"/>
            <w:gridSpan w:val="2"/>
          </w:tcPr>
          <w:p w:rsidR="009212B3" w:rsidRPr="009212B3" w:rsidRDefault="009212B3" w:rsidP="00E61564">
            <w:pPr>
              <w:keepNext/>
            </w:pPr>
          </w:p>
        </w:tc>
      </w:tr>
      <w:tr w:rsidR="008C1A04" w:rsidTr="00E61564">
        <w:trPr>
          <w:jc w:val="center"/>
        </w:trPr>
        <w:tc>
          <w:tcPr>
            <w:tcW w:w="4876" w:type="dxa"/>
            <w:hideMark/>
          </w:tcPr>
          <w:p w:rsidR="009212B3" w:rsidRPr="009212B3" w:rsidRDefault="00E84D61" w:rsidP="00E61564">
            <w:pPr>
              <w:pStyle w:val="ColumnHeading"/>
              <w:keepNext/>
            </w:pPr>
            <w:r>
              <w:t>Besedilo, ki ga predlaga Komisija</w:t>
            </w:r>
          </w:p>
        </w:tc>
        <w:tc>
          <w:tcPr>
            <w:tcW w:w="4876" w:type="dxa"/>
            <w:hideMark/>
          </w:tcPr>
          <w:p w:rsidR="009212B3" w:rsidRPr="009212B3" w:rsidRDefault="00E84D61" w:rsidP="00E61564">
            <w:pPr>
              <w:pStyle w:val="ColumnHeading"/>
              <w:keepNext/>
            </w:pPr>
            <w:r>
              <w:t>Predlog spremembe</w:t>
            </w:r>
          </w:p>
        </w:tc>
      </w:tr>
      <w:tr w:rsidR="008C1A04" w:rsidTr="00E61564">
        <w:trPr>
          <w:jc w:val="center"/>
        </w:trPr>
        <w:tc>
          <w:tcPr>
            <w:tcW w:w="4876" w:type="dxa"/>
            <w:hideMark/>
          </w:tcPr>
          <w:p w:rsidR="009212B3" w:rsidRPr="009212B3" w:rsidRDefault="00E84D61" w:rsidP="00E61564">
            <w:pPr>
              <w:pStyle w:val="Normal6"/>
            </w:pPr>
            <w:r>
              <w:t xml:space="preserve">Obveznosti iz prvega pododstavka, točki (a) in (b), ne presegajo zneska, ki se določi tako, da se od zneska zahteve iz člena </w:t>
            </w:r>
            <w:r>
              <w:rPr>
                <w:b/>
                <w:bCs/>
                <w:i/>
                <w:iCs/>
              </w:rPr>
              <w:t>45(1)</w:t>
            </w:r>
            <w:r>
              <w:t>, ki se uporablja za podrejeno družbo, vključeno v konsolidacijo, odšteje vsota vsega naslednjega:</w:t>
            </w:r>
          </w:p>
        </w:tc>
        <w:tc>
          <w:tcPr>
            <w:tcW w:w="4876" w:type="dxa"/>
            <w:hideMark/>
          </w:tcPr>
          <w:p w:rsidR="009212B3" w:rsidRPr="009212B3" w:rsidRDefault="00E84D61" w:rsidP="00E61564">
            <w:pPr>
              <w:pStyle w:val="Normal6"/>
              <w:rPr>
                <w:szCs w:val="24"/>
              </w:rPr>
            </w:pPr>
            <w:r>
              <w:t xml:space="preserve">Obveznosti iz prvega pododstavka, točki (a) in (b), ne presegajo zneska, ki se določi tako, da se od zneska zahteve iz člena </w:t>
            </w:r>
            <w:r>
              <w:rPr>
                <w:b/>
                <w:bCs/>
                <w:i/>
                <w:iCs/>
              </w:rPr>
              <w:t>12(1)</w:t>
            </w:r>
            <w:r>
              <w:t>, ki se uporablja za podrejeno družbo, vključeno v konsolidacijo, odšteje vsota vsega naslednjega:</w:t>
            </w:r>
          </w:p>
        </w:tc>
      </w:tr>
    </w:tbl>
    <w:p w:rsidR="009212B3" w:rsidRPr="009212B3" w:rsidRDefault="00E84D61" w:rsidP="009212B3">
      <w:pPr>
        <w:pStyle w:val="Olang"/>
        <w:rPr>
          <w:sz w:val="24"/>
          <w:szCs w:val="24"/>
        </w:rPr>
      </w:pPr>
      <w:r w:rsidRPr="009212B3">
        <w:rPr>
          <w:sz w:val="24"/>
          <w:szCs w:val="24"/>
        </w:rPr>
        <w:t xml:space="preserve">Or. </w:t>
      </w:r>
      <w:r w:rsidRPr="00EE33FA">
        <w:rPr>
          <w:rStyle w:val="HideTWBExt"/>
        </w:rPr>
        <w:t>&lt;Original&gt;</w:t>
      </w:r>
      <w:r w:rsidRPr="00EE33FA">
        <w:rPr>
          <w:rStyle w:val="HideTWBInt"/>
        </w:rPr>
        <w:t>{EN}</w:t>
      </w:r>
      <w:r w:rsidRPr="009212B3">
        <w:rPr>
          <w:sz w:val="24"/>
          <w:szCs w:val="24"/>
        </w:rPr>
        <w:t>en</w:t>
      </w:r>
      <w:r w:rsidRPr="00EE33FA">
        <w:rPr>
          <w:rStyle w:val="HideTWBExt"/>
        </w:rPr>
        <w:t>&lt;/Original&gt;</w:t>
      </w:r>
    </w:p>
    <w:p w:rsidR="009212B3" w:rsidRPr="009212B3" w:rsidRDefault="00E84D61" w:rsidP="009212B3">
      <w:r w:rsidRPr="00EE33FA">
        <w:rPr>
          <w:rStyle w:val="HideTWBExt"/>
        </w:rPr>
        <w:t>&lt;/Amend&gt;</w:t>
      </w:r>
    </w:p>
    <w:p w:rsidR="009212B3" w:rsidRPr="009212B3" w:rsidRDefault="00E84D61" w:rsidP="009212B3">
      <w:r w:rsidRPr="00EE33FA">
        <w:rPr>
          <w:rStyle w:val="HideTWBExt"/>
        </w:rPr>
        <w:t>&lt;/RepeatBlock-Amend&gt;</w:t>
      </w:r>
    </w:p>
    <w:p w:rsidR="009212B3" w:rsidRPr="009212B3" w:rsidRDefault="009212B3" w:rsidP="009212B3"/>
    <w:p w:rsidR="002669B6" w:rsidRPr="009212B3" w:rsidRDefault="002669B6" w:rsidP="009212B3">
      <w:pPr>
        <w:pStyle w:val="AmNumberTabs"/>
        <w:keepNext/>
      </w:pPr>
    </w:p>
    <w:sectPr w:rsidR="002669B6" w:rsidRPr="009212B3" w:rsidSect="009212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034" w:rsidRDefault="00E84D61">
      <w:r>
        <w:separator/>
      </w:r>
    </w:p>
  </w:endnote>
  <w:endnote w:type="continuationSeparator" w:id="0">
    <w:p w:rsidR="00CC4034" w:rsidRDefault="00E84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2B3" w:rsidRPr="009212B3" w:rsidRDefault="00E84D61" w:rsidP="009212B3">
    <w:pPr>
      <w:pStyle w:val="EPFooter"/>
    </w:pPr>
    <w:r w:rsidRPr="009212B3">
      <w:t>PE</w:t>
    </w:r>
    <w:r w:rsidRPr="00EE33FA">
      <w:rPr>
        <w:rStyle w:val="HideTWBExt"/>
      </w:rPr>
      <w:t>&lt;NoPE&gt;</w:t>
    </w:r>
    <w:r w:rsidRPr="009212B3">
      <w:t>752.913</w:t>
    </w:r>
    <w:r w:rsidRPr="00EE33FA">
      <w:rPr>
        <w:rStyle w:val="HideTWBExt"/>
      </w:rPr>
      <w:t>&lt;/NoPE&gt;&lt;Version&gt;</w:t>
    </w:r>
    <w:r w:rsidRPr="009212B3">
      <w:t>v01-00</w:t>
    </w:r>
    <w:r w:rsidRPr="00EE33FA">
      <w:rPr>
        <w:rStyle w:val="HideTWBExt"/>
      </w:rPr>
      <w:t>&lt;/Version&gt;</w:t>
    </w:r>
    <w:r w:rsidRPr="009212B3">
      <w:tab/>
    </w:r>
    <w:r w:rsidRPr="009212B3">
      <w:fldChar w:fldCharType="begin"/>
    </w:r>
    <w:r w:rsidRPr="009212B3">
      <w:instrText xml:space="preserve"> PAGE  \* MERGEFORMAT </w:instrText>
    </w:r>
    <w:r w:rsidRPr="009212B3">
      <w:fldChar w:fldCharType="separate"/>
    </w:r>
    <w:r w:rsidR="00EE33FA">
      <w:rPr>
        <w:noProof/>
      </w:rPr>
      <w:t>2</w:t>
    </w:r>
    <w:r w:rsidRPr="009212B3">
      <w:fldChar w:fldCharType="end"/>
    </w:r>
    <w:r w:rsidRPr="009212B3">
      <w:t>/</w:t>
    </w:r>
    <w:r w:rsidR="004E0FEB">
      <w:fldChar w:fldCharType="begin"/>
    </w:r>
    <w:r>
      <w:instrText xml:space="preserve"> NUMPAGES  \* MERGEFORMAT </w:instrText>
    </w:r>
    <w:r w:rsidR="004E0FEB">
      <w:fldChar w:fldCharType="separate"/>
    </w:r>
    <w:r w:rsidR="00EE33FA">
      <w:rPr>
        <w:noProof/>
      </w:rPr>
      <w:t>19</w:t>
    </w:r>
    <w:r w:rsidR="004E0FEB">
      <w:rPr>
        <w:noProof/>
      </w:rPr>
      <w:fldChar w:fldCharType="end"/>
    </w:r>
    <w:r w:rsidRPr="009212B3">
      <w:tab/>
    </w:r>
    <w:r w:rsidRPr="00EE33FA">
      <w:rPr>
        <w:rStyle w:val="HideTWBExt"/>
      </w:rPr>
      <w:t>&lt;PathFdR&gt;</w:t>
    </w:r>
    <w:r w:rsidRPr="009212B3">
      <w:t>PR\1285454SL.docx</w:t>
    </w:r>
    <w:r w:rsidRPr="00EE33FA">
      <w:rPr>
        <w:rStyle w:val="HideTWBExt"/>
      </w:rPr>
      <w:t>&lt;/PathFdR&gt;</w:t>
    </w:r>
  </w:p>
  <w:p w:rsidR="00FB52FE" w:rsidRPr="009212B3" w:rsidRDefault="00E84D61" w:rsidP="009212B3">
    <w:pPr>
      <w:pStyle w:val="EPFooter2"/>
    </w:pPr>
    <w:r w:rsidRPr="009212B3">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2B3" w:rsidRPr="009212B3" w:rsidRDefault="00E84D61" w:rsidP="009212B3">
    <w:pPr>
      <w:pStyle w:val="EPFooter"/>
    </w:pPr>
    <w:r w:rsidRPr="00EE33FA">
      <w:rPr>
        <w:rStyle w:val="HideTWBExt"/>
      </w:rPr>
      <w:t>&lt;PathFdR&gt;</w:t>
    </w:r>
    <w:r w:rsidRPr="009212B3">
      <w:t>PR\1285454SL.docx</w:t>
    </w:r>
    <w:r w:rsidRPr="00EE33FA">
      <w:rPr>
        <w:rStyle w:val="HideTWBExt"/>
      </w:rPr>
      <w:t>&lt;/PathFdR&gt;</w:t>
    </w:r>
    <w:r w:rsidRPr="009212B3">
      <w:tab/>
    </w:r>
    <w:r w:rsidRPr="009212B3">
      <w:fldChar w:fldCharType="begin"/>
    </w:r>
    <w:r w:rsidRPr="009212B3">
      <w:instrText xml:space="preserve"> PAGE  \* MERGEFORMAT </w:instrText>
    </w:r>
    <w:r w:rsidRPr="009212B3">
      <w:fldChar w:fldCharType="separate"/>
    </w:r>
    <w:r w:rsidR="00EE33FA">
      <w:rPr>
        <w:noProof/>
      </w:rPr>
      <w:t>19</w:t>
    </w:r>
    <w:r w:rsidRPr="009212B3">
      <w:fldChar w:fldCharType="end"/>
    </w:r>
    <w:r w:rsidRPr="009212B3">
      <w:t>/</w:t>
    </w:r>
    <w:r w:rsidR="004E0FEB">
      <w:fldChar w:fldCharType="begin"/>
    </w:r>
    <w:r>
      <w:instrText xml:space="preserve"> NUMPAGES  \* MERGEFORMAT </w:instrText>
    </w:r>
    <w:r w:rsidR="004E0FEB">
      <w:fldChar w:fldCharType="separate"/>
    </w:r>
    <w:r w:rsidR="00EE33FA">
      <w:rPr>
        <w:noProof/>
      </w:rPr>
      <w:t>19</w:t>
    </w:r>
    <w:r w:rsidR="004E0FEB">
      <w:rPr>
        <w:noProof/>
      </w:rPr>
      <w:fldChar w:fldCharType="end"/>
    </w:r>
    <w:r w:rsidRPr="009212B3">
      <w:tab/>
      <w:t>PE</w:t>
    </w:r>
    <w:r w:rsidRPr="00EE33FA">
      <w:rPr>
        <w:rStyle w:val="HideTWBExt"/>
      </w:rPr>
      <w:t>&lt;NoPE&gt;</w:t>
    </w:r>
    <w:r w:rsidRPr="009212B3">
      <w:t>752.913</w:t>
    </w:r>
    <w:r w:rsidRPr="00EE33FA">
      <w:rPr>
        <w:rStyle w:val="HideTWBExt"/>
      </w:rPr>
      <w:t>&lt;/NoPE&gt;&lt;Version&gt;</w:t>
    </w:r>
    <w:r w:rsidRPr="009212B3">
      <w:t>v01-00</w:t>
    </w:r>
    <w:r w:rsidRPr="00EE33FA">
      <w:rPr>
        <w:rStyle w:val="HideTWBExt"/>
      </w:rPr>
      <w:t>&lt;/Version&gt;</w:t>
    </w:r>
  </w:p>
  <w:p w:rsidR="00FB52FE" w:rsidRPr="009212B3" w:rsidRDefault="00E84D61" w:rsidP="009212B3">
    <w:pPr>
      <w:pStyle w:val="EPFooter2"/>
    </w:pPr>
    <w:r w:rsidRPr="009212B3">
      <w:tab/>
    </w:r>
    <w:r w:rsidRPr="009212B3">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2B3" w:rsidRPr="009212B3" w:rsidRDefault="00E84D61" w:rsidP="009212B3">
    <w:pPr>
      <w:pStyle w:val="EPFooter"/>
    </w:pPr>
    <w:r w:rsidRPr="00EE33FA">
      <w:rPr>
        <w:rStyle w:val="HideTWBExt"/>
      </w:rPr>
      <w:t>&lt;PathFdR&gt;</w:t>
    </w:r>
    <w:r w:rsidRPr="009212B3">
      <w:t>PR\1285454SL.docx</w:t>
    </w:r>
    <w:r w:rsidRPr="00EE33FA">
      <w:rPr>
        <w:rStyle w:val="HideTWBExt"/>
      </w:rPr>
      <w:t>&lt;/PathFdR&gt;</w:t>
    </w:r>
    <w:r w:rsidRPr="009212B3">
      <w:tab/>
    </w:r>
    <w:r w:rsidRPr="009212B3">
      <w:tab/>
      <w:t>PE</w:t>
    </w:r>
    <w:r w:rsidRPr="00EE33FA">
      <w:rPr>
        <w:rStyle w:val="HideTWBExt"/>
      </w:rPr>
      <w:t>&lt;NoPE&gt;</w:t>
    </w:r>
    <w:r w:rsidRPr="009212B3">
      <w:t>752.913</w:t>
    </w:r>
    <w:r w:rsidRPr="00EE33FA">
      <w:rPr>
        <w:rStyle w:val="HideTWBExt"/>
      </w:rPr>
      <w:t>&lt;/NoPE&gt;&lt;Version&gt;</w:t>
    </w:r>
    <w:r w:rsidRPr="009212B3">
      <w:t>v01-00</w:t>
    </w:r>
    <w:r w:rsidRPr="00EE33FA">
      <w:rPr>
        <w:rStyle w:val="HideTWBExt"/>
      </w:rPr>
      <w:t>&lt;/Version&gt;</w:t>
    </w:r>
  </w:p>
  <w:p w:rsidR="00FB52FE" w:rsidRPr="009212B3" w:rsidRDefault="00E84D61" w:rsidP="009212B3">
    <w:pPr>
      <w:pStyle w:val="EPFooter2"/>
    </w:pPr>
    <w:r w:rsidRPr="009212B3">
      <w:t>SL</w:t>
    </w:r>
    <w:r w:rsidRPr="009212B3">
      <w:tab/>
    </w:r>
    <w:r w:rsidRPr="009212B3">
      <w:rPr>
        <w:b w:val="0"/>
        <w:i/>
        <w:color w:val="C0C0C0"/>
        <w:sz w:val="22"/>
      </w:rPr>
      <w:t>Združena v raznolikosti</w:t>
    </w:r>
    <w:r w:rsidRPr="009212B3">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F9A" w:rsidRPr="009212B3" w:rsidRDefault="00E84D61">
      <w:r w:rsidRPr="009212B3">
        <w:separator/>
      </w:r>
    </w:p>
  </w:footnote>
  <w:footnote w:type="continuationSeparator" w:id="0">
    <w:p w:rsidR="00920F9A" w:rsidRPr="009212B3" w:rsidRDefault="00E84D61">
      <w:r w:rsidRPr="009212B3">
        <w:continuationSeparator/>
      </w:r>
    </w:p>
  </w:footnote>
  <w:footnote w:id="1">
    <w:p w:rsidR="009212B3" w:rsidRPr="009212B3" w:rsidRDefault="00E84D61" w:rsidP="009212B3">
      <w:pPr>
        <w:pStyle w:val="FootnoteText"/>
        <w:rPr>
          <w:sz w:val="24"/>
          <w:szCs w:val="24"/>
        </w:rPr>
      </w:pPr>
      <w:r>
        <w:rPr>
          <w:rStyle w:val="FootnoteReference"/>
          <w:sz w:val="24"/>
          <w:szCs w:val="24"/>
        </w:rPr>
        <w:footnoteRef/>
      </w:r>
      <w:r>
        <w:rPr>
          <w:sz w:val="24"/>
        </w:rPr>
        <w:t xml:space="preserve"> </w:t>
      </w:r>
      <w:r>
        <w:rPr>
          <w:sz w:val="24"/>
        </w:rPr>
        <w:tab/>
      </w:r>
      <w:r>
        <w:t>UL C 307, 31.8.2023, str. 19.</w:t>
      </w:r>
    </w:p>
  </w:footnote>
  <w:footnote w:id="2">
    <w:p w:rsidR="009212B3" w:rsidRPr="009212B3" w:rsidRDefault="00E84D61" w:rsidP="009212B3">
      <w:pPr>
        <w:pStyle w:val="FootnoteText"/>
      </w:pPr>
      <w:r>
        <w:rPr>
          <w:rStyle w:val="FootnoteReference"/>
          <w:sz w:val="24"/>
          <w:szCs w:val="24"/>
        </w:rPr>
        <w:footnoteRef/>
      </w:r>
      <w:r>
        <w:t xml:space="preserve"> </w:t>
      </w:r>
      <w:r>
        <w:tab/>
        <w:t>Še ni objavljeno v Uradnem listu.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FEB" w:rsidRDefault="004E0F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FEB" w:rsidRDefault="004E0F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FEB" w:rsidRDefault="004E0F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OMKEY" w:val="ECON"/>
    <w:docVar w:name="DOCMNU" w:val=" 2"/>
    <w:docVar w:name="LastEditedSection" w:val=" 1"/>
    <w:docVar w:name="RepeatBlock-Amend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2581 HideTWBExt;}{\*\cs18 \additive \v\f1\fs20\cf15 _x000d__x000a_\spriority0 \styrsid1132581 HideTWBInt;}{\s19\ql \li0\ri0\sa120\nowidctlpar\wrapdefault\aspalpha\aspnum\faauto\adjustright\rin0\lin0\itap0 \rtlch\fcs1 \af0\afs20\alang1025 \ltrch\fcs0 \fs24\lang1060\langfe2057\cgrid\langnp1060\langfenp2057 _x000d__x000a_\sbasedon0 \snext19 \spriority0 \styrsid1132581 Normal6a;}{\s20\ql \li0\ri0\nowidctlpar\wrapdefault\aspalpha\aspnum\faauto\adjustright\rin0\lin0\itap0 \rtlch\fcs1 \af0\afs20\alang1025 \ltrch\fcs0 \b\fs24\lang1060\langfe2057\cgrid\langnp1060\langfenp2057 _x000d__x000a_\sbasedon0 \snext20 \spriority0 \styrsid1132581 NormalBold;}{\s21\ql \li0\ri0\sa240\nowidctlpar\wrapdefault\aspalpha\aspnum\faauto\adjustright\rin0\lin0\itap0 \rtlch\fcs1 \af0\afs20\alang1025 \ltrch\fcs0 _x000d__x000a_\i\fs24\lang1060\langfe2057\cgrid\langnp1060\langfenp2057 \sbasedon0 \snext21 \spriority0 \styrsid1132581 AmJustText;}{\s22\qc \li0\ri0\sb240\sa240\nowidctlpar\wrapdefault\aspalpha\aspnum\faauto\adjustright\rin0\lin0\itap0 \rtlch\fcs1 _x000d__x000a_\af0\afs20\alang1025 \ltrch\fcs0 \i\fs24\lang1060\langfe2057\cgrid\langnp1060\langfenp2057 \sbasedon0 \snext22 \spriority0 \styrsid1132581 AmCrossRef;}{_x000d__x000a_\s23\qc \li0\ri0\sb240\sa240\keepn\nowidctlpar\wrapdefault\aspalpha\aspnum\faauto\adjustright\rin0\lin0\itap0 \rtlch\fcs1 \af0\afs20\alang1025 \ltrch\fcs0 \i\fs24\lang1060\langfe2057\cgrid\langnp1060\langfenp2057 _x000d__x000a_\sbasedon0 \snext21 \spriority0 \styrsid1132581 AmJustTitle;}{\s24\qr \li0\ri0\sb240\sa240\nowidctlpar\wrapdefault\aspalpha\aspnum\faauto\adjustright\rin0\lin0\itap0 \rtlch\fcs1 \af0\afs20\alang1025 \ltrch\fcs0 _x000d__x000a_\fs24\lang1060\langfe2057\cgrid\langnp1060\langfenp2057 \sbasedon0 \snext24 \spriority0 \styrsid1132581 AmOrLang;}{\s25\qc \li0\ri0\sa240\nowidctlpar\wrapdefault\aspalpha\aspnum\faauto\adjustright\rin0\lin0\itap0 \rtlch\fcs1 \af0\afs20\alang1025 _x000d__x000a_\ltrch\fcs0 \i\fs24\lang1060\langfe2057\cgrid\langnp1060\langfenp2057 \sbasedon0 \snext25 \spriority0 \styrsid11325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1132581 AmNumberTabs;}{\s27\ql \li0\ri0\sb240\nowidctlpar\wrapdefault\aspalpha\aspnum\faauto\adjustright\rin0\lin0\itap0 \rtlch\fcs1 _x000d__x000a_\af0\afs20\alang1025 \ltrch\fcs0 \b\fs24\lang1060\langfe2057\cgrid\langnp1060\langfenp2057 \sbasedon0 \snext27 \spriority0 \styrsid1132581 NormalBold12b;}}{\*\rsidtbl \rsid24658\rsid223860\rsid735077\rsid1132581\rsid1718133\rsid2892074\rsid3565327_x000d__x000a_\rsid4666813\rsid6500056\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ERIN Suzana}{\operator KERIN Suzana}{\creatim\yr2023\mo9\dy13\hr15\min50}{\revtim\yr2023\mo9\dy13\hr15\min50}{\version1}{\edmins0}{\nofpages1}_x000d__x000a_{\nofwords111}{\nofchars611}{\nofcharsws7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50\pgbrdrhead\pgbrdrfoot\splytwnine\ftnlytwnine\htmautsp\nolnhtadjtbl\useltbaln\alntblind\lytcalctblwd\lyttblrtgr\lnbrkrule\nobrkwrptbl\snaptogridincell\allowfieldendsel\wrppunct_x000d__x000a_\asianbrkrule\nojkernpunct\rsidroot1132581\newtblstyruls\nogrowautofit\usenormstyforlist\noindnmbrts\felnbrelev\nocxsptable\indrlsweleven\noafcnsttbl\afelev\utinl\hwelev\spltpgpar\notcvasp\notbrkcnstfrctbl\notvatxbx\krnprsnet\cachedcolbal _x000d__x000a_\nouicompat \fet0{\*\wgrffmtfilter 013f}\nofeaturethrottle1\ilfomacatclnup0{\*\template C:\\Users\\skerin\\AppData\\Local\\Temp\\Blank1.dotx}{\*\ftnsep \ltrpar \pard\plain \ltrpar_x000d__x000a_\ql \li0\ri0\widctlpar\wrapdefault\aspalpha\aspnum\faauto\adjustright\rin0\lin0\itap0 \rtlch\fcs1 \af0\afs20\alang1025 \ltrch\fcs0 \fs24\lang2057\langfe2057\cgrid\langnp2057\langfenp2057 {\rtlch\fcs1 \af0 \ltrch\fcs0 \insrsid6500056 \chftnsep _x000d__x000a_\par }}{\*\ftnsepc \ltrpar \pard\plain \ltrpar\ql \li0\ri0\widctlpar\wrapdefault\aspalpha\aspnum\faauto\adjustright\rin0\lin0\itap0 \rtlch\fcs1 \af0\afs20\alang1025 \ltrch\fcs0 \fs24\lang2057\langfe2057\cgrid\langnp2057\langfenp2057 {\rtlch\fcs1 \af0 _x000d__x000a_\ltrch\fcs0 \insrsid6500056 \chftnsepc _x000d__x000a_\par }}{\*\aftnsep \ltrpar \pard\plain \ltrpar\ql \li0\ri0\widctlpar\wrapdefault\aspalpha\aspnum\faauto\adjustright\rin0\lin0\itap0 \rtlch\fcs1 \af0\afs20\alang1025 \ltrch\fcs0 \fs24\lang2057\langfe2057\cgrid\langnp2057\langfenp2057 {\rtlch\fcs1 \af0 _x000d__x000a_\ltrch\fcs0 \insrsid6500056 \chftnsep _x000d__x000a_\par }}{\*\aftnsepc \ltrpar \pard\plain \ltrpar\ql \li0\ri0\widctlpar\wrapdefault\aspalpha\aspnum\faauto\adjustright\rin0\lin0\itap0 \rtlch\fcs1 \af0\afs20\alang1025 \ltrch\fcs0 \fs24\lang2057\langfe2057\cgrid\langnp2057\langfenp2057 {\rtlch\fcs1 \af0 _x000d__x000a_\ltrch\fcs0 \insrsid65000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2581 \rtlch\fcs1 _x000d__x000a_\af0\afs20\alang1025 \ltrch\fcs0 \b\fs24\lang1060\langfe2057\cgrid\langnp1060\langfenp2057 {\rtlch\fcs1 \af0 \ltrch\fcs0 \cs17\b0\v\fs20\cf9\lang1024\langfe1024\loch\af1\hich\af1\dbch\af31501\noproof\insrsid1132581\charrsid9572250 {\*\bkmkstart restart}_x000d__x000a_\hich\af1\dbch\af31501\loch\f1 &lt;Amend&gt;}{\rtlch\fcs1 \af0 \ltrch\fcs0 \insrsid1132581\charrsid9572250 Predlog spremembe\tab \tab }{\rtlch\fcs1 \af0 \ltrch\fcs0 _x000d__x000a_\cs17\b0\v\fs20\cf9\lang1024\langfe1024\loch\af1\hich\af1\dbch\af31501\noproof\insrsid1132581\charrsid9572250 \hich\af1\dbch\af31501\loch\f1 &lt;NumAm&gt;}{\rtlch\fcs1 \af0 \ltrch\fcs0 \insrsid1132581\charrsid9572250 #}{\rtlch\fcs1 \af1 \ltrch\fcs0 _x000d__x000a_\cs18\v\f1\fs20\cf15\insrsid1132581\charrsid9572250 ENMIENDA@NRAM@}{\rtlch\fcs1 \af0 \ltrch\fcs0 \insrsid1132581\charrsid9572250 #}{\rtlch\fcs1 \af0 \ltrch\fcs0 _x000d__x000a_\cs17\b0\v\fs20\cf9\lang1024\langfe1024\loch\af1\hich\af1\dbch\af31501\noproof\insrsid1132581\charrsid9572250 \hich\af1\dbch\af31501\loch\f1 &lt;/NumAm&gt;}{\rtlch\fcs1 \af0 \ltrch\fcs0 \insrsid1132581\charrsid9572250 _x000d__x000a_\par }\pard\plain \ltrpar\s27\ql \li0\ri0\sb240\keepn\nowidctlpar\wrapdefault\aspalpha\aspnum\faauto\adjustright\rin0\lin0\itap0\pararsid1132581 \rtlch\fcs1 \af0\afs20\alang1025 \ltrch\fcs0 \b\fs24\lang1060\langfe2057\cgrid\langnp1060\langfenp2057 {_x000d__x000a_\rtlch\fcs1 \af0 \ltrch\fcs0 \cs17\b0\v\fs20\cf9\lang1024\langfe1024\loch\af1\hich\af1\dbch\af31501\noproof\insrsid1132581\charrsid9572250 \hich\af1\dbch\af31501\loch\f1 &lt;DocAmend&gt;}{\rtlch\fcs1 \af0 \ltrch\fcs0 \insrsid1132581\charrsid9572250 Predlog #}{_x000d__x000a_\rtlch\fcs1 \af1 \ltrch\fcs0 \cs18\v\f1\fs20\cf15\insrsid1132581\charrsid9572250 MNU[DOC1][DOC2][DOC3]@DOCMSG@DOCMNU}{\rtlch\fcs1 \af0 \ltrch\fcs0 \insrsid1132581\charrsid9572250 ##}{\rtlch\fcs1 \af1 \ltrch\fcs0 _x000d__x000a_\cs18\v\f1\fs20\cf15\insrsid1132581\charrsid9572250 MNU[AMACTYES][NOTAPP]@CHOICE@AMACTMNU}{\rtlch\fcs1 \af0 \ltrch\fcs0 \insrsid1132581\charrsid9572250 #}{\rtlch\fcs1 \af0 \ltrch\fcs0 _x000d__x000a_\cs17\b0\v\fs20\cf9\lang1024\langfe1024\loch\af1\hich\af1\dbch\af31501\noproof\insrsid1132581\charrsid9572250 \hich\af1\dbch\af31501\loch\f1 &lt;/DocAmend&gt;}{\rtlch\fcs1 \af0 \ltrch\fcs0 \insrsid1132581\charrsid9572250 _x000d__x000a_\par }\pard\plain \ltrpar\s20\ql \li0\ri0\keepn\nowidctlpar\wrapdefault\aspalpha\aspnum\faauto\adjustright\rin0\lin0\itap0\pararsid1132581 \rtlch\fcs1 \af0\afs20\alang1025 \ltrch\fcs0 \b\fs24\lang1060\langfe2057\cgrid\langnp1060\langfenp2057 {\rtlch\fcs1 \af0 _x000d__x000a_\ltrch\fcs0 \cs17\b0\v\fs20\cf9\lang1024\langfe1024\loch\af1\hich\af1\dbch\af31501\noproof\insrsid1132581\charrsid9572250 \hich\af1\dbch\af31501\loch\f1 &lt;Article&gt;}{\rtlch\fcs1 \af0 \ltrch\fcs0 \insrsid1132581\charrsid9572250 #}{\rtlch\fcs1 \af1 _x000d__x000a_\ltrch\fcs0 \cs18\v\f1\fs20\cf15\insrsid1132581\charrsid9572250 MNU[AMACTPARTYES][AMACTPARTNO]@CHOICE@AMACTMNU}{\rtlch\fcs1 \af0 \ltrch\fcs0 \insrsid1132581\charrsid9572250 #}{\rtlch\fcs1 \af0 \ltrch\fcs0 _x000d__x000a_\cs17\b0\v\fs20\cf9\lang1024\langfe1024\loch\af1\hich\af1\dbch\af31501\noproof\insrsid1132581\charrsid9572250 \hich\af1\dbch\af31501\loch\f1 &lt;/Article&gt;}{\rtlch\fcs1 \af0 \ltrch\fcs0 \insrsid1132581\charrsid9572250 _x000d__x000a_\par }\pard\plain \ltrpar\ql \li0\ri0\keepn\widctlpar\wrapdefault\aspalpha\aspnum\faauto\adjustright\rin0\lin0\itap0\pararsid1132581 \rtlch\fcs1 \af0\afs20\alang1025 \ltrch\fcs0 \fs24\lang2057\langfe2057\cgrid\langnp2057\langfenp2057 {\rtlch\fcs1 \af0 _x000d__x000a_\ltrch\fcs0 \cs17\v\fs20\cf9\lang1024\langfe1024\loch\af1\hich\af1\dbch\af31501\noproof\langnp1060\insrsid1132581\charrsid9572250 \hich\af1\dbch\af31501\loch\f1 &lt;DocAmend2&gt;&lt;OptDel&gt;}{\rtlch\fcs1 \af0 \ltrch\fcs0 _x000d__x000a_\lang1060\langfe2057\langnp1060\insrsid1132581\charrsid9572250 #}{\rtlch\fcs1 \af1 \ltrch\fcs0 \cs18\v\f1\fs20\cf15\lang1060\langfe2057\langnp1060\insrsid1132581\charrsid9572250 MNU[OPTNRACTYES][NOTAPP]@CHOICE@AMACTMNU}{\rtlch\fcs1 \af0 \ltrch\fcs0 _x000d__x000a_\lang1060\langfe2057\langnp1060\insrsid1132581\charrsid9572250 #}{\rtlch\fcs1 \af0 \ltrch\fcs0 \cs17\v\fs20\cf9\lang1024\langfe1024\loch\af1\hich\af1\dbch\af31501\noproof\langnp1060\insrsid1132581\charrsid9572250 \hich\af1\dbch\af31501\loch\f1 _x000d__x000a_&lt;/OptDel&gt;&lt;/DocAmend2&gt;}{\rtlch\fcs1 \af0 \ltrch\fcs0 \lang1060\langfe2057\langnp1060\insrsid1132581\charrsid9572250 _x000d__x000a_\par }\pard \ltrpar\ql \li0\ri0\widctlpar\wrapdefault\aspalpha\aspnum\faauto\adjustright\rin0\lin0\itap0\pararsid1132581 {\rtlch\fcs1 \af0 \ltrch\fcs0 _x000d__x000a_\cs17\v\fs20\cf9\lang1024\langfe1024\loch\af1\hich\af1\dbch\af31501\noproof\langnp1060\insrsid1132581\charrsid9572250 \hich\af1\dbch\af31501\loch\f1 &lt;Article2&gt;&lt;OptDel&gt;}{\rtlch\fcs1 \af0 \ltrch\fcs0 _x000d__x000a_\lang1060\langfe2057\langnp1060\insrsid1132581\charrsid9572250 #}{\rtlch\fcs1 \af1 \ltrch\fcs0 \cs18\v\f1\fs20\cf15\lang1060\langfe2057\langnp1060\insrsid1132581\charrsid9572250 MNU[OPTACTPARTYES][NOTAPP]@CHOICE@AMACTMNU}{\rtlch\fcs1 \af0 \ltrch\fcs0 _x000d__x000a_\lang1060\langfe2057\langnp1060\insrsid1132581\charrsid9572250 #}{\rtlch\fcs1 \af0 \ltrch\fcs0 \cs17\v\fs20\cf9\lang1024\langfe1024\loch\af1\hich\af1\dbch\af31501\noproof\langnp1060\insrsid1132581\charrsid9572250 \hich\af1\dbch\af31501\loch\f1 _x000d__x000a_&lt;/OptDel&gt;&lt;/Article2&gt;}{\rtlch\fcs1 \af0 \ltrch\fcs0 \lang1060\langfe2057\langnp1060\insrsid1132581\charrsid957225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60\langfe2057\langnp1060\insrsid1132581\charrsid9572250 \cell }\pard\plain \ltrpar_x000d__x000a_\ql \li0\ri0\widctlpar\intbl\wrapdefault\aspalpha\aspnum\faauto\adjustright\rin0\lin0 \rtlch\fcs1 \af0\afs20\alang1025 \ltrch\fcs0 \fs24\lang2057\langfe2057\cgrid\langnp2057\langfenp2057 {\rtlch\fcs1 \af0 \ltrch\fcs0 _x000d__x000a_\lang1060\langfe2057\langnp1060\insrsid1132581\charrsid957225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0\langfe2057\cgrid\langnp1060\langfenp2057 {\rtlch\fcs1 \af0 \ltrch\fcs0 _x000d__x000a_\insrsid1132581\charrsid9572250 #}{\rtlch\fcs1 \af1 \ltrch\fcs0 \cs18\v\f1\fs20\cf15\insrsid1132581\charrsid9572250 MNU[OPTLEFTAMACT][LEFTPROP]@CHOICE@AMACTMNU}{\rtlch\fcs1 \af0 \ltrch\fcs0 \insrsid1132581\charrsid9572250 #\cell Predlog spremembe\cell _x000d__x000a_}\pard\plain \ltrpar\ql \li0\ri0\widctlpar\intbl\wrapdefault\aspalpha\aspnum\faauto\adjustright\rin0\lin0 \rtlch\fcs1 \af0\afs20\alang1025 \ltrch\fcs0 \fs24\lang2057\langfe2057\cgrid\langnp2057\langfenp2057 {\rtlch\fcs1 \af0 \ltrch\fcs0 _x000d__x000a_\lang1060\langfe2057\langnp1060\insrsid1132581\charrsid9572250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60\langfe2057\cgrid\langnp1060\langfenp2057 {\rtlch\fcs1 \af0 \ltrch\fcs0 _x000d__x000a_\insrsid1132581\charrsid9572250 #}{\rtlch\fcs1 \af1 \ltrch\fcs0 \cs18\v\f1\fs20\cf15\insrsid1132581\charrsid9572250 TEXTMSG}{\rtlch\fcs1 \af0 \ltrch\fcs0 \insrsid1132581\charrsid9572250 #\cell #}{\rtlch\fcs1 \af1 \ltrch\fcs0 _x000d__x000a_\cs18\v\f1\fs20\cf15\insrsid1132581\charrsid9572250 TEXTMSG}{\rtlch\fcs1 \af0 \ltrch\fcs0 \insrsid1132581\charrsid9572250 #}{\rtlch\fcs1 \af0\afs24 \ltrch\fcs0 \insrsid1132581\charrsid9572250 \cell }\pard\plain \ltrpar_x000d__x000a_\ql \li0\ri0\widctlpar\intbl\wrapdefault\aspalpha\aspnum\faauto\adjustright\rin0\lin0 \rtlch\fcs1 \af0\afs20\alang1025 \ltrch\fcs0 \fs24\lang2057\langfe2057\cgrid\langnp2057\langfenp2057 {\rtlch\fcs1 \af0 \ltrch\fcs0 _x000d__x000a_\lang1060\langfe2057\langnp1060\insrsid1132581\charrsid957225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32581 \rtlch\fcs1 \af0\afs20\alang1025 \ltrch\fcs0 \fs24\lang1060\langfe2057\cgrid\langnp1060\langfenp2057 {\rtlch\fcs1 \af0 \ltrch\fcs0 _x000d__x000a_\insrsid1132581\charrsid9572250 Or. }{\rtlch\fcs1 \af0 \ltrch\fcs0 \cs17\v\fs20\cf9\lang1024\langfe1024\loch\af1\hich\af1\dbch\af31501\noproof\insrsid1132581\charrsid9572250 \hich\af1\dbch\af31501\loch\f1 &lt;Original&gt;}{\rtlch\fcs1 \af0 \ltrch\fcs0 _x000d__x000a_\insrsid1132581\charrsid9572250 #}{\rtlch\fcs1 \af1 \ltrch\fcs0 \cs18\v\f1\fs20\cf15\insrsid1132581\charrsid9572250 MNU[ORLANGONE][ORLANGMORE]@CHOICE@ORLANGMNU}{\rtlch\fcs1 \af0 \ltrch\fcs0 \insrsid1132581\charrsid9572250 #}{\rtlch\fcs1 \af0 \ltrch\fcs0 _x000d__x000a_\cs17\v\fs20\cf9\lang1024\langfe1024\loch\af1\hich\af1\dbch\af31501\noproof\insrsid1132581\charrsid9572250 \hich\af1\dbch\af31501\loch\f1 &lt;/Original&gt;}{\rtlch\fcs1 \af0 \ltrch\fcs0 \insrsid1132581\charrsid9572250 _x000d__x000a_\par }\pard\plain \ltrpar\s22\qc \li0\ri0\sb240\sa240\nowidctlpar\wrapdefault\aspalpha\aspnum\faauto\adjustright\rin0\lin0\itap0\pararsid1132581 \rtlch\fcs1 \af0\afs20\alang1025 \ltrch\fcs0 \i\fs24\lang1060\langfe2057\cgrid\langnp1060\langfenp2057 {_x000d__x000a_\rtlch\fcs1 \af0 \ltrch\fcs0 \cs17\i0\v\fs20\cf9\lang1024\langfe1024\loch\af1\hich\af1\dbch\af31501\noproof\insrsid1132581\charrsid9572250 \hich\af1\dbch\af31501\loch\f1 &lt;OptDel&gt;}{\rtlch\fcs1 \af0 \ltrch\fcs0 \insrsid1132581\charrsid9572250 #}{_x000d__x000a_\rtlch\fcs1 \af1 \ltrch\fcs0 \cs18\v\f1\fs20\cf15\insrsid1132581\charrsid9572250 MNU[CROSSREFNO][CROSSREFYES]@CHOICE@}{\rtlch\fcs1 \af0 \ltrch\fcs0 \insrsid1132581\charrsid9572250 #}{\rtlch\fcs1 \af0 \ltrch\fcs0 _x000d__x000a_\cs17\i0\v\fs20\cf9\lang1024\langfe1024\loch\af1\hich\af1\dbch\af31501\noproof\insrsid1132581\charrsid9572250 \hich\af1\dbch\af31501\loch\f1 &lt;/OptDel&gt;}{\rtlch\fcs1 \af0 \ltrch\fcs0 \insrsid1132581\charrsid9572250 _x000d__x000a_\par }\pard\plain \ltrpar\s23\qc \li0\ri0\sb240\sa240\keepn\nowidctlpar\wrapdefault\aspalpha\aspnum\faauto\adjustright\rin0\lin0\itap0\pararsid1132581 \rtlch\fcs1 \af0\afs20\alang1025 \ltrch\fcs0 \i\fs24\lang1060\langfe2057\cgrid\langnp1060\langfenp2057 {_x000d__x000a_\rtlch\fcs1 \af0 \ltrch\fcs0 \cs17\i0\v\fs20\cf9\lang1024\langfe1024\loch\af1\hich\af1\dbch\af31501\noproof\insrsid1132581\charrsid9572250 \hich\af1\dbch\af31501\loch\f1 &lt;TitreJust&gt;}{\rtlch\fcs1 \af0 \ltrch\fcs0 \insrsid1132581\charrsid9572250 Obrazlo\'9e_x000d__x000a_itev}{\rtlch\fcs1 \af0 \ltrch\fcs0 \cs17\i0\v\fs20\cf9\lang1024\langfe1024\loch\af1\hich\af1\dbch\af31501\noproof\insrsid1132581\charrsid9572250 \hich\af1\dbch\af31501\loch\f1 &lt;/TitreJust&gt;}{\rtlch\fcs1 \af0 \ltrch\fcs0 \insrsid1132581\charrsid9572250 _x000d__x000a__x000d__x000a_\par }\pard\plain \ltrpar\s21\ql \li0\ri0\sa240\nowidctlpar\wrapdefault\aspalpha\aspnum\faauto\adjustright\rin0\lin0\itap0\pararsid1132581 \rtlch\fcs1 \af0\afs20\alang1025 \ltrch\fcs0 \i\fs24\lang1060\langfe2057\cgrid\langnp1060\langfenp2057 {\rtlch\fcs1 \af0 _x000d__x000a_\ltrch\fcs0 \cs17\i0\v\fs20\cf9\lang1024\langfe1024\loch\af1\hich\af1\dbch\af31501\noproof\insrsid1132581\charrsid9572250 \hich\af1\dbch\af31501\loch\f1 &lt;OptDelPrev&gt;}{\rtlch\fcs1 \af0 \ltrch\fcs0 \insrsid1132581\charrsid9572250 #}{\rtlch\fcs1 \af1 _x000d__x000a_\ltrch\fcs0 \cs18\v\f1\fs20\cf15\insrsid1132581\charrsid9572250 MNU[TEXTJUSTYES][TEXTJUSTNO]@CHOICE@}{\rtlch\fcs1 \af0 \ltrch\fcs0 \insrsid1132581\charrsid9572250 #}{\rtlch\fcs1 \af0 \ltrch\fcs0 _x000d__x000a_\cs17\i0\v\fs20\cf9\lang1024\langfe1024\loch\af1\hich\af1\dbch\af31501\noproof\insrsid1132581\charrsid9572250 \hich\af1\dbch\af31501\loch\f1 &lt;/OptDelPrev&gt;}{\rtlch\fcs1 \af0 \ltrch\fcs0 \insrsid1132581\charrsid9572250 _x000d__x000a_\par }\pard\plain \ltrpar\ql \li0\ri0\widctlpar\wrapdefault\aspalpha\aspnum\faauto\adjustright\rin0\lin0\itap0\pararsid1132581 \rtlch\fcs1 \af0\afs20\alang1025 \ltrch\fcs0 \fs24\lang2057\langfe2057\cgrid\langnp2057\langfenp2057 {\rtlch\fcs1 \af0 \ltrch\fcs0 _x000d__x000a_\cs17\v\fs20\cf9\lang1024\langfe1024\loch\af1\hich\af1\dbch\af31501\noproof\langnp1060\insrsid1132581\charrsid957225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f_x000d__x000a_854c49e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XTAUTHOR" w:val="Jonás Fernández"/>
    <w:docVar w:name="TXTLANGUE" w:val="SL"/>
    <w:docVar w:name="TXTLANGUEMIN" w:val="sl"/>
    <w:docVar w:name="TXTNRC" w:val="0134/2023"/>
    <w:docVar w:name="TXTNRCOD" w:val="2023/0113"/>
    <w:docVar w:name="TXTNRCOM" w:val="(2023)0229"/>
    <w:docVar w:name="TXTNRPE" w:val="752.913"/>
    <w:docVar w:name="TXTPEorAP" w:val="PE"/>
    <w:docVar w:name="TXTROUTE" w:val="PR\1285454SL.docx"/>
    <w:docVar w:name="TXTTITLE" w:val="amending Directive 2014/59/EU and Regulation (EU) No 806/2014 as regards certain aspects of the minimum requirement for own funds and eligible liabilities"/>
    <w:docVar w:name="TXTVERSION" w:val="01-00"/>
  </w:docVars>
  <w:rsids>
    <w:rsidRoot w:val="00920F9A"/>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0FEB"/>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9092A"/>
    <w:rsid w:val="0069511F"/>
    <w:rsid w:val="006A2F5D"/>
    <w:rsid w:val="006F7907"/>
    <w:rsid w:val="00713744"/>
    <w:rsid w:val="00743189"/>
    <w:rsid w:val="00743D33"/>
    <w:rsid w:val="007932B3"/>
    <w:rsid w:val="00793EA9"/>
    <w:rsid w:val="007D6F68"/>
    <w:rsid w:val="00823E6B"/>
    <w:rsid w:val="00826780"/>
    <w:rsid w:val="00837CCD"/>
    <w:rsid w:val="008633CC"/>
    <w:rsid w:val="00865190"/>
    <w:rsid w:val="008719B9"/>
    <w:rsid w:val="00894923"/>
    <w:rsid w:val="00894ECE"/>
    <w:rsid w:val="00896BB4"/>
    <w:rsid w:val="008A7FB8"/>
    <w:rsid w:val="008C1A04"/>
    <w:rsid w:val="009022B8"/>
    <w:rsid w:val="00914537"/>
    <w:rsid w:val="00917CC4"/>
    <w:rsid w:val="00920F9A"/>
    <w:rsid w:val="009212B3"/>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C4034"/>
    <w:rsid w:val="00CF60C8"/>
    <w:rsid w:val="00D30DE2"/>
    <w:rsid w:val="00D32924"/>
    <w:rsid w:val="00D503A3"/>
    <w:rsid w:val="00DA6ED0"/>
    <w:rsid w:val="00DC5011"/>
    <w:rsid w:val="00E171B6"/>
    <w:rsid w:val="00E61564"/>
    <w:rsid w:val="00E72695"/>
    <w:rsid w:val="00E84D61"/>
    <w:rsid w:val="00EB1753"/>
    <w:rsid w:val="00EB6CFF"/>
    <w:rsid w:val="00EE33FA"/>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9896B0-3BE7-4FE8-8175-8DFBC8C44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9212B3"/>
    <w:pPr>
      <w:tabs>
        <w:tab w:val="right" w:pos="454"/>
        <w:tab w:val="left" w:pos="737"/>
      </w:tabs>
      <w:ind w:left="737" w:hanging="737"/>
    </w:pPr>
    <w:rPr>
      <w:snapToGrid w:val="0"/>
      <w:sz w:val="18"/>
      <w:lang w:eastAsia="en-US"/>
    </w:rPr>
  </w:style>
  <w:style w:type="paragraph" w:customStyle="1" w:styleId="Lgendetitre">
    <w:name w:val="Légende titre"/>
    <w:basedOn w:val="Normal"/>
    <w:rsid w:val="009212B3"/>
    <w:pPr>
      <w:spacing w:before="240" w:after="240"/>
    </w:pPr>
    <w:rPr>
      <w:b/>
      <w:i/>
      <w:snapToGrid w:val="0"/>
      <w:lang w:eastAsia="en-US"/>
    </w:rPr>
  </w:style>
  <w:style w:type="paragraph" w:customStyle="1" w:styleId="Lgendestandard">
    <w:name w:val="Légende standard"/>
    <w:basedOn w:val="Normal"/>
    <w:rsid w:val="009212B3"/>
    <w:rPr>
      <w:sz w:val="18"/>
    </w:rPr>
  </w:style>
  <w:style w:type="paragraph" w:styleId="FootnoteText">
    <w:name w:val="footnote text"/>
    <w:basedOn w:val="Normal"/>
    <w:link w:val="FootnoteTextChar"/>
    <w:rsid w:val="009212B3"/>
    <w:rPr>
      <w:sz w:val="20"/>
    </w:rPr>
  </w:style>
  <w:style w:type="character" w:customStyle="1" w:styleId="FootnoteTextChar">
    <w:name w:val="Footnote Text Char"/>
    <w:basedOn w:val="DefaultParagraphFont"/>
    <w:link w:val="FootnoteText"/>
    <w:rsid w:val="009212B3"/>
  </w:style>
  <w:style w:type="character" w:styleId="FootnoteReference">
    <w:name w:val="footnote reference"/>
    <w:basedOn w:val="DefaultParagraphFont"/>
    <w:rsid w:val="009212B3"/>
    <w:rPr>
      <w:vertAlign w:val="superscript"/>
    </w:rPr>
  </w:style>
  <w:style w:type="character" w:customStyle="1" w:styleId="Normal6Char">
    <w:name w:val="Normal6 Char"/>
    <w:basedOn w:val="DefaultParagraphFont"/>
    <w:link w:val="Normal6"/>
    <w:locked/>
    <w:rsid w:val="009212B3"/>
    <w:rPr>
      <w:sz w:val="24"/>
      <w:lang w:val="sl-SI"/>
    </w:rPr>
  </w:style>
  <w:style w:type="paragraph" w:customStyle="1" w:styleId="Normal6">
    <w:name w:val="Normal6"/>
    <w:basedOn w:val="Normal"/>
    <w:link w:val="Normal6Char"/>
    <w:rsid w:val="009212B3"/>
    <w:pPr>
      <w:spacing w:after="120"/>
    </w:pPr>
  </w:style>
  <w:style w:type="character" w:customStyle="1" w:styleId="NormalBoldChar">
    <w:name w:val="NormalBold Char"/>
    <w:basedOn w:val="DefaultParagraphFont"/>
    <w:link w:val="NormalBold"/>
    <w:locked/>
    <w:rsid w:val="009212B3"/>
    <w:rPr>
      <w:b/>
      <w:sz w:val="24"/>
      <w:lang w:val="sl-SI"/>
    </w:rPr>
  </w:style>
  <w:style w:type="paragraph" w:customStyle="1" w:styleId="ColumnHeading">
    <w:name w:val="ColumnHeading"/>
    <w:basedOn w:val="Normal"/>
    <w:rsid w:val="009212B3"/>
    <w:pPr>
      <w:spacing w:after="240"/>
      <w:jc w:val="center"/>
    </w:pPr>
    <w:rPr>
      <w:i/>
    </w:rPr>
  </w:style>
  <w:style w:type="paragraph" w:customStyle="1" w:styleId="AMNumberTabs0">
    <w:name w:val="AMNumberTabs"/>
    <w:basedOn w:val="Normal"/>
    <w:rsid w:val="009212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212B3"/>
    <w:pPr>
      <w:jc w:val="right"/>
    </w:pPr>
  </w:style>
  <w:style w:type="paragraph" w:styleId="Footer">
    <w:name w:val="footer"/>
    <w:basedOn w:val="Normal"/>
    <w:link w:val="FooterChar"/>
    <w:semiHidden/>
    <w:rsid w:val="004E0FEB"/>
    <w:pPr>
      <w:tabs>
        <w:tab w:val="center" w:pos="4513"/>
        <w:tab w:val="right" w:pos="9026"/>
      </w:tabs>
    </w:pPr>
  </w:style>
  <w:style w:type="character" w:customStyle="1" w:styleId="FooterChar">
    <w:name w:val="Footer Char"/>
    <w:basedOn w:val="DefaultParagraphFont"/>
    <w:link w:val="Footer"/>
    <w:semiHidden/>
    <w:rsid w:val="004E0FEB"/>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erin\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68DF0-D22E-4877-A272-5E14A42BF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19</Pages>
  <Words>5855</Words>
  <Characters>33610</Characters>
  <Application>Microsoft Office Word</Application>
  <DocSecurity>0</DocSecurity>
  <Lines>1158</Lines>
  <Paragraphs>283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KERIN Suzana</dc:creator>
  <cp:lastModifiedBy>GROSELJ Katarina</cp:lastModifiedBy>
  <cp:revision>2</cp:revision>
  <cp:lastPrinted>2004-11-04T09:41:00Z</cp:lastPrinted>
  <dcterms:created xsi:type="dcterms:W3CDTF">2023-09-26T09:04:00Z</dcterms:created>
  <dcterms:modified xsi:type="dcterms:W3CDTF">2023-09-26T09:04:00Z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1285454</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\\eiciLUXpr1\pdocep$\DocEP\TRANSFIL\SL\PR_COD_1amCom.SL(29/06/2022 10:26:20)</vt:lpwstr>
  </property>
  <property fmtid="{D5CDD505-2E9C-101B-9397-08002B2CF9AE}" pid="7" name="&lt;Type&gt;">
    <vt:lpwstr>PR</vt:lpwstr>
  </property>
  <property fmtid="{D5CDD505-2E9C-101B-9397-08002B2CF9AE}" pid="8" name="Bookout">
    <vt:lpwstr>OK - 2023/09/26 11:01</vt:lpwstr>
  </property>
  <property fmtid="{D5CDD505-2E9C-101B-9397-08002B2CF9AE}" pid="9" name="Created with">
    <vt:lpwstr>9.14.1 Build [20230315]</vt:lpwstr>
  </property>
  <property fmtid="{D5CDD505-2E9C-101B-9397-08002B2CF9AE}" pid="10" name="FooterPath">
    <vt:lpwstr>PR\1285454SL.docx</vt:lpwstr>
  </property>
  <property fmtid="{D5CDD505-2E9C-101B-9397-08002B2CF9AE}" pid="11" name="LastEdited with">
    <vt:lpwstr>9.14.1 Build [20230315]</vt:lpwstr>
  </property>
  <property fmtid="{D5CDD505-2E9C-101B-9397-08002B2CF9AE}" pid="12" name="PE number">
    <vt:lpwstr>752.913</vt:lpwstr>
  </property>
  <property fmtid="{D5CDD505-2E9C-101B-9397-08002B2CF9AE}" pid="13" name="SDLStudio">
    <vt:lpwstr/>
  </property>
</Properties>
</file>