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31971" w:rsidRPr="00A732EB" w:rsidTr="00DA0796">
        <w:trPr>
          <w:trHeight w:hRule="exact" w:val="1418"/>
        </w:trPr>
        <w:tc>
          <w:tcPr>
            <w:tcW w:w="6804" w:type="dxa"/>
            <w:shd w:val="clear" w:color="auto" w:fill="auto"/>
            <w:vAlign w:val="center"/>
          </w:tcPr>
          <w:p w:rsidR="00B13D6F" w:rsidRPr="00A732EB" w:rsidRDefault="00F22AF7" w:rsidP="00F22AF7">
            <w:pPr>
              <w:pStyle w:val="EPName"/>
              <w:widowControl/>
            </w:pPr>
            <w:r w:rsidRPr="00A732EB">
              <w:t>Europaparlamentet</w:t>
            </w:r>
          </w:p>
          <w:p w:rsidR="00B13D6F" w:rsidRPr="00A732EB" w:rsidRDefault="00F22AF7" w:rsidP="00F22AF7">
            <w:pPr>
              <w:pStyle w:val="EPTerm"/>
              <w:widowControl/>
            </w:pPr>
            <w:r w:rsidRPr="00A732EB">
              <w:t>2019-2024</w:t>
            </w:r>
          </w:p>
        </w:tc>
        <w:tc>
          <w:tcPr>
            <w:tcW w:w="2268" w:type="dxa"/>
            <w:shd w:val="clear" w:color="auto" w:fill="auto"/>
          </w:tcPr>
          <w:p w:rsidR="00B13D6F" w:rsidRPr="00A732EB" w:rsidRDefault="00F22AF7" w:rsidP="00F22AF7">
            <w:pPr>
              <w:pStyle w:val="EPLogo"/>
              <w:widowControl/>
            </w:pPr>
            <w:r w:rsidRPr="00A732EB">
              <w:rPr>
                <w:noProof/>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A732EB" w:rsidRDefault="00461601" w:rsidP="00F22AF7">
      <w:pPr>
        <w:pStyle w:val="LineTop"/>
        <w:widowControl/>
      </w:pPr>
    </w:p>
    <w:p w:rsidR="00461601" w:rsidRPr="00A732EB" w:rsidRDefault="00F22AF7" w:rsidP="00F22AF7">
      <w:pPr>
        <w:pStyle w:val="EPBody"/>
        <w:widowControl/>
      </w:pPr>
      <w:r w:rsidRPr="00A732EB">
        <w:rPr>
          <w:rStyle w:val="HideTWBExt"/>
        </w:rPr>
        <w:t>&lt;</w:t>
      </w:r>
      <w:r w:rsidRPr="00A732EB">
        <w:rPr>
          <w:rStyle w:val="HideTWBExt"/>
          <w:i w:val="0"/>
        </w:rPr>
        <w:t>Commission</w:t>
      </w:r>
      <w:r w:rsidRPr="00A732EB">
        <w:rPr>
          <w:rStyle w:val="HideTWBExt"/>
        </w:rPr>
        <w:t>&gt;</w:t>
      </w:r>
      <w:r w:rsidRPr="00A732EB">
        <w:rPr>
          <w:rStyle w:val="HideTWBInt"/>
          <w:color w:val="auto"/>
        </w:rPr>
        <w:t>{ECON}</w:t>
      </w:r>
      <w:r w:rsidRPr="00A732EB">
        <w:t>Utskottet för ekonomi och valutafrågor</w:t>
      </w:r>
      <w:r w:rsidRPr="00A732EB">
        <w:rPr>
          <w:rStyle w:val="HideTWBExt"/>
        </w:rPr>
        <w:t>&lt;/</w:t>
      </w:r>
      <w:r w:rsidRPr="00A732EB">
        <w:rPr>
          <w:rStyle w:val="HideTWBExt"/>
          <w:i w:val="0"/>
        </w:rPr>
        <w:t>Commission</w:t>
      </w:r>
      <w:r w:rsidRPr="00A732EB">
        <w:rPr>
          <w:rStyle w:val="HideTWBExt"/>
        </w:rPr>
        <w:t>&gt;</w:t>
      </w:r>
    </w:p>
    <w:p w:rsidR="00461601" w:rsidRPr="00A732EB" w:rsidRDefault="00461601" w:rsidP="00F22AF7">
      <w:pPr>
        <w:pStyle w:val="LineBottom"/>
        <w:widowControl/>
      </w:pPr>
    </w:p>
    <w:p w:rsidR="00793EA9" w:rsidRPr="00A732EB" w:rsidRDefault="00F22AF7" w:rsidP="00F22AF7">
      <w:pPr>
        <w:pStyle w:val="CoverReference"/>
        <w:widowControl/>
      </w:pPr>
      <w:r w:rsidRPr="00A732EB">
        <w:rPr>
          <w:rStyle w:val="HideTWBExt"/>
          <w:b w:val="0"/>
        </w:rPr>
        <w:t>&lt;RefProc&gt;</w:t>
      </w:r>
      <w:r w:rsidRPr="00A732EB">
        <w:t>2023/0113</w:t>
      </w:r>
      <w:r w:rsidRPr="00A732EB">
        <w:rPr>
          <w:rStyle w:val="HideTWBExt"/>
          <w:b w:val="0"/>
        </w:rPr>
        <w:t>&lt;/RefProc&gt;&lt;RefTypeProc&gt;</w:t>
      </w:r>
      <w:r w:rsidRPr="00A732EB">
        <w:t>(COD)</w:t>
      </w:r>
      <w:r w:rsidRPr="00A732EB">
        <w:rPr>
          <w:rStyle w:val="HideTWBExt"/>
          <w:b w:val="0"/>
        </w:rPr>
        <w:t>&lt;/RefTypeProc&gt;</w:t>
      </w:r>
    </w:p>
    <w:p w:rsidR="00793EA9" w:rsidRPr="00A732EB" w:rsidRDefault="00F22AF7" w:rsidP="00F22AF7">
      <w:pPr>
        <w:pStyle w:val="CoverDate"/>
        <w:widowControl/>
      </w:pPr>
      <w:r w:rsidRPr="00A732EB">
        <w:rPr>
          <w:rStyle w:val="HideTWBExt"/>
        </w:rPr>
        <w:t>&lt;Date&gt;</w:t>
      </w:r>
      <w:r w:rsidRPr="00A732EB">
        <w:rPr>
          <w:rStyle w:val="HideTWBInt"/>
          <w:color w:val="auto"/>
        </w:rPr>
        <w:t>{11/09/2023}</w:t>
      </w:r>
      <w:r w:rsidRPr="00A732EB">
        <w:t>11.9.2023</w:t>
      </w:r>
      <w:r w:rsidRPr="00A732EB">
        <w:rPr>
          <w:rStyle w:val="HideTWBExt"/>
        </w:rPr>
        <w:t>&lt;/Date&gt;</w:t>
      </w:r>
    </w:p>
    <w:p w:rsidR="00793EA9" w:rsidRPr="00A732EB" w:rsidRDefault="00F22AF7" w:rsidP="00F22AF7">
      <w:pPr>
        <w:pStyle w:val="CoverDocType"/>
        <w:widowControl/>
      </w:pPr>
      <w:r w:rsidRPr="00A732EB">
        <w:rPr>
          <w:rStyle w:val="HideTWBExt"/>
          <w:b w:val="0"/>
        </w:rPr>
        <w:t>&lt;RefProcLect&gt;</w:t>
      </w:r>
      <w:r w:rsidRPr="00A732EB">
        <w:t>***I</w:t>
      </w:r>
      <w:r w:rsidRPr="00A732EB">
        <w:rPr>
          <w:rStyle w:val="HideTWBExt"/>
          <w:b w:val="0"/>
        </w:rPr>
        <w:t>&lt;/RefProcLect&gt;</w:t>
      </w:r>
    </w:p>
    <w:p w:rsidR="00793EA9" w:rsidRPr="00A732EB" w:rsidRDefault="00F22AF7" w:rsidP="00F22AF7">
      <w:pPr>
        <w:pStyle w:val="CoverDocType24a"/>
        <w:widowControl/>
      </w:pPr>
      <w:r w:rsidRPr="00A732EB">
        <w:rPr>
          <w:rStyle w:val="HideTWBExt"/>
          <w:b w:val="0"/>
        </w:rPr>
        <w:t>&lt;TitreType&gt;</w:t>
      </w:r>
      <w:r w:rsidRPr="00A732EB">
        <w:t xml:space="preserve">FÖRSLAG TILL </w:t>
      </w:r>
      <w:r w:rsidRPr="00A732EB">
        <w:t>BETÄNKANDE</w:t>
      </w:r>
      <w:r w:rsidRPr="00A732EB">
        <w:rPr>
          <w:rStyle w:val="HideTWBExt"/>
          <w:b w:val="0"/>
        </w:rPr>
        <w:t>&lt;/TitreType&gt;</w:t>
      </w:r>
    </w:p>
    <w:p w:rsidR="00793EA9" w:rsidRPr="00A732EB" w:rsidRDefault="00F22AF7" w:rsidP="00F22AF7">
      <w:pPr>
        <w:pStyle w:val="CoverNormal"/>
        <w:widowControl/>
      </w:pPr>
      <w:r w:rsidRPr="00A732EB">
        <w:rPr>
          <w:rStyle w:val="HideTWBExt"/>
        </w:rPr>
        <w:t>&lt;Titre&gt;</w:t>
      </w:r>
      <w:r w:rsidRPr="00A732EB">
        <w:t>om förslaget till Europaparlamentets och rådets direktiv om ändring av direktiv</w:t>
      </w:r>
      <w:r>
        <w:t> </w:t>
      </w:r>
      <w:r w:rsidRPr="00A732EB">
        <w:t>2014/59/EU och förordning (EU) nr 806/2014 vad gäller vissa aspekter av minimikravet för kapitalbas och kvalificerade skulder</w:t>
      </w:r>
      <w:r w:rsidRPr="00A732EB">
        <w:rPr>
          <w:rStyle w:val="HideTWBExt"/>
        </w:rPr>
        <w:t>&lt;/Titre&gt;</w:t>
      </w:r>
    </w:p>
    <w:p w:rsidR="00793EA9" w:rsidRPr="00A732EB" w:rsidRDefault="00F22AF7" w:rsidP="00F22AF7">
      <w:pPr>
        <w:pStyle w:val="CoverNormal24a"/>
        <w:widowControl/>
      </w:pPr>
      <w:r w:rsidRPr="00A732EB">
        <w:rPr>
          <w:rStyle w:val="HideTWBExt"/>
        </w:rPr>
        <w:t>&lt;DocRef&gt;</w:t>
      </w:r>
      <w:r w:rsidRPr="00A732EB">
        <w:t>(COM</w:t>
      </w:r>
      <w:r w:rsidRPr="00A732EB">
        <w:t>(2023)0229 – C9</w:t>
      </w:r>
      <w:r w:rsidRPr="00A732EB">
        <w:noBreakHyphen/>
        <w:t>0134/2023 – 2023/0113(COD))</w:t>
      </w:r>
      <w:r w:rsidRPr="00A732EB">
        <w:rPr>
          <w:rStyle w:val="HideTWBExt"/>
        </w:rPr>
        <w:t>&lt;/DocRef&gt;</w:t>
      </w:r>
    </w:p>
    <w:p w:rsidR="00793EA9" w:rsidRPr="00A732EB" w:rsidRDefault="00F22AF7" w:rsidP="00F22AF7">
      <w:pPr>
        <w:pStyle w:val="CoverNormal24a"/>
        <w:widowControl/>
      </w:pPr>
      <w:r w:rsidRPr="00A732EB">
        <w:rPr>
          <w:rStyle w:val="HideTWBExt"/>
        </w:rPr>
        <w:t>&lt;Commission&gt;</w:t>
      </w:r>
      <w:r w:rsidRPr="00A732EB">
        <w:rPr>
          <w:rStyle w:val="HideTWBInt"/>
          <w:color w:val="auto"/>
        </w:rPr>
        <w:t>{ECON}</w:t>
      </w:r>
      <w:r w:rsidRPr="00A732EB">
        <w:t>Utskottet för ekonomi och valutafrågor</w:t>
      </w:r>
      <w:r w:rsidRPr="00A732EB">
        <w:rPr>
          <w:rStyle w:val="HideTWBExt"/>
        </w:rPr>
        <w:t>&lt;/Commission&gt;</w:t>
      </w:r>
    </w:p>
    <w:p w:rsidR="00793EA9" w:rsidRPr="00A732EB" w:rsidRDefault="00F22AF7" w:rsidP="00F22AF7">
      <w:pPr>
        <w:pStyle w:val="CoverNormal24a"/>
        <w:widowControl/>
      </w:pPr>
      <w:r w:rsidRPr="00A732EB">
        <w:t xml:space="preserve">Föredragande: </w:t>
      </w:r>
      <w:r w:rsidRPr="00A732EB">
        <w:rPr>
          <w:rStyle w:val="HideTWBExt"/>
        </w:rPr>
        <w:t>&lt;Depute&gt;</w:t>
      </w:r>
      <w:r w:rsidRPr="00A732EB">
        <w:t>Jonás Fernández</w:t>
      </w:r>
      <w:r w:rsidRPr="00A732EB">
        <w:rPr>
          <w:rStyle w:val="HideTWBExt"/>
        </w:rPr>
        <w:t>&lt;/Depute&gt;</w:t>
      </w:r>
    </w:p>
    <w:p w:rsidR="001C5B44" w:rsidRPr="00A732EB" w:rsidRDefault="001C5B44" w:rsidP="00F22AF7">
      <w:pPr>
        <w:pStyle w:val="CoverNormal"/>
        <w:widowControl/>
      </w:pPr>
    </w:p>
    <w:p w:rsidR="006F1136" w:rsidRPr="00A732EB" w:rsidRDefault="00F22AF7" w:rsidP="00F22AF7">
      <w:pPr>
        <w:widowControl/>
      </w:pPr>
      <w:r w:rsidRPr="00A732EB">
        <w:br w:type="page"/>
      </w:r>
      <w:fldSimple w:instr=" TITLE  \* MERGEFORMAT ">
        <w:r>
          <w:t>PR_COD_1amCom</w:t>
        </w:r>
      </w:fldSimple>
    </w:p>
    <w:p w:rsidR="006F1136" w:rsidRPr="00A732EB" w:rsidRDefault="006F1136" w:rsidP="00F22AF7">
      <w:pPr>
        <w:widowControl/>
      </w:pPr>
    </w:p>
    <w:p w:rsidR="006F1136" w:rsidRPr="00A732EB" w:rsidRDefault="006F1136" w:rsidP="00F22AF7">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31971" w:rsidRPr="00A732EB">
        <w:tc>
          <w:tcPr>
            <w:tcW w:w="5811" w:type="dxa"/>
          </w:tcPr>
          <w:p w:rsidR="006F1136" w:rsidRPr="00A732EB" w:rsidRDefault="00F22AF7" w:rsidP="00F22AF7">
            <w:pPr>
              <w:pStyle w:val="Lgendetitre"/>
              <w:widowControl/>
            </w:pPr>
            <w:r w:rsidRPr="00A732EB">
              <w:t>Teckenförklaring</w:t>
            </w:r>
          </w:p>
        </w:tc>
      </w:tr>
      <w:tr w:rsidR="00C31971" w:rsidRPr="00A732EB" w:rsidTr="00DA0796">
        <w:trPr>
          <w:cantSplit/>
          <w:trHeight w:val="1807"/>
        </w:trPr>
        <w:tc>
          <w:tcPr>
            <w:tcW w:w="5811" w:type="dxa"/>
            <w:tcBorders>
              <w:bottom w:val="single" w:sz="4" w:space="0" w:color="auto"/>
            </w:tcBorders>
          </w:tcPr>
          <w:p w:rsidR="006F1136" w:rsidRPr="00A732EB" w:rsidRDefault="00F22AF7" w:rsidP="00F22AF7">
            <w:pPr>
              <w:pStyle w:val="Lgendesigne"/>
              <w:widowControl/>
            </w:pPr>
            <w:r w:rsidRPr="00A732EB">
              <w:tab/>
              <w:t>*</w:t>
            </w:r>
            <w:r w:rsidRPr="00A732EB">
              <w:tab/>
              <w:t>Samrådsförfarande</w:t>
            </w:r>
          </w:p>
          <w:p w:rsidR="006F1136" w:rsidRPr="00A732EB" w:rsidRDefault="00F22AF7" w:rsidP="00F22AF7">
            <w:pPr>
              <w:pStyle w:val="Lgendesigne"/>
              <w:widowControl/>
            </w:pPr>
            <w:r w:rsidRPr="00A732EB">
              <w:tab/>
            </w:r>
            <w:r w:rsidRPr="00A732EB">
              <w:t>***</w:t>
            </w:r>
            <w:r w:rsidRPr="00A732EB">
              <w:tab/>
              <w:t>Godkännandeförfarande</w:t>
            </w:r>
          </w:p>
          <w:p w:rsidR="006F1136" w:rsidRPr="00A732EB" w:rsidRDefault="00F22AF7" w:rsidP="00F22AF7">
            <w:pPr>
              <w:pStyle w:val="Lgendesigne"/>
              <w:widowControl/>
            </w:pPr>
            <w:r w:rsidRPr="00A732EB">
              <w:tab/>
              <w:t>***I</w:t>
            </w:r>
            <w:r w:rsidRPr="00A732EB">
              <w:tab/>
              <w:t>Ordinarie lagstiftningsförfarande (första behandlingen)</w:t>
            </w:r>
          </w:p>
          <w:p w:rsidR="006F1136" w:rsidRPr="00A732EB" w:rsidRDefault="00F22AF7" w:rsidP="00F22AF7">
            <w:pPr>
              <w:pStyle w:val="Lgendesigne"/>
              <w:widowControl/>
            </w:pPr>
            <w:r w:rsidRPr="00A732EB">
              <w:tab/>
              <w:t>***II</w:t>
            </w:r>
            <w:r w:rsidRPr="00A732EB">
              <w:tab/>
              <w:t>Ordinarie lagstiftningsförfarande (andra behandlingen)</w:t>
            </w:r>
          </w:p>
          <w:p w:rsidR="006F1136" w:rsidRPr="00A732EB" w:rsidRDefault="00F22AF7" w:rsidP="00F22AF7">
            <w:pPr>
              <w:pStyle w:val="Lgendesigne"/>
              <w:widowControl/>
            </w:pPr>
            <w:r w:rsidRPr="00A732EB">
              <w:tab/>
              <w:t>***III</w:t>
            </w:r>
            <w:r w:rsidRPr="00A732EB">
              <w:tab/>
              <w:t>Ordinarie lagstiftningsförfarande (tredje behandlingen)</w:t>
            </w:r>
          </w:p>
          <w:p w:rsidR="006F1136" w:rsidRPr="00A732EB" w:rsidRDefault="006F1136" w:rsidP="00F22AF7">
            <w:pPr>
              <w:pStyle w:val="Lgendestandard"/>
              <w:widowControl/>
            </w:pPr>
          </w:p>
          <w:p w:rsidR="006F1136" w:rsidRPr="00A732EB" w:rsidRDefault="00F22AF7" w:rsidP="00F22AF7">
            <w:pPr>
              <w:pStyle w:val="Lgendestandard"/>
              <w:widowControl/>
            </w:pPr>
            <w:r w:rsidRPr="00A732EB">
              <w:t>(Det angivna förfarandet baseras på den r</w:t>
            </w:r>
            <w:r w:rsidRPr="00A732EB">
              <w:t>ättsliga grund som angetts i förslaget till akt.)</w:t>
            </w:r>
          </w:p>
          <w:p w:rsidR="006F1136" w:rsidRPr="00A732EB" w:rsidRDefault="006F1136" w:rsidP="00F22AF7">
            <w:pPr>
              <w:pStyle w:val="Lgendestandard"/>
              <w:widowControl/>
            </w:pPr>
          </w:p>
        </w:tc>
      </w:tr>
    </w:tbl>
    <w:p w:rsidR="006F1136" w:rsidRPr="00A732EB" w:rsidRDefault="006F1136" w:rsidP="00F22AF7">
      <w:pPr>
        <w:widowControl/>
      </w:pPr>
    </w:p>
    <w:p w:rsidR="006F1136" w:rsidRPr="00A732EB" w:rsidRDefault="006F1136" w:rsidP="00F22AF7">
      <w:pPr>
        <w:widowControl/>
      </w:pPr>
    </w:p>
    <w:p w:rsidR="006F1136" w:rsidRPr="00A732EB" w:rsidRDefault="006F1136" w:rsidP="00F22AF7">
      <w:pPr>
        <w:widowControl/>
      </w:pPr>
    </w:p>
    <w:p w:rsidR="006F1136" w:rsidRPr="00A732EB" w:rsidRDefault="006F1136" w:rsidP="00F22AF7">
      <w:pPr>
        <w:widowControl/>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31971" w:rsidRPr="00A732EB">
        <w:tc>
          <w:tcPr>
            <w:tcW w:w="5811" w:type="dxa"/>
          </w:tcPr>
          <w:p w:rsidR="006F1136" w:rsidRPr="00A732EB" w:rsidRDefault="00F22AF7" w:rsidP="00F22AF7">
            <w:pPr>
              <w:pStyle w:val="Lgendetitre"/>
              <w:widowControl/>
            </w:pPr>
            <w:r w:rsidRPr="00A732EB">
              <w:t>Ändringsförslag till ett förslag till akt</w:t>
            </w:r>
          </w:p>
        </w:tc>
      </w:tr>
      <w:tr w:rsidR="00C31971" w:rsidRPr="00A732EB" w:rsidTr="00DA0796">
        <w:trPr>
          <w:trHeight w:val="4496"/>
        </w:trPr>
        <w:tc>
          <w:tcPr>
            <w:tcW w:w="5811" w:type="dxa"/>
          </w:tcPr>
          <w:p w:rsidR="006F1136" w:rsidRPr="00A732EB" w:rsidRDefault="00F22AF7" w:rsidP="00F22AF7">
            <w:pPr>
              <w:pStyle w:val="Lgendestandard"/>
              <w:widowControl/>
              <w:rPr>
                <w:szCs w:val="24"/>
              </w:rPr>
            </w:pPr>
            <w:r w:rsidRPr="00A732EB">
              <w:rPr>
                <w:b/>
              </w:rPr>
              <w:t>När parlamentets ändringsförslag utformas i två spalter gäller följande:</w:t>
            </w:r>
          </w:p>
          <w:p w:rsidR="006F1136" w:rsidRPr="00A732EB" w:rsidRDefault="006F1136" w:rsidP="00F22AF7">
            <w:pPr>
              <w:pStyle w:val="Lgendestandard"/>
              <w:widowControl/>
              <w:rPr>
                <w:szCs w:val="24"/>
              </w:rPr>
            </w:pPr>
          </w:p>
          <w:p w:rsidR="006F1136" w:rsidRPr="00A732EB" w:rsidRDefault="00F22AF7" w:rsidP="00F22AF7">
            <w:pPr>
              <w:pStyle w:val="Lgendestandard"/>
              <w:widowControl/>
              <w:rPr>
                <w:szCs w:val="24"/>
              </w:rPr>
            </w:pPr>
            <w:r w:rsidRPr="00A732EB">
              <w:t xml:space="preserve">Text som utgår markeras med </w:t>
            </w:r>
            <w:r w:rsidRPr="00A732EB">
              <w:rPr>
                <w:b/>
                <w:bCs/>
                <w:i/>
                <w:iCs/>
              </w:rPr>
              <w:t>fetkursiv stil</w:t>
            </w:r>
            <w:r w:rsidRPr="00A732EB">
              <w:t xml:space="preserve"> i vänsterspalten. </w:t>
            </w:r>
            <w:r w:rsidRPr="00A732EB">
              <w:t xml:space="preserve">Text som ersätts markeras med </w:t>
            </w:r>
            <w:r w:rsidRPr="00A732EB">
              <w:rPr>
                <w:b/>
                <w:bCs/>
                <w:i/>
                <w:iCs/>
              </w:rPr>
              <w:t>fetkursiv stil</w:t>
            </w:r>
            <w:r w:rsidRPr="00A732EB">
              <w:t xml:space="preserve"> i båda spalterna. Ny text markeras med </w:t>
            </w:r>
            <w:r w:rsidRPr="00A732EB">
              <w:rPr>
                <w:b/>
                <w:bCs/>
                <w:i/>
                <w:iCs/>
              </w:rPr>
              <w:t>fetkursiv stil</w:t>
            </w:r>
            <w:r w:rsidRPr="00A732EB">
              <w:t xml:space="preserve"> i högerspalten.</w:t>
            </w:r>
          </w:p>
          <w:p w:rsidR="006F1136" w:rsidRPr="00A732EB" w:rsidRDefault="006F1136" w:rsidP="00F22AF7">
            <w:pPr>
              <w:pStyle w:val="Lgendestandard"/>
              <w:widowControl/>
              <w:rPr>
                <w:szCs w:val="24"/>
              </w:rPr>
            </w:pPr>
          </w:p>
          <w:p w:rsidR="006F1136" w:rsidRPr="00A732EB" w:rsidRDefault="00F22AF7" w:rsidP="00F22AF7">
            <w:pPr>
              <w:pStyle w:val="Lgendestandard"/>
              <w:widowControl/>
              <w:rPr>
                <w:szCs w:val="24"/>
              </w:rPr>
            </w:pPr>
            <w:r w:rsidRPr="00A732EB">
              <w:t xml:space="preserve">De två första raderna i hänvisningen ovanför varje ändringsförslag anger vilket textavsnitt som avses i det förslag till akt som behandlas. </w:t>
            </w:r>
            <w:r w:rsidRPr="00A732EB">
              <w:t>Om ett ändringsförslag avser en befintlig akt som förslaget till akt är avsett att ändra innehåller hänvisningen även en tredje och en fjärde rad. Den tredje raden anger den befintliga akten och den fjärde vilken bestämmelse i denna akt som ändringsförslag</w:t>
            </w:r>
            <w:r w:rsidRPr="00A732EB">
              <w:t>et avser.</w:t>
            </w:r>
          </w:p>
          <w:p w:rsidR="006F1136" w:rsidRPr="00A732EB" w:rsidRDefault="006F1136" w:rsidP="00F22AF7">
            <w:pPr>
              <w:pStyle w:val="Lgendestandard"/>
              <w:widowControl/>
              <w:rPr>
                <w:szCs w:val="24"/>
              </w:rPr>
            </w:pPr>
          </w:p>
          <w:p w:rsidR="006F1136" w:rsidRPr="00A732EB" w:rsidRDefault="00F22AF7" w:rsidP="00F22AF7">
            <w:pPr>
              <w:pStyle w:val="Lgendestandard"/>
              <w:widowControl/>
              <w:rPr>
                <w:b/>
                <w:szCs w:val="24"/>
              </w:rPr>
            </w:pPr>
            <w:r w:rsidRPr="00A732EB">
              <w:rPr>
                <w:b/>
              </w:rPr>
              <w:t>När parlamentets ändringsförslag utformas som en konsoliderad text gäller följande:</w:t>
            </w:r>
          </w:p>
          <w:p w:rsidR="006F1136" w:rsidRPr="00A732EB" w:rsidRDefault="006F1136" w:rsidP="00F22AF7">
            <w:pPr>
              <w:pStyle w:val="Lgendestandard"/>
              <w:widowControl/>
              <w:rPr>
                <w:szCs w:val="24"/>
              </w:rPr>
            </w:pPr>
          </w:p>
          <w:p w:rsidR="006F1136" w:rsidRPr="00A732EB" w:rsidRDefault="00F22AF7" w:rsidP="00F22AF7">
            <w:pPr>
              <w:pStyle w:val="Lgendestandard"/>
              <w:widowControl/>
              <w:rPr>
                <w:szCs w:val="24"/>
              </w:rPr>
            </w:pPr>
            <w:r w:rsidRPr="00A732EB">
              <w:t xml:space="preserve">Nya textdelar markeras med </w:t>
            </w:r>
            <w:r w:rsidRPr="00A732EB">
              <w:rPr>
                <w:b/>
                <w:bCs/>
                <w:i/>
                <w:iCs/>
              </w:rPr>
              <w:t>fetkursiv stil</w:t>
            </w:r>
            <w:r w:rsidRPr="00A732EB">
              <w:t>. Textdelar som utgår markeras med symbolen ▌eller med genomstrykning. Textdelar som ersätts anges genom att ny text ma</w:t>
            </w:r>
            <w:r w:rsidRPr="00A732EB">
              <w:t xml:space="preserve">rkeras med </w:t>
            </w:r>
            <w:r w:rsidRPr="00A732EB">
              <w:rPr>
                <w:b/>
                <w:bCs/>
                <w:i/>
                <w:iCs/>
              </w:rPr>
              <w:t>fetkursiv stil</w:t>
            </w:r>
            <w:r w:rsidRPr="00A732EB">
              <w:t xml:space="preserve"> och text som utgår stryks eller markeras med genomstrykning. </w:t>
            </w:r>
          </w:p>
          <w:p w:rsidR="006F1136" w:rsidRPr="00A732EB" w:rsidRDefault="00F22AF7" w:rsidP="00F22AF7">
            <w:pPr>
              <w:pStyle w:val="Lgendestandard"/>
              <w:widowControl/>
            </w:pPr>
            <w:r w:rsidRPr="00A732EB">
              <w:t>Sådana ändringar som endast är tekniska och som gjorts av de berörda avdelningarna vid färdigställandet av den slutliga texten markeras däremot inte.</w:t>
            </w:r>
          </w:p>
          <w:p w:rsidR="006F1136" w:rsidRPr="00A732EB" w:rsidRDefault="006F1136" w:rsidP="00F22AF7">
            <w:pPr>
              <w:pStyle w:val="Lgendestandard"/>
              <w:widowControl/>
            </w:pPr>
          </w:p>
        </w:tc>
      </w:tr>
    </w:tbl>
    <w:p w:rsidR="006F1136" w:rsidRPr="00A732EB" w:rsidRDefault="006F1136" w:rsidP="00F22AF7">
      <w:pPr>
        <w:widowControl/>
      </w:pPr>
    </w:p>
    <w:p w:rsidR="00793EA9" w:rsidRPr="00A732EB" w:rsidRDefault="00793EA9" w:rsidP="00F22AF7">
      <w:pPr>
        <w:widowControl/>
        <w:tabs>
          <w:tab w:val="center" w:pos="4677"/>
        </w:tabs>
      </w:pPr>
    </w:p>
    <w:p w:rsidR="00793EA9" w:rsidRPr="00A732EB" w:rsidRDefault="00F22AF7" w:rsidP="00F22AF7">
      <w:pPr>
        <w:pStyle w:val="TOCHeading"/>
        <w:widowControl/>
      </w:pPr>
      <w:r w:rsidRPr="00A732EB">
        <w:br w:type="page"/>
      </w:r>
      <w:r w:rsidRPr="00A732EB">
        <w:lastRenderedPageBreak/>
        <w:t>INNEHÅLL</w:t>
      </w:r>
    </w:p>
    <w:p w:rsidR="00793EA9" w:rsidRPr="00A732EB" w:rsidRDefault="00F22AF7" w:rsidP="00F22AF7">
      <w:pPr>
        <w:pStyle w:val="TOCPage"/>
        <w:widowControl/>
      </w:pPr>
      <w:r w:rsidRPr="00A732EB">
        <w:t>Sida</w:t>
      </w:r>
    </w:p>
    <w:p w:rsidR="00F22AF7" w:rsidRDefault="00F22AF7">
      <w:pPr>
        <w:pStyle w:val="TOC1"/>
        <w:tabs>
          <w:tab w:val="right" w:leader="dot" w:pos="9060"/>
        </w:tabs>
        <w:rPr>
          <w:rFonts w:asciiTheme="minorHAnsi" w:eastAsiaTheme="minorEastAsia" w:hAnsiTheme="minorHAnsi" w:cstheme="minorBidi"/>
          <w:noProof/>
          <w:sz w:val="22"/>
          <w:szCs w:val="22"/>
          <w:lang w:eastAsia="sv-SE"/>
        </w:rPr>
      </w:pPr>
      <w:r w:rsidRPr="00A732EB">
        <w:rPr>
          <w:b/>
        </w:rPr>
        <w:fldChar w:fldCharType="begin"/>
      </w:r>
      <w:r w:rsidRPr="00A732EB">
        <w:rPr>
          <w:b/>
        </w:rPr>
        <w:instrText xml:space="preserve"> TOC \t "PageHeading</w:instrText>
      </w:r>
      <w:r w:rsidR="00E70D3B" w:rsidRPr="00A732EB">
        <w:rPr>
          <w:b/>
        </w:rPr>
        <w:instrText>;</w:instrText>
      </w:r>
      <w:r w:rsidRPr="00A732EB">
        <w:rPr>
          <w:b/>
        </w:rPr>
        <w:instrText xml:space="preserve">1" </w:instrText>
      </w:r>
      <w:r w:rsidRPr="00A732EB">
        <w:rPr>
          <w:b/>
        </w:rPr>
        <w:fldChar w:fldCharType="separate"/>
      </w:r>
      <w:r>
        <w:rPr>
          <w:noProof/>
        </w:rPr>
        <w:t>FÖRSLAG TILL EUROPAPARLAMENTETS LAGSTIFTNINGSRESOLUTION</w:t>
      </w:r>
      <w:r>
        <w:rPr>
          <w:noProof/>
        </w:rPr>
        <w:tab/>
      </w:r>
      <w:r>
        <w:rPr>
          <w:noProof/>
        </w:rPr>
        <w:fldChar w:fldCharType="begin"/>
      </w:r>
      <w:r>
        <w:rPr>
          <w:noProof/>
        </w:rPr>
        <w:instrText xml:space="preserve"> PAGEREF _Toc146621549 \h </w:instrText>
      </w:r>
      <w:r>
        <w:rPr>
          <w:noProof/>
        </w:rPr>
      </w:r>
      <w:r>
        <w:rPr>
          <w:noProof/>
        </w:rPr>
        <w:fldChar w:fldCharType="separate"/>
      </w:r>
      <w:r>
        <w:rPr>
          <w:noProof/>
        </w:rPr>
        <w:t>5</w:t>
      </w:r>
      <w:r>
        <w:rPr>
          <w:noProof/>
        </w:rPr>
        <w:fldChar w:fldCharType="end"/>
      </w:r>
    </w:p>
    <w:p w:rsidR="002346B0" w:rsidRPr="00A732EB" w:rsidRDefault="00F22AF7" w:rsidP="00F22AF7">
      <w:pPr>
        <w:widowControl/>
      </w:pPr>
      <w:r w:rsidRPr="00A732EB">
        <w:rPr>
          <w:b/>
        </w:rPr>
        <w:fldChar w:fldCharType="end"/>
      </w:r>
    </w:p>
    <w:p w:rsidR="00793EA9" w:rsidRPr="00A732EB" w:rsidRDefault="00F22AF7" w:rsidP="00F22AF7">
      <w:pPr>
        <w:pStyle w:val="PageHeading"/>
        <w:widowControl/>
      </w:pPr>
      <w:r w:rsidRPr="00A732EB">
        <w:br w:type="page"/>
      </w:r>
      <w:r w:rsidRPr="00A732EB">
        <w:lastRenderedPageBreak/>
        <w:br w:type="page"/>
      </w:r>
      <w:bookmarkStart w:id="0" w:name="_Toc146621549"/>
      <w:r w:rsidRPr="00A732EB">
        <w:lastRenderedPageBreak/>
        <w:t>FÖRSLAG TILL EUROPAPARLAMENTETS LAGSTIFTNINGSRESOLUTION</w:t>
      </w:r>
      <w:bookmarkEnd w:id="0"/>
    </w:p>
    <w:p w:rsidR="00793EA9" w:rsidRPr="00A732EB" w:rsidRDefault="00F22AF7" w:rsidP="00F22AF7">
      <w:pPr>
        <w:pStyle w:val="NormalBold"/>
        <w:widowControl/>
      </w:pPr>
      <w:r w:rsidRPr="00A732EB">
        <w:t>om förslaget till Europaparlamentets och rådets direktiv om ändring av direktiv</w:t>
      </w:r>
      <w:r>
        <w:t> </w:t>
      </w:r>
      <w:r w:rsidRPr="00A732EB">
        <w:t>2014/59/EU och förordning (EU) nr 806/2014 vad gä</w:t>
      </w:r>
      <w:r w:rsidRPr="00A732EB">
        <w:t>ller vissa aspekter av minimikravet för kapitalbas och kvalificerade skulder</w:t>
      </w:r>
    </w:p>
    <w:p w:rsidR="00793EA9" w:rsidRPr="00A732EB" w:rsidRDefault="00F22AF7" w:rsidP="00F22AF7">
      <w:pPr>
        <w:pStyle w:val="NormalBold12a"/>
        <w:widowControl/>
      </w:pPr>
      <w:r w:rsidRPr="00A732EB">
        <w:t>(COM(2023)0229 – C9</w:t>
      </w:r>
      <w:r w:rsidRPr="00A732EB">
        <w:noBreakHyphen/>
        <w:t>0134/2023 – 2023/0113(COD))</w:t>
      </w:r>
    </w:p>
    <w:p w:rsidR="00793EA9" w:rsidRPr="00A732EB" w:rsidRDefault="00F22AF7" w:rsidP="00F22AF7">
      <w:pPr>
        <w:pStyle w:val="NormalBold"/>
        <w:widowControl/>
      </w:pPr>
      <w:r w:rsidRPr="00A732EB">
        <w:t>(Ordinarie lagstiftningsförfarande: första behandlingen)</w:t>
      </w:r>
    </w:p>
    <w:p w:rsidR="00793EA9" w:rsidRPr="00A732EB" w:rsidRDefault="00F22AF7" w:rsidP="00F22AF7">
      <w:pPr>
        <w:pStyle w:val="EPComma"/>
        <w:widowControl/>
      </w:pPr>
      <w:r w:rsidRPr="00A732EB">
        <w:rPr>
          <w:i/>
          <w:iCs/>
        </w:rPr>
        <w:t>Europaparlamentet utfärdar denna resolution</w:t>
      </w:r>
    </w:p>
    <w:p w:rsidR="00793EA9" w:rsidRPr="00A732EB" w:rsidRDefault="00F22AF7" w:rsidP="00F22AF7">
      <w:pPr>
        <w:pStyle w:val="NormalHanging12a"/>
        <w:widowControl/>
      </w:pPr>
      <w:r w:rsidRPr="00A732EB">
        <w:t>–</w:t>
      </w:r>
      <w:r w:rsidRPr="00A732EB">
        <w:tab/>
        <w:t xml:space="preserve">med beaktande av </w:t>
      </w:r>
      <w:r w:rsidRPr="00A732EB">
        <w:t>kommissionens förslag till Europaparlamentet och rådet (COM(2023)0229),</w:t>
      </w:r>
    </w:p>
    <w:p w:rsidR="00793EA9" w:rsidRPr="00A732EB" w:rsidRDefault="00F22AF7" w:rsidP="00F22AF7">
      <w:pPr>
        <w:pStyle w:val="NormalHanging12a"/>
        <w:widowControl/>
      </w:pPr>
      <w:r w:rsidRPr="00A732EB">
        <w:t>–</w:t>
      </w:r>
      <w:r w:rsidRPr="00A732EB">
        <w:tab/>
        <w:t>med beaktande av artiklarna 294.2 och 114 i fördraget om Europeiska unionens funktionssätt, i enlighet med vilka kommissionen har lagt fram sitt förslag för parlamentet (C9</w:t>
      </w:r>
      <w:r w:rsidRPr="00A732EB">
        <w:noBreakHyphen/>
        <w:t>0134/2023</w:t>
      </w:r>
      <w:r w:rsidRPr="00A732EB">
        <w:t>),</w:t>
      </w:r>
    </w:p>
    <w:p w:rsidR="00A26F46" w:rsidRPr="00A732EB" w:rsidRDefault="00F22AF7" w:rsidP="00F22AF7">
      <w:pPr>
        <w:pStyle w:val="NormalHanging12a"/>
        <w:widowControl/>
      </w:pPr>
      <w:r w:rsidRPr="00A732EB">
        <w:t>–</w:t>
      </w:r>
      <w:r w:rsidRPr="00A732EB">
        <w:tab/>
        <w:t>med beaktande av artikel 294.3 i fördraget om Europeiska unionens funktionssätt,</w:t>
      </w:r>
    </w:p>
    <w:p w:rsidR="006F1136" w:rsidRPr="00A732EB" w:rsidRDefault="00F22AF7" w:rsidP="00F22AF7">
      <w:pPr>
        <w:pStyle w:val="NormalHanging12a"/>
        <w:widowControl/>
      </w:pPr>
      <w:r w:rsidRPr="00A732EB">
        <w:t>–</w:t>
      </w:r>
      <w:r w:rsidRPr="00A732EB">
        <w:tab/>
        <w:t>med beaktande av Europeiska centralbankens yttrande av den 5 juli 2023</w:t>
      </w:r>
      <w:r w:rsidRPr="00A732EB">
        <w:rPr>
          <w:rStyle w:val="FootnoteReference"/>
        </w:rPr>
        <w:footnoteReference w:id="1"/>
      </w:r>
      <w:r w:rsidRPr="00A732EB">
        <w:t>,</w:t>
      </w:r>
    </w:p>
    <w:p w:rsidR="00D73518" w:rsidRPr="00A732EB" w:rsidRDefault="00F22AF7" w:rsidP="00F22AF7">
      <w:pPr>
        <w:pStyle w:val="NormalHanging12a"/>
        <w:widowControl/>
      </w:pPr>
      <w:r w:rsidRPr="00A732EB">
        <w:t>–</w:t>
      </w:r>
      <w:r w:rsidRPr="00A732EB">
        <w:tab/>
        <w:t>med beaktande av Europeiska ekonomiska och sociala kommitténs yttrande av den 13</w:t>
      </w:r>
      <w:r>
        <w:t> </w:t>
      </w:r>
      <w:r w:rsidRPr="00A732EB">
        <w:t>juli 2023</w:t>
      </w:r>
      <w:r w:rsidRPr="00A732EB">
        <w:rPr>
          <w:rStyle w:val="FootnoteReference"/>
          <w:szCs w:val="24"/>
        </w:rPr>
        <w:footnoteReference w:id="2"/>
      </w:r>
      <w:r w:rsidRPr="00A732EB">
        <w:t>,</w:t>
      </w:r>
    </w:p>
    <w:p w:rsidR="00793EA9" w:rsidRPr="00A732EB" w:rsidRDefault="00F22AF7" w:rsidP="00F22AF7">
      <w:pPr>
        <w:pStyle w:val="NormalHanging12a"/>
        <w:widowControl/>
      </w:pPr>
      <w:r w:rsidRPr="00A732EB">
        <w:t>–</w:t>
      </w:r>
      <w:r w:rsidRPr="00A732EB">
        <w:tab/>
        <w:t>med beaktande av artikel 59 i arbetsordningen,</w:t>
      </w:r>
    </w:p>
    <w:p w:rsidR="006A2F5D" w:rsidRPr="00A732EB" w:rsidRDefault="00F22AF7" w:rsidP="00F22AF7">
      <w:pPr>
        <w:pStyle w:val="NormalHanging12a"/>
        <w:widowControl/>
      </w:pPr>
      <w:r w:rsidRPr="00A732EB">
        <w:t>–</w:t>
      </w:r>
      <w:r w:rsidRPr="00A732EB">
        <w:tab/>
        <w:t>med beaktande av betänkandet från utskottet för ekonomi och valutafrågor (A9</w:t>
      </w:r>
      <w:r w:rsidRPr="00A732EB">
        <w:noBreakHyphen/>
        <w:t>0000/2023).</w:t>
      </w:r>
    </w:p>
    <w:p w:rsidR="009F6C2F" w:rsidRPr="00A732EB" w:rsidRDefault="00F22AF7" w:rsidP="00F22AF7">
      <w:pPr>
        <w:pStyle w:val="NormalHanging12a"/>
        <w:widowControl/>
      </w:pPr>
      <w:r w:rsidRPr="00A732EB">
        <w:t>1.</w:t>
      </w:r>
      <w:r w:rsidRPr="00A732EB">
        <w:tab/>
        <w:t>Europaparlamentet antar nedanstående ståndpunkt vid första behandlingen.</w:t>
      </w:r>
    </w:p>
    <w:p w:rsidR="009F6C2F" w:rsidRPr="00A732EB" w:rsidRDefault="00F22AF7" w:rsidP="00F22AF7">
      <w:pPr>
        <w:pStyle w:val="NormalHanging12a"/>
        <w:widowControl/>
      </w:pPr>
      <w:r w:rsidRPr="00A732EB">
        <w:t>2.</w:t>
      </w:r>
      <w:r w:rsidRPr="00A732EB">
        <w:tab/>
        <w:t>Europaparlamentet uppmanar kommission</w:t>
      </w:r>
      <w:r w:rsidRPr="00A732EB">
        <w:t>en att på nytt lägga fram ärendet för parlamentet om den ersätter, väsentligt ändrar eller har för avsikt att väsentligt ändra sitt förslag.</w:t>
      </w:r>
    </w:p>
    <w:p w:rsidR="009F6C2F" w:rsidRPr="00A732EB" w:rsidRDefault="00F22AF7" w:rsidP="00F22AF7">
      <w:pPr>
        <w:pStyle w:val="NormalHanging12a"/>
        <w:widowControl/>
      </w:pPr>
      <w:r w:rsidRPr="00A732EB">
        <w:t>3.</w:t>
      </w:r>
      <w:r w:rsidRPr="00A732EB">
        <w:tab/>
        <w:t>Europaparlamentet uppdrar åt talmannen att översända parlamentets ståndpunkt till rådet, kommissionen och de nat</w:t>
      </w:r>
      <w:r w:rsidRPr="00A732EB">
        <w:t>ionella parlamenten.</w:t>
      </w:r>
    </w:p>
    <w:p w:rsidR="00D30DE2" w:rsidRPr="00A732EB" w:rsidRDefault="00D30DE2" w:rsidP="00F22AF7">
      <w:pPr>
        <w:widowControl/>
      </w:pPr>
    </w:p>
    <w:p w:rsidR="008C37B3" w:rsidRPr="00A732EB" w:rsidRDefault="008C37B3" w:rsidP="00F22AF7">
      <w:pPr>
        <w:widowControl/>
      </w:pPr>
    </w:p>
    <w:p w:rsidR="008C37B3" w:rsidRPr="00A732EB" w:rsidRDefault="008C37B3" w:rsidP="00F22AF7">
      <w:pPr>
        <w:widowControl/>
      </w:pPr>
    </w:p>
    <w:p w:rsidR="008C37B3" w:rsidRPr="00A732EB" w:rsidRDefault="008C37B3" w:rsidP="00F22AF7">
      <w:pPr>
        <w:widowControl/>
      </w:pPr>
    </w:p>
    <w:p w:rsidR="008C37B3" w:rsidRPr="00A732EB" w:rsidRDefault="008C37B3" w:rsidP="00F22AF7">
      <w:pPr>
        <w:widowControl/>
      </w:pPr>
    </w:p>
    <w:p w:rsidR="002669B6" w:rsidRPr="00A732EB" w:rsidRDefault="00F22AF7" w:rsidP="00F22AF7">
      <w:pPr>
        <w:pStyle w:val="AmNumberTabs"/>
        <w:keepNext/>
        <w:widowControl/>
      </w:pPr>
      <w:r w:rsidRPr="00A732EB">
        <w:rPr>
          <w:rStyle w:val="HideTWBExt"/>
          <w:b w:val="0"/>
        </w:rPr>
        <w:lastRenderedPageBreak/>
        <w:t>&lt;RepeatBlock-Amend&gt;</w:t>
      </w:r>
      <w:bookmarkStart w:id="1" w:name="restart"/>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1</w:t>
      </w:r>
      <w:r w:rsidRPr="00A732EB">
        <w:rPr>
          <w:rStyle w:val="HideTWBExt"/>
          <w:b w:val="0"/>
        </w:rPr>
        <w:t>&lt;/NumAm&gt;</w:t>
      </w:r>
    </w:p>
    <w:p w:rsidR="002669B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Skäl 1</w:t>
      </w:r>
      <w:r w:rsidRPr="00A732EB">
        <w:rPr>
          <w:rStyle w:val="HideTWBExt"/>
          <w:b w:val="0"/>
        </w:rPr>
        <w:t>&lt;/Article&gt;</w:t>
      </w:r>
      <w:bookmarkEnd w:id="1"/>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(1)</w:t>
            </w:r>
            <w:r w:rsidRPr="00A732EB">
              <w:tab/>
              <w:t xml:space="preserve">Genom Europaparlamentets och rådets direktiv (EU) </w:t>
            </w:r>
            <w:r w:rsidRPr="00A732EB">
              <w:t>2019/879</w:t>
            </w:r>
            <w:r w:rsidRPr="00A732EB">
              <w:rPr>
                <w:vertAlign w:val="superscript"/>
              </w:rPr>
              <w:t>16</w:t>
            </w:r>
            <w:r w:rsidRPr="00A732EB">
              <w:t xml:space="preserve"> och Europaparlamentets och rådets förordning (EU) 2019/877</w:t>
            </w:r>
            <w:r w:rsidRPr="00A732EB">
              <w:rPr>
                <w:vertAlign w:val="superscript"/>
              </w:rPr>
              <w:t>17</w:t>
            </w:r>
            <w:r w:rsidRPr="00A732EB">
              <w:t xml:space="preserve"> ändrades det minimikrav för kapitalbas och kvalificerade skulder (MREL-kravet) som anges i Europaparlamentets och rådets direktiv 2014/59/EU och i Europaparlamentets och rådets förordn</w:t>
            </w:r>
            <w:r w:rsidRPr="00A732EB">
              <w:t>ing (EU) nr 806/2014</w:t>
            </w:r>
            <w:r w:rsidRPr="00A732EB">
              <w:rPr>
                <w:vertAlign w:val="superscript"/>
              </w:rPr>
              <w:t>18</w:t>
            </w:r>
            <w:r w:rsidRPr="00A732EB">
              <w:t>, som är tillämpligt på kreditinstitut och värdepappersföretag (institut) som är etablerade i unionen samt på alla andra enheter som omfattas av direktiv 2014/59/EU</w:t>
            </w:r>
            <w:r w:rsidRPr="00A732EB">
              <w:rPr>
                <w:vertAlign w:val="superscript"/>
              </w:rPr>
              <w:t>19</w:t>
            </w:r>
            <w:r w:rsidRPr="00A732EB">
              <w:t xml:space="preserve"> eller förordning (EU) nr 806/2014 (enheter). Dessa ändringar föresk</w:t>
            </w:r>
            <w:r w:rsidRPr="00A732EB">
              <w:t>rev att det interna MREL-kravet, dvs. det MREL-krav som är tillämpligt på institut och enheter som är dotterföretag till resolutionsenheter men som själva inte är resolutionsenheter, får uppfyllas av dessa enheter med hjälp av instrument som emitterats til</w:t>
            </w:r>
            <w:r w:rsidRPr="00A732EB">
              <w:t>l och köpts av resolutionsenheten, antingen direkt eller indirekt genom andra enheter i samma resolutionsgrupp.</w:t>
            </w:r>
          </w:p>
        </w:tc>
        <w:tc>
          <w:tcPr>
            <w:tcW w:w="4876" w:type="dxa"/>
            <w:hideMark/>
          </w:tcPr>
          <w:p w:rsidR="00932D06" w:rsidRPr="00A732EB" w:rsidRDefault="00F22AF7" w:rsidP="00F22AF7">
            <w:pPr>
              <w:pStyle w:val="Normal6"/>
              <w:widowControl/>
              <w:rPr>
                <w:szCs w:val="24"/>
              </w:rPr>
            </w:pPr>
            <w:r w:rsidRPr="00A732EB">
              <w:t>(1)</w:t>
            </w:r>
            <w:r w:rsidRPr="00A732EB">
              <w:tab/>
              <w:t>Genom Europaparlamentets och rådets direktiv (EU) 2019/879</w:t>
            </w:r>
            <w:r w:rsidRPr="00A732EB">
              <w:rPr>
                <w:vertAlign w:val="superscript"/>
              </w:rPr>
              <w:t>16</w:t>
            </w:r>
            <w:r w:rsidRPr="00A732EB">
              <w:t xml:space="preserve"> och Europaparlamentets och rådets förordning (EU) 2019/877</w:t>
            </w:r>
            <w:r w:rsidRPr="00A732EB">
              <w:rPr>
                <w:vertAlign w:val="superscript"/>
              </w:rPr>
              <w:t>17</w:t>
            </w:r>
            <w:r w:rsidRPr="00A732EB">
              <w:t xml:space="preserve"> ändrades det minim</w:t>
            </w:r>
            <w:r w:rsidRPr="00A732EB">
              <w:t>ikrav för kapitalbas och kvalificerade skulder (MREL-kravet) som anges i Europaparlamentets och rådets direktiv 2014/59/EU och i Europaparlamentets och rådets förordning (EU) nr 806/2014</w:t>
            </w:r>
            <w:r w:rsidRPr="00A732EB">
              <w:rPr>
                <w:vertAlign w:val="superscript"/>
              </w:rPr>
              <w:t>18</w:t>
            </w:r>
            <w:r w:rsidRPr="00A732EB">
              <w:t>, som är tillämpligt på kreditinstitut och värdepappersföretag (inst</w:t>
            </w:r>
            <w:r w:rsidRPr="00A732EB">
              <w:t>itut) som är etablerade i unionen samt på alla andra enheter som omfattas av direktiv 2014/59/EU</w:t>
            </w:r>
            <w:r w:rsidRPr="00A732EB">
              <w:rPr>
                <w:vertAlign w:val="superscript"/>
              </w:rPr>
              <w:t>19</w:t>
            </w:r>
            <w:r w:rsidRPr="00A732EB">
              <w:t xml:space="preserve"> eller förordning (EU) nr 806/2014 (enheter). Dessa ändringar föreskrev att det interna MREL-kravet, dvs. det MREL-krav som är tillämpligt på institut och enh</w:t>
            </w:r>
            <w:r w:rsidRPr="00A732EB">
              <w:t xml:space="preserve">eter som är dotterföretag till resolutionsenheter men som själva inte är resolutionsenheter, får uppfyllas av dessa </w:t>
            </w:r>
            <w:r w:rsidRPr="00A732EB">
              <w:rPr>
                <w:b/>
                <w:i/>
              </w:rPr>
              <w:t xml:space="preserve">institut och </w:t>
            </w:r>
            <w:r w:rsidRPr="00A732EB">
              <w:t>enheter med hjälp av instrument som emitterats till och köpts av resolutionsenheten, antingen direkt eller indirekt genom andra</w:t>
            </w:r>
            <w:r w:rsidRPr="00A732EB">
              <w:t xml:space="preserve"> enheter i samma resolutionsgrupp.</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__________________</w:t>
            </w:r>
          </w:p>
        </w:tc>
        <w:tc>
          <w:tcPr>
            <w:tcW w:w="4876" w:type="dxa"/>
            <w:hideMark/>
          </w:tcPr>
          <w:p w:rsidR="00932D06" w:rsidRPr="00A732EB" w:rsidRDefault="00F22AF7" w:rsidP="00F22AF7">
            <w:pPr>
              <w:pStyle w:val="Normal6"/>
              <w:widowControl/>
              <w:rPr>
                <w:szCs w:val="24"/>
              </w:rPr>
            </w:pPr>
            <w:r w:rsidRPr="00A732EB">
              <w:t>__________________</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rPr>
                <w:vertAlign w:val="superscript"/>
              </w:rPr>
              <w:t>16</w:t>
            </w:r>
            <w:r w:rsidRPr="00A732EB">
              <w:t xml:space="preserve"> Europaparlamentets och rådets direktiv (EU) 2019/879 av den 20 maj 2019 om ändring av direktiv 2014/59/EU vad gäller kreditinstituts och värdepappersföretags förlustabsorberings-</w:t>
            </w:r>
            <w:r w:rsidRPr="00A732EB">
              <w:t xml:space="preserve"> och rekapitaliseringskapacitet och om direktiv 98/26/EG (EUT L 150, 7.6.2019, s. 296).</w:t>
            </w:r>
          </w:p>
        </w:tc>
        <w:tc>
          <w:tcPr>
            <w:tcW w:w="4876" w:type="dxa"/>
            <w:hideMark/>
          </w:tcPr>
          <w:p w:rsidR="00932D06" w:rsidRPr="00A732EB" w:rsidRDefault="00F22AF7" w:rsidP="00F22AF7">
            <w:pPr>
              <w:pStyle w:val="Normal6"/>
              <w:widowControl/>
              <w:rPr>
                <w:szCs w:val="24"/>
              </w:rPr>
            </w:pPr>
            <w:r w:rsidRPr="00A732EB">
              <w:rPr>
                <w:vertAlign w:val="superscript"/>
              </w:rPr>
              <w:t>16</w:t>
            </w:r>
            <w:r w:rsidRPr="00A732EB">
              <w:t xml:space="preserve"> Europaparlamentets och rådets direktiv (EU) 2019/879 av den 20 maj 2019 om ändring av direktiv 2014/59/EU vad gäller kreditinstituts och värdepappersföretags förlust</w:t>
            </w:r>
            <w:r w:rsidRPr="00A732EB">
              <w:t>absorberings- och rekapitaliseringskapacitet och om direktiv 98/26/EG (EUT L 150, 7.6.2019, s. 296).</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rPr>
                <w:vertAlign w:val="superscript"/>
              </w:rPr>
              <w:t>17</w:t>
            </w:r>
            <w:r w:rsidRPr="00A732EB">
              <w:t xml:space="preserve"> Europaparlamentets och rådets förordning (EU) 2019/877 av den 20 maj 2019 om ändring av förordning (EU) nr 806/2014 vad gäller kreditinstituts och värd</w:t>
            </w:r>
            <w:r w:rsidRPr="00A732EB">
              <w:t>epappersföretags förlustabsorberings- och rekapitaliseringskapacitet (EUT L 150, 7.6.2019, s. 226).</w:t>
            </w:r>
          </w:p>
        </w:tc>
        <w:tc>
          <w:tcPr>
            <w:tcW w:w="4876" w:type="dxa"/>
            <w:hideMark/>
          </w:tcPr>
          <w:p w:rsidR="00932D06" w:rsidRPr="00A732EB" w:rsidRDefault="00F22AF7" w:rsidP="00F22AF7">
            <w:pPr>
              <w:pStyle w:val="Normal6"/>
              <w:widowControl/>
              <w:rPr>
                <w:szCs w:val="24"/>
              </w:rPr>
            </w:pPr>
            <w:r w:rsidRPr="00A732EB">
              <w:rPr>
                <w:vertAlign w:val="superscript"/>
              </w:rPr>
              <w:t>17</w:t>
            </w:r>
            <w:r w:rsidRPr="00A732EB">
              <w:t xml:space="preserve"> Europaparlamentets och rådets förordning (EU) 2019/877 av den 20 maj 2019 om ändring av förordning (EU) nr 806/2014 vad gäller kreditinstituts och värdepappersföretags förlustabsorberings- och rekapitaliseringskapacitet (EUT L 150, 7.6.2019, s. 226).</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rPr>
                <w:vertAlign w:val="superscript"/>
              </w:rPr>
              <w:t>18</w:t>
            </w:r>
            <w:r w:rsidRPr="00A732EB">
              <w:t xml:space="preserve"> </w:t>
            </w:r>
            <w:r w:rsidRPr="00A732EB">
              <w:t xml:space="preserve">Europaparlamentets och rådets direktiv </w:t>
            </w:r>
            <w:r w:rsidRPr="00A732EB">
              <w:lastRenderedPageBreak/>
              <w:t>2014/59/EU av den 15 maj 2014 om inrättande av en ram för återhämtning och resolution av kreditinstitut och värdepappersföretag och om ändring av rådets direktiv 82/891/EEG och Europaparlamentets och rådets direktiv 2</w:t>
            </w:r>
            <w:r w:rsidRPr="00A732EB">
              <w:t>001/24/EG, 2002/47/EG, 2004/25/EG, 2005/56/EG, 2007/36/EG, 2011/35/EU, 2012/30/EU och 2013/36/EU samt Europaparlamentets och rådets förordningar (EU) nr 1093/2010 och (EU) nr 648/2012 (EUT L 173, 12.6.2014, s. 190).</w:t>
            </w:r>
          </w:p>
        </w:tc>
        <w:tc>
          <w:tcPr>
            <w:tcW w:w="4876" w:type="dxa"/>
            <w:hideMark/>
          </w:tcPr>
          <w:p w:rsidR="00932D06" w:rsidRPr="00A732EB" w:rsidRDefault="00F22AF7" w:rsidP="00F22AF7">
            <w:pPr>
              <w:pStyle w:val="Normal6"/>
              <w:widowControl/>
              <w:rPr>
                <w:szCs w:val="24"/>
              </w:rPr>
            </w:pPr>
            <w:r w:rsidRPr="00A732EB">
              <w:rPr>
                <w:vertAlign w:val="superscript"/>
              </w:rPr>
              <w:lastRenderedPageBreak/>
              <w:t>18</w:t>
            </w:r>
            <w:r w:rsidRPr="00A732EB">
              <w:t xml:space="preserve"> Europaparlamentets och rådets direkti</w:t>
            </w:r>
            <w:r w:rsidRPr="00A732EB">
              <w:t xml:space="preserve">v </w:t>
            </w:r>
            <w:r w:rsidRPr="00A732EB">
              <w:lastRenderedPageBreak/>
              <w:t>2014/59/EU av den 15 maj 2014 om inrättande av en ram för återhämtning och resolution av kreditinstitut och värdepappersföretag och om ändring av rådets direktiv 82/891/EEG och Europaparlamentets och rådets direktiv 2001/24/EG, 2002/47/EG, 2004/25/EG, 20</w:t>
            </w:r>
            <w:r w:rsidRPr="00A732EB">
              <w:t>05/56/EG, 2007/36/EG, 2011/35/EU, 2012/30/EU och 2013/36/EU samt Europaparlamentets och rådets förordningar (EU) nr 1093/2010 och (EU) nr 648/2012 (EUT L 173, 12.6.2014, s. 190).</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rPr>
                <w:vertAlign w:val="superscript"/>
              </w:rPr>
              <w:lastRenderedPageBreak/>
              <w:t>19</w:t>
            </w:r>
            <w:r w:rsidRPr="00A732EB">
              <w:t xml:space="preserve"> Europaparlamentets och rådets förordning (EU) nr 806/2014 av den 15 juli </w:t>
            </w:r>
            <w:r w:rsidRPr="00A732EB">
              <w:t>2014 om fastställande av enhetliga regler och ett enhetligt förfarande för resolution av kreditinstitut och vissa värdepappersföretag inom ramen för en gemensam resolutionsmekanism och en gemensam resolutionsfond och om ändring av förordning (EU) nr 1093/2</w:t>
            </w:r>
            <w:r w:rsidRPr="00A732EB">
              <w:t>010 (EUT L 225, 30.7.2014, s. 1).</w:t>
            </w:r>
          </w:p>
        </w:tc>
        <w:tc>
          <w:tcPr>
            <w:tcW w:w="4876" w:type="dxa"/>
            <w:hideMark/>
          </w:tcPr>
          <w:p w:rsidR="00932D06" w:rsidRPr="00A732EB" w:rsidRDefault="00F22AF7" w:rsidP="00F22AF7">
            <w:pPr>
              <w:pStyle w:val="Normal6"/>
              <w:widowControl/>
              <w:rPr>
                <w:szCs w:val="24"/>
              </w:rPr>
            </w:pPr>
            <w:r w:rsidRPr="00A732EB">
              <w:rPr>
                <w:vertAlign w:val="superscript"/>
              </w:rPr>
              <w:t>19</w:t>
            </w:r>
            <w:r w:rsidRPr="00A732EB">
              <w:t xml:space="preserve"> Europaparlamentets och rådets förordning (EU) nr 806/2014 av den 15 juli 2014 om fastställande av enhetliga regler och ett enhetligt förfarande för resolution av kreditinstitut och vissa värdepappersföretag inom ramen f</w:t>
            </w:r>
            <w:r w:rsidRPr="00A732EB">
              <w:t>ör en gemensam resolutionsmekanism och en gemensam resolutionsfond och om ändring av förordning (EU) nr 1093/2010 (EUT L 225, 30.7.2014, s. 1).</w:t>
            </w:r>
          </w:p>
        </w:tc>
      </w:tr>
    </w:tbl>
    <w:p w:rsidR="00932D06" w:rsidRPr="00A732EB" w:rsidRDefault="00F22AF7" w:rsidP="00F22AF7">
      <w:pPr>
        <w:pStyle w:val="Olang"/>
        <w:rPr>
          <w:sz w:val="24"/>
          <w:szCs w:val="24"/>
        </w:rPr>
      </w:pPr>
      <w:r w:rsidRPr="00A732EB">
        <w:rPr>
          <w:sz w:val="24"/>
          <w:szCs w:val="24"/>
        </w:rPr>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2</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 xml:space="preserve">Förslag till </w:t>
      </w:r>
      <w:r w:rsidRPr="00A732EB">
        <w:t>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Skäl 3</w:t>
      </w:r>
      <w:r w:rsidRPr="00A732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(3)</w:t>
            </w:r>
            <w:r w:rsidRPr="00A732EB">
              <w:tab/>
            </w:r>
            <w:r w:rsidRPr="00A732EB">
              <w:t>Kommissionens översyn visade att det skulle vara lämpligt och stå i proportion till de mål som eftersträvas med de interna MREL-reglerna att göra det möjligt för resolutionsmyndigheter att fastställa det interna MREL-kravet på gruppnivå för ytterligare typ</w:t>
            </w:r>
            <w:r w:rsidRPr="00A732EB">
              <w:t xml:space="preserve">er av enheter än vad som följer av tillämpningen av direktiv 2014/59/EU och förordning (EU) nr 806/2014, där en sådan vidare räckvidd omfattar institut och enheter som inte själva är resolutionsenheter, men som är dotterföretag till resolutionsenheter och </w:t>
            </w:r>
            <w:r w:rsidRPr="00A732EB">
              <w:t xml:space="preserve">själva kontrollerar </w:t>
            </w:r>
            <w:r w:rsidRPr="00A732EB">
              <w:rPr>
                <w:b/>
                <w:i/>
              </w:rPr>
              <w:t>dotterföretag som omfattas av MREL-kravet</w:t>
            </w:r>
            <w:r w:rsidRPr="00A732EB">
              <w:t xml:space="preserve"> (förmedlande enheter). Detta skulle särskilt vara fallet för </w:t>
            </w:r>
            <w:r w:rsidRPr="00A732EB">
              <w:lastRenderedPageBreak/>
              <w:t>de bankgrupper med ett holdingbolag i toppen. I sådana fall centraliserar de förmedlande enheterna naturligt exponeringar inom gruppe</w:t>
            </w:r>
            <w:r w:rsidRPr="00A732EB">
              <w:t>n och kanaliserar de resurser som är kvalificerade för interna MREL-krav och som är förutbestämda av resolutionsenheten. På grund av denna struktur skulle sådana förmedlande enheter påverkas oproportionerligt av avdragsreglerna. Kommissionen drog också slu</w:t>
            </w:r>
            <w:r w:rsidRPr="00A732EB">
              <w:t xml:space="preserve">tsatsen att MREL-ramen skulle </w:t>
            </w:r>
            <w:r w:rsidRPr="00A732EB">
              <w:rPr>
                <w:b/>
                <w:i/>
              </w:rPr>
              <w:t>vara</w:t>
            </w:r>
            <w:r w:rsidRPr="00A732EB">
              <w:t xml:space="preserve"> mer proportionerlig </w:t>
            </w:r>
            <w:r w:rsidRPr="00A732EB">
              <w:rPr>
                <w:b/>
                <w:i/>
              </w:rPr>
              <w:t>om avvecklingsenheters emissioner togs bort från</w:t>
            </w:r>
            <w:r w:rsidRPr="00A732EB">
              <w:t xml:space="preserve"> de exponeringar som en förmedlande enhet är skyldig att dra av</w:t>
            </w:r>
            <w:r w:rsidRPr="00A732EB">
              <w:rPr>
                <w:b/>
                <w:i/>
              </w:rPr>
              <w:t xml:space="preserve"> i enlighet med avdragsmekanismen för indirekt teckning av resurser som är kvalificerade f</w:t>
            </w:r>
            <w:r w:rsidRPr="00A732EB">
              <w:rPr>
                <w:b/>
                <w:i/>
              </w:rPr>
              <w:t>ör interna</w:t>
            </w:r>
            <w:r w:rsidRPr="00A732EB">
              <w:t xml:space="preserve"> MREL-krav. </w:t>
            </w:r>
            <w:r w:rsidRPr="00A732EB">
              <w:rPr>
                <w:b/>
                <w:i/>
              </w:rPr>
              <w:t>En avvecklingsenhet behöver</w:t>
            </w:r>
            <w:r w:rsidRPr="00A732EB">
              <w:t xml:space="preserve"> inte </w:t>
            </w:r>
            <w:r w:rsidRPr="00A732EB">
              <w:rPr>
                <w:b/>
                <w:i/>
              </w:rPr>
              <w:t>stödjas av resolutionsenheten i händelse av fallissemang</w:t>
            </w:r>
            <w:r w:rsidRPr="00A732EB">
              <w:t xml:space="preserve">, och därför behöver </w:t>
            </w:r>
            <w:r w:rsidRPr="00A732EB">
              <w:rPr>
                <w:b/>
                <w:i/>
              </w:rPr>
              <w:t>eventuella mekanismer</w:t>
            </w:r>
            <w:r w:rsidRPr="00A732EB">
              <w:t xml:space="preserve"> för förlust- och kapitalöverföring inom resolutionsgrupper inte skyddas, vilket var syftet med de avdr</w:t>
            </w:r>
            <w:r w:rsidRPr="00A732EB">
              <w:t>agsregler som infördes genom förordning (EU) 2022/2036. De återstående enheterna i resolutionsgruppen kommer däremot att behöva stödjas av resolutionsenheten i händelse av kris eller fallissemang. De nödvändiga MREL-resurserna bör därför finnas på alla niv</w:t>
            </w:r>
            <w:r w:rsidRPr="00A732EB">
              <w:t>åer i resolutionsgruppen och deras tillgänglighet för förlustabsorbering och rekapitalisering bör säkerställas genom avdragsmekanismen. I sin översyn kom kommissionen därför fram till att förmedlande enheter bör fortsätta att dra av hela beloppet av sina i</w:t>
            </w:r>
            <w:r w:rsidRPr="00A732EB">
              <w:t>nnehav av resurser som är kvalificerade för interna MREL-krav som emitterats av andra enheter i samma resolutionsgrupp som inte är avvecklingsenheter.</w:t>
            </w:r>
          </w:p>
        </w:tc>
        <w:tc>
          <w:tcPr>
            <w:tcW w:w="4876" w:type="dxa"/>
            <w:hideMark/>
          </w:tcPr>
          <w:p w:rsidR="00932D06" w:rsidRPr="00A732EB" w:rsidRDefault="00F22AF7" w:rsidP="00F22AF7">
            <w:pPr>
              <w:pStyle w:val="Normal6"/>
              <w:widowControl/>
              <w:rPr>
                <w:szCs w:val="24"/>
              </w:rPr>
            </w:pPr>
            <w:r w:rsidRPr="00A732EB">
              <w:lastRenderedPageBreak/>
              <w:t>(3)</w:t>
            </w:r>
            <w:r w:rsidRPr="00A732EB">
              <w:tab/>
              <w:t>Kommissionens översyn visade att det skulle vara lämpligt och stå i proportion till de mål som efters</w:t>
            </w:r>
            <w:r w:rsidRPr="00A732EB">
              <w:t>trävas med de interna MREL-reglerna att göra det möjligt för resolutionsmyndigheter att fastställa det interna MREL-kravet på gruppnivå för ytterligare typer av enheter än vad som följer av tillämpningen av direktiv 2014/59/EU och förordning (EU) nr 806/20</w:t>
            </w:r>
            <w:r w:rsidRPr="00A732EB">
              <w:t xml:space="preserve">14, där en sådan vidare räckvidd omfattar institut och enheter som inte själva är resolutionsenheter, men som är dotterföretag till resolutionsenheter och själva kontrollerar </w:t>
            </w:r>
            <w:r w:rsidRPr="00A732EB">
              <w:rPr>
                <w:b/>
                <w:i/>
              </w:rPr>
              <w:t>andra dotterföretag</w:t>
            </w:r>
            <w:r w:rsidRPr="00A732EB">
              <w:t xml:space="preserve"> (förmedlande enheter)</w:t>
            </w:r>
            <w:r w:rsidRPr="00A732EB">
              <w:rPr>
                <w:b/>
                <w:i/>
              </w:rPr>
              <w:t xml:space="preserve"> i samma resolutionsgrupp</w:t>
            </w:r>
            <w:r w:rsidRPr="00A732EB">
              <w:t xml:space="preserve">. Detta skulle </w:t>
            </w:r>
            <w:r w:rsidRPr="00A732EB">
              <w:t xml:space="preserve">särskilt vara </w:t>
            </w:r>
            <w:r w:rsidRPr="00A732EB">
              <w:lastRenderedPageBreak/>
              <w:t xml:space="preserve">fallet för de bankgrupper med ett holdingbolag i toppen. I sådana fall centraliserar de förmedlande enheterna naturligt exponeringar inom gruppen och kanaliserar de resurser som är kvalificerade för interna MREL-krav och som är förutbestämda </w:t>
            </w:r>
            <w:r w:rsidRPr="00A732EB">
              <w:t xml:space="preserve">av resolutionsenheten. På grund av denna struktur skulle sådana förmedlande enheter </w:t>
            </w:r>
            <w:r w:rsidRPr="00A732EB">
              <w:rPr>
                <w:b/>
                <w:i/>
              </w:rPr>
              <w:t xml:space="preserve">kunna </w:t>
            </w:r>
            <w:r w:rsidRPr="00A732EB">
              <w:t xml:space="preserve">påverkas oproportionerligt av avdragsreglerna. Kommissionen drog också slutsatsen att MREL-ramen skulle </w:t>
            </w:r>
            <w:r w:rsidRPr="00A732EB">
              <w:rPr>
                <w:b/>
                <w:i/>
              </w:rPr>
              <w:t>bli</w:t>
            </w:r>
            <w:r w:rsidRPr="00A732EB">
              <w:t xml:space="preserve"> mer proportionerlig </w:t>
            </w:r>
            <w:r w:rsidRPr="00A732EB">
              <w:rPr>
                <w:b/>
                <w:i/>
              </w:rPr>
              <w:t xml:space="preserve">genom en anpassning av bestämmelserna </w:t>
            </w:r>
            <w:r w:rsidRPr="00A732EB">
              <w:rPr>
                <w:b/>
                <w:i/>
              </w:rPr>
              <w:t>om</w:t>
            </w:r>
            <w:r w:rsidRPr="00A732EB">
              <w:t xml:space="preserve"> de exponeringar som en förmedlande enhet är skyldig att dra av</w:t>
            </w:r>
            <w:r w:rsidRPr="00A732EB">
              <w:rPr>
                <w:b/>
                <w:i/>
              </w:rPr>
              <w:t>, om den emitterande enheten är en avvecklingsenhet som inte omfattas av ett beslut om</w:t>
            </w:r>
            <w:r w:rsidRPr="00A732EB">
              <w:t xml:space="preserve"> MREL-krav.</w:t>
            </w:r>
            <w:r w:rsidRPr="00A732EB">
              <w:rPr>
                <w:b/>
                <w:i/>
              </w:rPr>
              <w:t xml:space="preserve"> I dessa fall förväntar man sig</w:t>
            </w:r>
            <w:r w:rsidRPr="00A732EB">
              <w:t xml:space="preserve"> inte </w:t>
            </w:r>
            <w:r w:rsidRPr="00A732EB">
              <w:rPr>
                <w:b/>
                <w:i/>
              </w:rPr>
              <w:t>att nedskrivnings- och konverteringsbefogenheterna kommer</w:t>
            </w:r>
            <w:r w:rsidRPr="00A732EB">
              <w:rPr>
                <w:b/>
                <w:i/>
              </w:rPr>
              <w:t xml:space="preserve"> att behöva utövas gentemot dessa avvecklingsenheter</w:t>
            </w:r>
            <w:r w:rsidRPr="00A732EB">
              <w:t xml:space="preserve">, och därför behöver </w:t>
            </w:r>
            <w:r w:rsidRPr="00A732EB">
              <w:rPr>
                <w:b/>
                <w:i/>
              </w:rPr>
              <w:t>mekanismerna</w:t>
            </w:r>
            <w:r w:rsidRPr="00A732EB">
              <w:t xml:space="preserve"> för förlust- och kapitalöverföring inom resolutionsgrupper inte skyddas, vilket var syftet med de avdragsregler som infördes genom förordning (EU) 2022/2036. De återståen</w:t>
            </w:r>
            <w:r w:rsidRPr="00A732EB">
              <w:t>de enheterna i resolutionsgruppen kommer däremot att behöva stödjas av resolutionsenheten i händelse av kris eller fallissemang. De nödvändiga MREL-resurserna bör därför finnas på alla nivåer i resolutionsgruppen och deras tillgänglighet för förlustabsorbe</w:t>
            </w:r>
            <w:r w:rsidRPr="00A732EB">
              <w:t>ring och rekapitalisering bör säkerställas genom avdragsmekanismen. I sin översyn kom kommissionen därför fram till att förmedlande enheter bör fortsätta att dra av hela beloppet av sina innehav av resurser som är kvalificerade för interna MREL-krav som em</w:t>
            </w:r>
            <w:r w:rsidRPr="00A732EB">
              <w:t>itterats av andra enheter i samma resolutionsgrupp som inte är avvecklingsenheter.</w:t>
            </w:r>
          </w:p>
        </w:tc>
      </w:tr>
    </w:tbl>
    <w:p w:rsidR="00932D06" w:rsidRPr="00A732EB" w:rsidRDefault="00F22AF7" w:rsidP="00F22AF7">
      <w:pPr>
        <w:pStyle w:val="Olang"/>
        <w:rPr>
          <w:sz w:val="24"/>
          <w:szCs w:val="24"/>
        </w:rPr>
      </w:pPr>
      <w:r w:rsidRPr="00A732EB">
        <w:rPr>
          <w:sz w:val="24"/>
          <w:szCs w:val="24"/>
        </w:rPr>
        <w:lastRenderedPageBreak/>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3</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Skäl 5</w:t>
      </w:r>
      <w:r w:rsidRPr="00A732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 xml:space="preserve">Kommissionens </w:t>
            </w:r>
            <w:r w:rsidRPr="00A732EB">
              <w:t>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(5)</w:t>
            </w:r>
            <w:r w:rsidRPr="00A732EB">
              <w:tab/>
              <w:t>För att säkerställa att möjligheten att uppfylla MREL-kravet på gruppnivå endast är tillgänglig i de relevanta fall som identifierats i kommissionens översyn och inte leder till en brist på resurser som är kvalificerade för int</w:t>
            </w:r>
            <w:r w:rsidRPr="00A732EB">
              <w:t>erna MREL-krav i hela resolutionsgruppen, bör resolutionsmyndigheten ha befogenhet att göra en skönsmässig bedömning för att fastställa det interna MREL-kravet på gruppnivå för förmedlande enheter med förbehåll för vissa villkor. Den förmedlande enheten bö</w:t>
            </w:r>
            <w:r w:rsidRPr="00A732EB">
              <w:t>r vara det enda direkta dotterföretaget, det vill säga ett institut eller en enhet, till en resolutionsenhet som är ett finansiellt moderholdingföretag inom unionen eller ett blandat finansiellt moderholdingföretag inom unionen, som är etablerat i samma me</w:t>
            </w:r>
            <w:r w:rsidRPr="00A732EB">
              <w:t>dlemsstat och ingår i samma resolutionsgrupp. Alternativt bör den berörda förmedlande enheten uppfylla kravet på ytterligare kapitalbas eller det kombinerade buffertkravet på grundval av sin konsoliderade situation. I båda fallen bör dock uppfyllandet av d</w:t>
            </w:r>
            <w:r w:rsidRPr="00A732EB">
              <w:t xml:space="preserve">et interna MREL-kravet på gruppnivå, vid resolutionsmyndighetens bedömning, inte på ett </w:t>
            </w:r>
            <w:r w:rsidRPr="00A732EB">
              <w:rPr>
                <w:b/>
                <w:i/>
              </w:rPr>
              <w:t xml:space="preserve">betydande </w:t>
            </w:r>
            <w:r w:rsidRPr="00A732EB">
              <w:t>negativt sätt påverka den berörda resolutionsgruppens möjlighet till resolution, eller resolutionsmyndighetens tillämpning av befogenheten att skriva ned elle</w:t>
            </w:r>
            <w:r w:rsidRPr="00A732EB">
              <w:t>r konvertera tillämpliga kapitalinstrument och kvalificerade skulder för den berörda förmedlande enheten eller för andra enheter i dess resolutionsgrupp.</w:t>
            </w:r>
          </w:p>
        </w:tc>
        <w:tc>
          <w:tcPr>
            <w:tcW w:w="4876" w:type="dxa"/>
            <w:hideMark/>
          </w:tcPr>
          <w:p w:rsidR="00932D06" w:rsidRPr="00A732EB" w:rsidRDefault="00F22AF7" w:rsidP="00F22AF7">
            <w:pPr>
              <w:pStyle w:val="Normal6"/>
              <w:widowControl/>
              <w:rPr>
                <w:szCs w:val="24"/>
              </w:rPr>
            </w:pPr>
            <w:r w:rsidRPr="00A732EB">
              <w:t>(5)</w:t>
            </w:r>
            <w:r w:rsidRPr="00A732EB">
              <w:tab/>
              <w:t xml:space="preserve">För att säkerställa att möjligheten att uppfylla MREL-kravet på gruppnivå endast är tillgänglig i </w:t>
            </w:r>
            <w:r w:rsidRPr="00A732EB">
              <w:t>de relevanta fall som identifierats i kommissionens översyn och inte leder till en brist på resurser som är kvalificerade för interna MREL-krav i hela resolutionsgruppen, bör resolutionsmyndigheten ha befogenhet att göra en skönsmässig bedömning för att fa</w:t>
            </w:r>
            <w:r w:rsidRPr="00A732EB">
              <w:t>stställa det interna MREL-kravet på gruppnivå för förmedlande enheter med förbehåll för vissa villkor. Den förmedlande enheten bör vara det enda direkta dotterföretaget, det vill säga ett institut eller en enhet, till en resolutionsenhet som är ett finansi</w:t>
            </w:r>
            <w:r w:rsidRPr="00A732EB">
              <w:t>ellt moderholdingföretag inom unionen eller ett blandat finansiellt moderholdingföretag inom unionen, som är etablerat i samma medlemsstat och ingår i samma resolutionsgrupp. Alternativt bör den berörda förmedlande enheten uppfylla kravet på ytterligare ka</w:t>
            </w:r>
            <w:r w:rsidRPr="00A732EB">
              <w:t>pitalbas eller det kombinerade buffertkravet på grundval av sin konsoliderade situation. I båda fallen bör dock uppfyllandet av det interna MREL-kravet på gruppnivå, vid resolutionsmyndighetens bedömning, inte på ett negativt sätt påverka den berörda resol</w:t>
            </w:r>
            <w:r w:rsidRPr="00A732EB">
              <w:t>utionsgruppens möjlighet till resolution, eller resolutionsmyndighetens tillämpning av befogenheten att skriva ned eller konvertera tillämpliga kapitalinstrument och kvalificerade skulder för den berörda förmedlande enheten eller för andra enheter i dess r</w:t>
            </w:r>
            <w:r w:rsidRPr="00A732EB">
              <w:t xml:space="preserve">esolutionsgrupp. </w:t>
            </w:r>
            <w:r w:rsidRPr="00A732EB">
              <w:rPr>
                <w:b/>
                <w:i/>
              </w:rPr>
              <w:t xml:space="preserve">En situation där fastställandet av interna MREL-krav på gruppnivå skulle inverka negativt på resolutionsgruppens möjlighet till resolution är om beloppet för det MREL-kravet inte säkerställer uppfyllandet av de enskilda kapitalbaskrav som </w:t>
            </w:r>
            <w:r w:rsidRPr="00A732EB">
              <w:rPr>
                <w:b/>
                <w:i/>
              </w:rPr>
              <w:t>är tillämpliga efter utövandet av nedskrivnings- och konverteringsbefogenheterna.</w:t>
            </w:r>
          </w:p>
        </w:tc>
      </w:tr>
    </w:tbl>
    <w:p w:rsidR="00932D06" w:rsidRPr="00A732EB" w:rsidRDefault="00F22AF7" w:rsidP="00F22AF7">
      <w:pPr>
        <w:pStyle w:val="Olang"/>
        <w:rPr>
          <w:sz w:val="24"/>
          <w:szCs w:val="24"/>
        </w:rPr>
      </w:pPr>
      <w:r w:rsidRPr="00A732EB">
        <w:rPr>
          <w:sz w:val="24"/>
          <w:szCs w:val="24"/>
        </w:rPr>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lastRenderedPageBreak/>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4</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Skäl 6</w:t>
      </w:r>
      <w:r w:rsidRPr="00A732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 xml:space="preserve">Kommissionens </w:t>
            </w:r>
            <w:r w:rsidRPr="00A732EB">
              <w:t>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(6)</w:t>
            </w:r>
            <w:r w:rsidRPr="00A732EB">
              <w:tab/>
              <w:t xml:space="preserve">Enligt artikel 45f.2 i direktiv 2014/59/EU och artikel 12g.2 i förordning (EU) nr 806/2014 får förmedlande enheter uppfylla det konsoliderade interna MREL-kravet med hjälp av kapitalbas och kvalificerade skulder. För att göra </w:t>
            </w:r>
            <w:r w:rsidRPr="00A732EB">
              <w:t>det fullt ut möjligt att uppfylla MREL-kravet på gruppnivå är det nödvändigt att säkerställa att de förmedlande enheternas kvalificerade skulder beräknas på ett sätt som liknar beräkningen av kapitalbasen. Kvalificeringskriterierna för kvalificerade skulde</w:t>
            </w:r>
            <w:r w:rsidRPr="00A732EB">
              <w:t>r som kan användas för att uppfylla det interna MREL-kravet på gruppnivå bör därför anpassas till de regler för beräkning av konsoliderad kapitalbas som fastställs i förordning (EU) nr 575/2013. För att säkerställa överensstämmelse med de befintliga regler</w:t>
            </w:r>
            <w:r w:rsidRPr="00A732EB">
              <w:t>na för det externa MREL-kravet bör denna anpassning också återspegla de befintliga regler som fastställs i artikel 45b.3 i direktiv 2014/59/EU och artikel 12d.3 i förordning (EU) nr 806/2014 för beräkning av kvalificerade skulder som resolutionsenheter får</w:t>
            </w:r>
            <w:r w:rsidRPr="00A732EB">
              <w:t xml:space="preserve"> använda för att uppfylla sina konsoliderade MREL-krav. Det är särskilt nödvändigt att säkerställa att kvalificerade skulder som emitterats av dotterföretagen till den enhet som omfattas av det konsoliderade interna MREL-kravet och som innehas av andra enh</w:t>
            </w:r>
            <w:r w:rsidRPr="00A732EB">
              <w:t>eter i samma resolutionsgrupp men utanför konsolideringen</w:t>
            </w:r>
            <w:r w:rsidRPr="00A732EB">
              <w:rPr>
                <w:b/>
                <w:i/>
              </w:rPr>
              <w:t>, inbegripet resolutionsenheten,</w:t>
            </w:r>
            <w:r w:rsidRPr="00A732EB">
              <w:t xml:space="preserve"> eller av befintliga aktieägare som inte tillhör samma resolutionsgrupp, räknas in i kapitalbasen och kvalificerade skulder i den enhet som omfattas av det konsolidera</w:t>
            </w:r>
            <w:r w:rsidRPr="00A732EB">
              <w:t>de interna MREL-kravet.</w:t>
            </w:r>
          </w:p>
        </w:tc>
        <w:tc>
          <w:tcPr>
            <w:tcW w:w="4876" w:type="dxa"/>
            <w:hideMark/>
          </w:tcPr>
          <w:p w:rsidR="00932D06" w:rsidRPr="00A732EB" w:rsidRDefault="00F22AF7" w:rsidP="00F22AF7">
            <w:pPr>
              <w:pStyle w:val="Normal6"/>
              <w:widowControl/>
              <w:rPr>
                <w:szCs w:val="24"/>
              </w:rPr>
            </w:pPr>
            <w:r w:rsidRPr="00A732EB">
              <w:t>(6)</w:t>
            </w:r>
            <w:r w:rsidRPr="00A732EB">
              <w:tab/>
              <w:t>Enligt artikel 45f.2 i direktiv 2014/59/EU och artikel 12g.2 i förordning (EU) nr 806/2014 får förmedlande enheter uppfylla det konsoliderade interna MREL-kravet med hjälp av kapitalbas och kvalificerade skulder. För att göra de</w:t>
            </w:r>
            <w:r w:rsidRPr="00A732EB">
              <w:t xml:space="preserve">t fullt ut möjligt att uppfylla MREL-kravet på gruppnivå är det nödvändigt att säkerställa att de förmedlande enheternas kvalificerade skulder beräknas på ett sätt som liknar beräkningen av kapitalbasen. Kvalificeringskriterierna för kvalificerade skulder </w:t>
            </w:r>
            <w:r w:rsidRPr="00A732EB">
              <w:t>som kan användas för att uppfylla det interna MREL-kravet på gruppnivå bör därför anpassas till de regler för beräkning av konsoliderad kapitalbas som fastställs i förordning (EU) nr 575/2013. För att säkerställa överensstämmelse med de befintliga reglerna</w:t>
            </w:r>
            <w:r w:rsidRPr="00A732EB">
              <w:t xml:space="preserve"> för det externa MREL-kravet bör denna anpassning också återspegla de befintliga regler som fastställs i artikel 45b.3 i direktiv 2014/59/EU och artikel 12d.3 i förordning (EU) nr 806/2014 för beräkning av kvalificerade skulder som resolutionsenheter får a</w:t>
            </w:r>
            <w:r w:rsidRPr="00A732EB">
              <w:t xml:space="preserve">nvända för att uppfylla sina konsoliderade MREL-krav. Det är särskilt nödvändigt att säkerställa att kvalificerade skulder som emitterats av dotterföretagen till den enhet som omfattas av det konsoliderade interna MREL-kravet och som innehas av </w:t>
            </w:r>
            <w:r w:rsidRPr="00A732EB">
              <w:rPr>
                <w:b/>
                <w:i/>
              </w:rPr>
              <w:t>resolutions</w:t>
            </w:r>
            <w:r w:rsidRPr="00A732EB">
              <w:rPr>
                <w:b/>
                <w:i/>
              </w:rPr>
              <w:t xml:space="preserve">enheten, antingen direkt eller indirekt via </w:t>
            </w:r>
            <w:r w:rsidRPr="00A732EB">
              <w:t>andra enheter i samma resolutionsgrupp men utanför konsolideringen eller av befintliga aktieägare som inte tillhör samma resolutionsgrupp, räknas in i kapitalbasen och kvalificerade skulder i den enhet som omfatt</w:t>
            </w:r>
            <w:r w:rsidRPr="00A732EB">
              <w:t>as av det konsoliderade interna MREL-kravet.</w:t>
            </w:r>
          </w:p>
        </w:tc>
      </w:tr>
    </w:tbl>
    <w:p w:rsidR="00932D06" w:rsidRPr="00A732EB" w:rsidRDefault="00F22AF7" w:rsidP="00F22AF7">
      <w:pPr>
        <w:pStyle w:val="Olang"/>
        <w:rPr>
          <w:sz w:val="24"/>
          <w:szCs w:val="24"/>
        </w:rPr>
      </w:pPr>
      <w:r w:rsidRPr="00A732EB">
        <w:rPr>
          <w:sz w:val="24"/>
          <w:szCs w:val="24"/>
        </w:rPr>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lastRenderedPageBreak/>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5</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Skäl 7</w:t>
      </w:r>
      <w:r w:rsidRPr="00A732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(7)</w:t>
            </w:r>
            <w:r w:rsidRPr="00A732EB">
              <w:tab/>
            </w:r>
            <w:r w:rsidRPr="00A732EB">
              <w:rPr>
                <w:b/>
                <w:i/>
              </w:rPr>
              <w:t xml:space="preserve">För </w:t>
            </w:r>
            <w:r w:rsidRPr="00A732EB">
              <w:rPr>
                <w:b/>
                <w:i/>
              </w:rPr>
              <w:t>avvecklingsenheter</w:t>
            </w:r>
            <w:r w:rsidRPr="00A732EB">
              <w:t xml:space="preserve"> är MREL-kravet </w:t>
            </w:r>
            <w:r w:rsidRPr="00A732EB">
              <w:rPr>
                <w:b/>
                <w:i/>
              </w:rPr>
              <w:t>normalt begränsat</w:t>
            </w:r>
            <w:r w:rsidRPr="00A732EB">
              <w:t xml:space="preserve"> till det belopp som krävs för förlustabsorbering, vilket motsvarar kapitalbaskraven. I sådana fall medför MREL-kravet inte för avvecklingsenheten något ytterligare krav som är direkt kopplat till resoluti</w:t>
            </w:r>
            <w:r w:rsidRPr="00A732EB">
              <w:t>onsramen. Detta innebär att en avvecklingsenhet fullt ut kan uppfylla MREL-kravet genom att uppfylla kapitalbaskraven, och att ett särskilt beslut av resolutionsmyndigheten om fastställande av MREL-krav inte på ett meningsfullt sätt bidrar till möjligheten</w:t>
            </w:r>
            <w:r w:rsidRPr="00A732EB">
              <w:t xml:space="preserve"> till resolution av avvecklingsenheter. Ett sådant beslut medför många förfarandemässiga skyldigheter för resolutionsmyndigheterna och för avvecklingsenheterna utan motsvarande fördel i form av förbättrad möjlighet till resolution. Därför bör resolutionsmy</w:t>
            </w:r>
            <w:r w:rsidRPr="00A732EB">
              <w:t>ndigheterna inte fastställa MREL-krav för avvecklingsenheter.</w:t>
            </w:r>
          </w:p>
        </w:tc>
        <w:tc>
          <w:tcPr>
            <w:tcW w:w="4876" w:type="dxa"/>
            <w:hideMark/>
          </w:tcPr>
          <w:p w:rsidR="00932D06" w:rsidRPr="00A732EB" w:rsidRDefault="00F22AF7" w:rsidP="00F22AF7">
            <w:pPr>
              <w:pStyle w:val="Normal6"/>
              <w:widowControl/>
              <w:rPr>
                <w:szCs w:val="24"/>
              </w:rPr>
            </w:pPr>
            <w:r w:rsidRPr="00A732EB">
              <w:t>(7)</w:t>
            </w:r>
            <w:r w:rsidRPr="00A732EB">
              <w:tab/>
            </w:r>
            <w:r w:rsidRPr="00A732EB">
              <w:rPr>
                <w:b/>
                <w:i/>
              </w:rPr>
              <w:t>Enligt den nuvarande MREL-ramen</w:t>
            </w:r>
            <w:r w:rsidRPr="00A732EB">
              <w:t xml:space="preserve"> är MREL-kravet </w:t>
            </w:r>
            <w:r w:rsidRPr="00A732EB">
              <w:rPr>
                <w:b/>
                <w:i/>
              </w:rPr>
              <w:t xml:space="preserve">för enheter som är öronmärkta för avveckling i de flesta fall fastställt </w:t>
            </w:r>
            <w:r w:rsidRPr="00A732EB">
              <w:t>till det belopp som krävs för förlustabsorbering, vilket motsvarar kap</w:t>
            </w:r>
            <w:r w:rsidRPr="00A732EB">
              <w:t>italbaskraven. I sådana fall medför MREL-kravet inte för avvecklingsenheten något ytterligare krav som är direkt kopplat till resolutionsramen. Detta innebär att en avvecklingsenhet fullt ut kan uppfylla MREL-kravet genom att uppfylla kapitalbaskraven, och</w:t>
            </w:r>
            <w:r w:rsidRPr="00A732EB">
              <w:t xml:space="preserve"> att ett särskilt beslut av resolutionsmyndigheten om fastställande av MREL-krav inte på ett meningsfullt sätt bidrar till möjligheten till resolution av avvecklingsenheter. Ett sådant beslut medför många förfarandemässiga skyldigheter för resolutionsmyndi</w:t>
            </w:r>
            <w:r w:rsidRPr="00A732EB">
              <w:t>gheterna och för avvecklingsenheterna utan motsvarande fördel i form av förbättrad möjlighet till resolution. Därför bör resolutionsmyndigheterna inte fastställa MREL-krav för avvecklingsenheter.</w:t>
            </w:r>
          </w:p>
        </w:tc>
      </w:tr>
    </w:tbl>
    <w:p w:rsidR="00932D06" w:rsidRPr="00A732EB" w:rsidRDefault="00F22AF7" w:rsidP="00F22AF7">
      <w:pPr>
        <w:pStyle w:val="Olang"/>
        <w:rPr>
          <w:sz w:val="24"/>
          <w:szCs w:val="24"/>
        </w:rPr>
      </w:pPr>
      <w:r w:rsidRPr="00A732EB">
        <w:rPr>
          <w:sz w:val="24"/>
          <w:szCs w:val="24"/>
        </w:rPr>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6</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Skäl 8</w:t>
      </w:r>
      <w:r w:rsidRPr="00A732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(8)</w:t>
            </w:r>
            <w:r w:rsidRPr="00A732EB">
              <w:tab/>
            </w:r>
            <w:r w:rsidRPr="00A732EB">
              <w:rPr>
                <w:b/>
                <w:i/>
              </w:rPr>
              <w:t>Om resolutionsmyndigheten anser att en enhet som ingår i</w:t>
            </w:r>
            <w:r w:rsidRPr="00A732EB">
              <w:t xml:space="preserve"> en </w:t>
            </w:r>
            <w:r w:rsidRPr="00A732EB">
              <w:rPr>
                <w:b/>
                <w:i/>
              </w:rPr>
              <w:t>resolutionsgrupp</w:t>
            </w:r>
            <w:r w:rsidRPr="00A732EB">
              <w:t xml:space="preserve"> kan betraktas som en avvecklingsenhet </w:t>
            </w:r>
            <w:r w:rsidRPr="00A732EB">
              <w:rPr>
                <w:b/>
                <w:i/>
              </w:rPr>
              <w:t>bör förmedlande enheter</w:t>
            </w:r>
            <w:r w:rsidRPr="00A732EB">
              <w:t xml:space="preserve"> inte </w:t>
            </w:r>
            <w:r w:rsidRPr="00A732EB">
              <w:rPr>
                <w:b/>
                <w:i/>
              </w:rPr>
              <w:t>vara skyldiga att från sin interna MREL-kapacitet dra av sina innehav av</w:t>
            </w:r>
            <w:r w:rsidRPr="00A732EB">
              <w:t xml:space="preserve"> kapitalbas </w:t>
            </w:r>
            <w:r w:rsidRPr="00A732EB">
              <w:rPr>
                <w:b/>
                <w:i/>
              </w:rPr>
              <w:t>eller andra</w:t>
            </w:r>
            <w:r w:rsidRPr="00A732EB">
              <w:t xml:space="preserve"> skulder </w:t>
            </w:r>
            <w:r w:rsidRPr="00A732EB">
              <w:rPr>
                <w:b/>
                <w:i/>
              </w:rPr>
              <w:t xml:space="preserve">som skulle </w:t>
            </w:r>
            <w:r w:rsidRPr="00A732EB">
              <w:rPr>
                <w:b/>
                <w:i/>
              </w:rPr>
              <w:lastRenderedPageBreak/>
              <w:t>uppfylla villkoren för att uppfylla det interna MREL-kravet och som emitt</w:t>
            </w:r>
            <w:r w:rsidRPr="00A732EB">
              <w:rPr>
                <w:b/>
                <w:i/>
              </w:rPr>
              <w:t>erats av avvecklingsenheter. I ett sådant fall är avvecklingsenheten inte längre skyldig att uppfylla MREL-kravet, och det finns därför ingen indirekt teckning av resurser som är kvalificerade för interna MREL-krav genom den kedja</w:t>
            </w:r>
            <w:r w:rsidRPr="00A732EB">
              <w:t xml:space="preserve"> som </w:t>
            </w:r>
            <w:r w:rsidRPr="00A732EB">
              <w:rPr>
                <w:b/>
                <w:i/>
              </w:rPr>
              <w:t>utgörs av resolutions</w:t>
            </w:r>
            <w:r w:rsidRPr="00A732EB">
              <w:rPr>
                <w:b/>
                <w:i/>
              </w:rPr>
              <w:t>enheten, den förmedlande enheten och avvecklingsenheten</w:t>
            </w:r>
            <w:r w:rsidRPr="00A732EB">
              <w:t xml:space="preserve">. I händelse av fallissemang förutser resolutionsstrategin inte att avvecklingsenheten skulle </w:t>
            </w:r>
            <w:r w:rsidRPr="00A732EB">
              <w:rPr>
                <w:b/>
                <w:i/>
              </w:rPr>
              <w:t>stödjas</w:t>
            </w:r>
            <w:r w:rsidRPr="00A732EB">
              <w:t xml:space="preserve"> av resolutionsenheten. Detta innebär att överföring uppåt av förluster från avvecklingsenheten till</w:t>
            </w:r>
            <w:r w:rsidRPr="00A732EB">
              <w:t xml:space="preserve"> resolutionsenheten, via den förmedlande enheten, inte skulle förväntas och inte heller överföring nedåt av kapital i motsatt riktning. Denna justering av vilka innehav som ska dras av i samband med indirekt teckning av resurser som är kvalificerade för in</w:t>
            </w:r>
            <w:r w:rsidRPr="00A732EB">
              <w:t>terna MREL-krav skulle således inte göra ramen mindre sund i försiktighetshänseende.</w:t>
            </w:r>
          </w:p>
        </w:tc>
        <w:tc>
          <w:tcPr>
            <w:tcW w:w="4876" w:type="dxa"/>
            <w:hideMark/>
          </w:tcPr>
          <w:p w:rsidR="00932D06" w:rsidRPr="00A732EB" w:rsidRDefault="00F22AF7" w:rsidP="00F22AF7">
            <w:pPr>
              <w:pStyle w:val="Normal6"/>
              <w:widowControl/>
              <w:rPr>
                <w:szCs w:val="24"/>
              </w:rPr>
            </w:pPr>
            <w:r w:rsidRPr="00A732EB">
              <w:lastRenderedPageBreak/>
              <w:t>(8)</w:t>
            </w:r>
            <w:r w:rsidRPr="00A732EB">
              <w:tab/>
            </w:r>
            <w:r w:rsidRPr="00A732EB">
              <w:rPr>
                <w:b/>
                <w:i/>
              </w:rPr>
              <w:t>När resolutionsmyndigheterna utarbetar resolutionsplaner och bedömer resolutionsgruppers möjlighet till resolution kan de anse att</w:t>
            </w:r>
            <w:r w:rsidRPr="00A732EB">
              <w:t xml:space="preserve"> en </w:t>
            </w:r>
            <w:r w:rsidRPr="00A732EB">
              <w:rPr>
                <w:b/>
                <w:i/>
              </w:rPr>
              <w:t>gruppenhet</w:t>
            </w:r>
            <w:r w:rsidRPr="00A732EB">
              <w:t xml:space="preserve"> kan betraktas som en a</w:t>
            </w:r>
            <w:r w:rsidRPr="00A732EB">
              <w:t xml:space="preserve">vvecklingsenhet </w:t>
            </w:r>
            <w:r w:rsidRPr="00A732EB">
              <w:rPr>
                <w:b/>
                <w:i/>
              </w:rPr>
              <w:t>eftersom utövandet av nedskrivnings- och konverteringsbefogenheterna</w:t>
            </w:r>
            <w:r w:rsidRPr="00A732EB">
              <w:t xml:space="preserve"> inte </w:t>
            </w:r>
            <w:r w:rsidRPr="00A732EB">
              <w:rPr>
                <w:b/>
                <w:i/>
              </w:rPr>
              <w:lastRenderedPageBreak/>
              <w:t>förutsetts för den enheten. När så är fallet är det möjligt att gruppenheten inte behöver inneha kapitalbas och kvalificerade skulder utöver sina kapitalbaskrav. Unde</w:t>
            </w:r>
            <w:r w:rsidRPr="00A732EB">
              <w:rPr>
                <w:b/>
                <w:i/>
              </w:rPr>
              <w:t xml:space="preserve">r dessa omständigheter bör förmedlande enheter vara skyldiga att från sin interna MREL-kapacitet dra av sina innehav av kapitalbas som emitterats av avvecklingsenheter som inte omfattas av ett beslut om MREL-krav. De bör dock inte vara skyldiga att dra av </w:t>
            </w:r>
            <w:r w:rsidRPr="00A732EB">
              <w:rPr>
                <w:b/>
                <w:i/>
              </w:rPr>
              <w:t>skulder</w:t>
            </w:r>
            <w:r w:rsidRPr="00A732EB">
              <w:t xml:space="preserve"> som </w:t>
            </w:r>
            <w:r w:rsidRPr="00A732EB">
              <w:rPr>
                <w:b/>
                <w:i/>
              </w:rPr>
              <w:t>skulle uppfylla villkoren för efterlevnad av det interna MREL-kravet</w:t>
            </w:r>
            <w:r w:rsidRPr="00A732EB">
              <w:t xml:space="preserve">. I händelse av fallissemang förutser resolutionsstrategin inte att avvecklingsenheten skulle </w:t>
            </w:r>
            <w:r w:rsidRPr="00A732EB">
              <w:rPr>
                <w:b/>
                <w:i/>
              </w:rPr>
              <w:t>rekapitaliseras</w:t>
            </w:r>
            <w:r w:rsidRPr="00A732EB">
              <w:t xml:space="preserve"> av resolutionsenheten. Detta innebär att överföring uppåt av förlu</w:t>
            </w:r>
            <w:r w:rsidRPr="00A732EB">
              <w:t>ster</w:t>
            </w:r>
            <w:r w:rsidRPr="00A732EB">
              <w:rPr>
                <w:b/>
                <w:i/>
              </w:rPr>
              <w:t xml:space="preserve"> utöver de befintliga kapitalbaskraven</w:t>
            </w:r>
            <w:r w:rsidRPr="00A732EB">
              <w:t xml:space="preserve"> från avvecklingsenheten till resolutionsenheten, via den förmedlande enheten, inte skulle förväntas och inte heller överföring nedåt av kapital i motsatt riktning. Denna justering av vilka innehav som ska dras av </w:t>
            </w:r>
            <w:r w:rsidRPr="00A732EB">
              <w:t>i samband med indirekt teckning av resurser som är kvalificerade för interna MREL-krav skulle således inte göra ramen mindre sund i försiktighetshänseende.</w:t>
            </w:r>
          </w:p>
        </w:tc>
      </w:tr>
    </w:tbl>
    <w:p w:rsidR="00932D06" w:rsidRPr="00A732EB" w:rsidRDefault="00F22AF7" w:rsidP="00F22AF7">
      <w:pPr>
        <w:pStyle w:val="Olang"/>
        <w:rPr>
          <w:sz w:val="24"/>
          <w:szCs w:val="24"/>
        </w:rPr>
      </w:pPr>
      <w:r w:rsidRPr="00A732EB">
        <w:rPr>
          <w:sz w:val="24"/>
          <w:szCs w:val="24"/>
        </w:rPr>
        <w:lastRenderedPageBreak/>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7</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w:t>
      </w:r>
      <w:r w:rsidRPr="00A732EB">
        <w:t xml:space="preserve">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Skäl 9</w:t>
      </w:r>
      <w:r w:rsidRPr="00A732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(9)</w:t>
            </w:r>
            <w:r w:rsidRPr="00A732EB">
              <w:tab/>
              <w:t>Huvudsyftet med det tillståndssystem för minskning av kvalificerade skuldinstrument som fastställs i artiklarna 77.2 och 78a i förordning (EU) nr 575/2013, som</w:t>
            </w:r>
            <w:r w:rsidRPr="00A732EB">
              <w:t xml:space="preserve"> också är tillämpligt på institut och enheter som omfattas av MREL-kravet och på de skulder som emitterats för att uppfylla MREL-kravet, är att göra det möjligt för resolutionsmyndigheterna att övervaka åtgärder som leder till en minskning av </w:t>
            </w:r>
            <w:r w:rsidRPr="00A732EB">
              <w:lastRenderedPageBreak/>
              <w:t>stocken av kv</w:t>
            </w:r>
            <w:r w:rsidRPr="00A732EB">
              <w:t xml:space="preserve">alificerade skulder och att förbjuda alla åtgärder som skulle innebära en minskning utöver den nivå som resolutionsmyndigheterna anser vara lämplig. Om resolutionsmyndigheten inte har antagit ett beslut om fastställande av MREL-krav för ett institut eller </w:t>
            </w:r>
            <w:r w:rsidRPr="00A732EB">
              <w:t xml:space="preserve">en enhet är detta syfte inte relevant. </w:t>
            </w:r>
            <w:r w:rsidRPr="00A732EB">
              <w:rPr>
                <w:b/>
                <w:i/>
              </w:rPr>
              <w:t>Dessutom har institut eller enheter som inte är föremål för ett beslut om fastställande av MREL-krav inte kvalificerade skulder i sin balansräkning.</w:t>
            </w:r>
            <w:r w:rsidRPr="00A732EB">
              <w:t xml:space="preserve"> Institut eller enheter för vilka inga beslut om fastställande av MRE</w:t>
            </w:r>
            <w:r w:rsidRPr="00A732EB">
              <w:t>L-krav har antagits bör därför inte vara skyldiga att inhämta förhandstillstånd från resolutionsmyndigheten för att verkställa köp, inlösen, återbetalning eller återköp av skulder som skulle uppfylla kvalificeringskraven för MREL-kravet.</w:t>
            </w:r>
          </w:p>
        </w:tc>
        <w:tc>
          <w:tcPr>
            <w:tcW w:w="4876" w:type="dxa"/>
            <w:hideMark/>
          </w:tcPr>
          <w:p w:rsidR="00932D06" w:rsidRPr="00A732EB" w:rsidRDefault="00F22AF7" w:rsidP="00F22AF7">
            <w:pPr>
              <w:pStyle w:val="Normal6"/>
              <w:widowControl/>
              <w:rPr>
                <w:szCs w:val="24"/>
              </w:rPr>
            </w:pPr>
            <w:r w:rsidRPr="00A732EB">
              <w:lastRenderedPageBreak/>
              <w:t>(9)</w:t>
            </w:r>
            <w:r w:rsidRPr="00A732EB">
              <w:tab/>
              <w:t xml:space="preserve">Huvudsyftet </w:t>
            </w:r>
            <w:r w:rsidRPr="00A732EB">
              <w:t>med det tillståndssystem för minskning av kvalificerade skuldinstrument som fastställs i artiklarna 77.2 och 78a i förordning (EU) nr 575/2013, som också är tillämpligt på institut och enheter som omfattas av MREL-kravet och på de skulder som emitterats fö</w:t>
            </w:r>
            <w:r w:rsidRPr="00A732EB">
              <w:t xml:space="preserve">r att uppfylla MREL-kravet, är att göra det möjligt för resolutionsmyndigheterna att övervaka åtgärder som leder till en minskning av </w:t>
            </w:r>
            <w:r w:rsidRPr="00A732EB">
              <w:lastRenderedPageBreak/>
              <w:t>stocken av kvalificerade skulder och att förbjuda alla åtgärder som skulle innebära en minskning utöver den nivå som resol</w:t>
            </w:r>
            <w:r w:rsidRPr="00A732EB">
              <w:t>utionsmyndigheterna anser vara lämplig. Om resolutionsmyndigheten inte har antagit ett beslut om fastställande av MREL-krav för ett institut eller en enhet är detta syfte inte relevant. Institut eller enheter för vilka inga beslut om fastställande av MREL-</w:t>
            </w:r>
            <w:r w:rsidRPr="00A732EB">
              <w:t>krav har antagits bör därför inte vara skyldiga att inhämta förhandstillstånd från resolutionsmyndigheten för att verkställa köp, inlösen, återbetalning eller återköp av skulder som skulle uppfylla kvalificeringskraven för MREL-kravet.</w:t>
            </w:r>
          </w:p>
        </w:tc>
      </w:tr>
    </w:tbl>
    <w:p w:rsidR="00932D06" w:rsidRPr="00A732EB" w:rsidRDefault="00F22AF7" w:rsidP="00F22AF7">
      <w:pPr>
        <w:pStyle w:val="Olang"/>
        <w:rPr>
          <w:sz w:val="24"/>
          <w:szCs w:val="24"/>
        </w:rPr>
      </w:pPr>
      <w:r w:rsidRPr="00A732EB">
        <w:rPr>
          <w:sz w:val="24"/>
          <w:szCs w:val="24"/>
        </w:rPr>
        <w:lastRenderedPageBreak/>
        <w:t xml:space="preserve">Or. </w:t>
      </w:r>
      <w:r w:rsidRPr="00A732EB">
        <w:rPr>
          <w:rStyle w:val="HideTWBExt"/>
        </w:rPr>
        <w:t>&lt;Original&gt;</w:t>
      </w:r>
      <w:r w:rsidRPr="00A732EB">
        <w:rPr>
          <w:rStyle w:val="HideTWBInt"/>
          <w:sz w:val="24"/>
          <w:szCs w:val="24"/>
        </w:rPr>
        <w:t>{EN}</w:t>
      </w:r>
      <w:r w:rsidRPr="00A732EB">
        <w:rPr>
          <w:sz w:val="24"/>
          <w:szCs w:val="24"/>
        </w:rPr>
        <w:t>e</w:t>
      </w:r>
      <w:r w:rsidRPr="00A732EB">
        <w:rPr>
          <w:sz w:val="24"/>
          <w:szCs w:val="24"/>
        </w:rPr>
        <w:t>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8</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Skäl 10</w:t>
      </w:r>
      <w:r w:rsidRPr="00A732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(10)</w:t>
            </w:r>
            <w:r w:rsidRPr="00A732EB">
              <w:tab/>
              <w:t xml:space="preserve">För vissa avvecklingsenheter </w:t>
            </w:r>
            <w:r w:rsidRPr="00A732EB">
              <w:rPr>
                <w:b/>
                <w:i/>
              </w:rPr>
              <w:t>är</w:t>
            </w:r>
            <w:r w:rsidRPr="00A732EB">
              <w:t xml:space="preserve"> MREL högre än beloppet för </w:t>
            </w:r>
            <w:r w:rsidRPr="00A732EB">
              <w:rPr>
                <w:b/>
                <w:i/>
              </w:rPr>
              <w:t xml:space="preserve">kapitalbaskraven, </w:t>
            </w:r>
            <w:r w:rsidRPr="00A732EB">
              <w:rPr>
                <w:b/>
                <w:i/>
              </w:rPr>
              <w:t>och då bör resolutionsmyndigheterna kunna fastställa MREL-krav</w:t>
            </w:r>
            <w:r w:rsidRPr="00A732EB">
              <w:t>.</w:t>
            </w:r>
            <w:r w:rsidRPr="00A732EB">
              <w:rPr>
                <w:b/>
                <w:i/>
              </w:rPr>
              <w:t xml:space="preserve"> MREL-kravet bör fastställas till ett belopp som överstiger beloppet för förlustabsorbering</w:t>
            </w:r>
            <w:r w:rsidRPr="00A732EB">
              <w:t xml:space="preserve"> om resolutionsmyndigheterna anser att ett sådant belopp är nödvändigt för att skydda den finansiella </w:t>
            </w:r>
            <w:r w:rsidRPr="00A732EB">
              <w:t>stabiliteten eller hantera risken för spridning till det finansiella systemet. I dessa situationer bör avvecklingsenheten uppfylla MREL-kravet och inte undantas från det system med förhandstillstånd som fastställs i artiklarna 77.2 och 78a i förordning (EU</w:t>
            </w:r>
            <w:r w:rsidRPr="00A732EB">
              <w:t xml:space="preserve">) nr 575/2013. Alla förmedlande enheter som tillhör samma resolutionsgrupp som den berörda avvecklingsenheten bör vara fortsatt skyldiga att från sin interna MREL-kapacitet dra av sina innehav av resurser </w:t>
            </w:r>
            <w:r w:rsidRPr="00A732EB">
              <w:lastRenderedPageBreak/>
              <w:t>som är kvalificerade för interna MREL-krav som emit</w:t>
            </w:r>
            <w:r w:rsidRPr="00A732EB">
              <w:t>terats av den avvecklingsenheten. Eftersom likvidationsförfaranden äger rum på nivån för den juridiska personen bör dessutom avvecklingsenheter som fortfarande omfattas av MREL-kravet endast uppfylla kravet på individuell nivå. Slutligen är vissa kvalifice</w:t>
            </w:r>
            <w:r w:rsidRPr="00A732EB">
              <w:t xml:space="preserve">ringskrav när det gäller vem som äger den berörda skulden inte relevanta, eftersom </w:t>
            </w:r>
            <w:r w:rsidRPr="00A732EB">
              <w:rPr>
                <w:b/>
                <w:i/>
              </w:rPr>
              <w:t>det inte finns något behov av att säkerställa överföring av förluster och kapital från avvecklingsenheten till en resolutionsenhet</w:t>
            </w:r>
            <w:r w:rsidRPr="00A732EB">
              <w:t>, och bör därför inte gälla.</w:t>
            </w:r>
          </w:p>
        </w:tc>
        <w:tc>
          <w:tcPr>
            <w:tcW w:w="4876" w:type="dxa"/>
            <w:hideMark/>
          </w:tcPr>
          <w:p w:rsidR="00932D06" w:rsidRPr="00A732EB" w:rsidRDefault="00F22AF7" w:rsidP="00F22AF7">
            <w:pPr>
              <w:pStyle w:val="Normal6"/>
              <w:widowControl/>
              <w:rPr>
                <w:szCs w:val="24"/>
              </w:rPr>
            </w:pPr>
            <w:r w:rsidRPr="00A732EB">
              <w:lastRenderedPageBreak/>
              <w:t>(10)</w:t>
            </w:r>
            <w:r w:rsidRPr="00A732EB">
              <w:tab/>
            </w:r>
            <w:r w:rsidRPr="00A732EB">
              <w:t xml:space="preserve">För vissa avvecklingsenheter </w:t>
            </w:r>
            <w:r w:rsidRPr="00A732EB">
              <w:rPr>
                <w:b/>
                <w:i/>
              </w:rPr>
              <w:t>bör</w:t>
            </w:r>
            <w:r w:rsidRPr="00A732EB">
              <w:t xml:space="preserve"> MREL</w:t>
            </w:r>
            <w:r w:rsidRPr="00A732EB">
              <w:rPr>
                <w:b/>
                <w:i/>
              </w:rPr>
              <w:t xml:space="preserve"> vara</w:t>
            </w:r>
            <w:r w:rsidRPr="00A732EB">
              <w:t xml:space="preserve"> högre än beloppet för </w:t>
            </w:r>
            <w:r w:rsidRPr="00A732EB">
              <w:rPr>
                <w:b/>
                <w:i/>
              </w:rPr>
              <w:t>förlustabsorbering</w:t>
            </w:r>
            <w:r w:rsidRPr="00A732EB">
              <w:t>.</w:t>
            </w:r>
            <w:r w:rsidRPr="00A732EB">
              <w:rPr>
                <w:b/>
                <w:i/>
              </w:rPr>
              <w:t xml:space="preserve"> Detta är fallet</w:t>
            </w:r>
            <w:r w:rsidRPr="00A732EB">
              <w:t xml:space="preserve"> om resolutionsmyndigheterna anser att ett sådant</w:t>
            </w:r>
            <w:r w:rsidRPr="00A732EB">
              <w:rPr>
                <w:b/>
                <w:i/>
              </w:rPr>
              <w:t xml:space="preserve"> högre</w:t>
            </w:r>
            <w:r w:rsidRPr="00A732EB">
              <w:t xml:space="preserve"> belopp är nödvändigt för att skydda den finansiella stabiliteten eller hantera risken för spridning </w:t>
            </w:r>
            <w:r w:rsidRPr="00A732EB">
              <w:t xml:space="preserve">till det finansiella systemet. I dessa situationer bör </w:t>
            </w:r>
            <w:r w:rsidRPr="00A732EB">
              <w:rPr>
                <w:b/>
                <w:i/>
              </w:rPr>
              <w:t xml:space="preserve">resolutionsmyndigheterna fastställa ett MREL-krav för </w:t>
            </w:r>
            <w:r w:rsidRPr="00A732EB">
              <w:t>avvecklingsenheten</w:t>
            </w:r>
            <w:r w:rsidRPr="00A732EB">
              <w:rPr>
                <w:b/>
                <w:i/>
              </w:rPr>
              <w:t xml:space="preserve"> bestående av ett belopp som är tillräckligt för att absorbera förluster, ökat med det belopp som krävs för att på ett korrekt sä</w:t>
            </w:r>
            <w:r w:rsidRPr="00A732EB">
              <w:rPr>
                <w:b/>
                <w:i/>
              </w:rPr>
              <w:t>tt hantera de potentiella risker som resolutionsmyndigheterna identifierat.</w:t>
            </w:r>
            <w:r w:rsidRPr="00A732EB">
              <w:t xml:space="preserve"> </w:t>
            </w:r>
            <w:r w:rsidRPr="00A732EB">
              <w:rPr>
                <w:b/>
                <w:i/>
              </w:rPr>
              <w:t>Avvecklingsenheten bör</w:t>
            </w:r>
            <w:r w:rsidRPr="00A732EB">
              <w:t xml:space="preserve"> uppfylla MREL-kravet och inte undantas från det system med förhandstillstånd som fastställs i artiklarna 77.2 och 78a i förordning (EU) nr 575/2013. Alla för</w:t>
            </w:r>
            <w:r w:rsidRPr="00A732EB">
              <w:t xml:space="preserve">medlande enheter som tillhör samma resolutionsgrupp som </w:t>
            </w:r>
            <w:r w:rsidRPr="00A732EB">
              <w:lastRenderedPageBreak/>
              <w:t>den berörda avvecklingsenheten bör vara fortsatt skyldiga att från sin interna MREL-kapacitet dra av sina innehav av resurser som är kvalificerade för interna MREL-krav som emitterats av den avvecklin</w:t>
            </w:r>
            <w:r w:rsidRPr="00A732EB">
              <w:t>gsenheten. Eftersom likvidationsförfaranden äger rum på nivån för den juridiska personen bör dessutom avvecklingsenheter som fortfarande omfattas av MREL-kravet endast uppfylla kravet på individuell nivå. Slutligen är vissa kvalificeringskrav när det gälle</w:t>
            </w:r>
            <w:r w:rsidRPr="00A732EB">
              <w:t xml:space="preserve">r vem som äger den berörda skulden inte relevanta, eftersom </w:t>
            </w:r>
            <w:r w:rsidRPr="00A732EB">
              <w:rPr>
                <w:b/>
                <w:i/>
              </w:rPr>
              <w:t>det utan utövandet av nedskrivnings- och konverteringsbefogenheterna inte skulle finnas något behov för resolutionsenheten att upprätthålla kontrollen av dotterföretaget</w:t>
            </w:r>
            <w:r w:rsidRPr="00A732EB">
              <w:t>, och bör därför inte gälla</w:t>
            </w:r>
            <w:r w:rsidRPr="00A732EB">
              <w:t>.</w:t>
            </w:r>
          </w:p>
        </w:tc>
      </w:tr>
    </w:tbl>
    <w:p w:rsidR="00932D06" w:rsidRPr="00A732EB" w:rsidRDefault="00F22AF7" w:rsidP="00F22AF7">
      <w:pPr>
        <w:pStyle w:val="Olang"/>
        <w:rPr>
          <w:sz w:val="24"/>
          <w:szCs w:val="24"/>
        </w:rPr>
      </w:pPr>
      <w:r w:rsidRPr="00A732EB">
        <w:rPr>
          <w:sz w:val="24"/>
          <w:szCs w:val="24"/>
        </w:rPr>
        <w:lastRenderedPageBreak/>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9</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Skäl 14</w:t>
      </w:r>
      <w:r w:rsidRPr="00A732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(14)</w:t>
            </w:r>
            <w:r w:rsidRPr="00A732EB">
              <w:tab/>
            </w:r>
            <w:r w:rsidRPr="00A732EB">
              <w:t xml:space="preserve">Eftersom målen för detta direktiv, nämligen att anpassa behandlingen av avvecklingsenheter inom MREL-ramen och </w:t>
            </w:r>
            <w:r w:rsidRPr="00A732EB">
              <w:rPr>
                <w:b/>
                <w:i/>
              </w:rPr>
              <w:t>möjligheterna</w:t>
            </w:r>
            <w:r w:rsidRPr="00A732EB">
              <w:t xml:space="preserve"> att </w:t>
            </w:r>
            <w:r w:rsidRPr="00A732EB">
              <w:rPr>
                <w:b/>
                <w:i/>
              </w:rPr>
              <w:t>uppfylla</w:t>
            </w:r>
            <w:r w:rsidRPr="00A732EB">
              <w:t xml:space="preserve"> det interna MREL-kravet på gruppnivå, inte i tillräcklig utsträckning kan uppnås av medlemsstaterna utan snarare, geno</w:t>
            </w:r>
            <w:r w:rsidRPr="00A732EB">
              <w:t>m att ändra regler som redan fastställts på unionsnivå, kan uppnås bättre på unionsnivå, kan unionen vidta åtgärder i enlighet med subsidiaritetsprincipen i artikel 5 i fördraget om Europeiska unionen. I enlighet med proportionalitetsprincipen i samma arti</w:t>
            </w:r>
            <w:r w:rsidRPr="00A732EB">
              <w:t>kel går detta direktiv inte utöver vad som är nödvändigt för att uppnå dessa mål.</w:t>
            </w:r>
          </w:p>
        </w:tc>
        <w:tc>
          <w:tcPr>
            <w:tcW w:w="4876" w:type="dxa"/>
            <w:hideMark/>
          </w:tcPr>
          <w:p w:rsidR="00932D06" w:rsidRPr="00A732EB" w:rsidRDefault="00F22AF7" w:rsidP="00F22AF7">
            <w:pPr>
              <w:pStyle w:val="Normal6"/>
              <w:widowControl/>
              <w:rPr>
                <w:szCs w:val="24"/>
              </w:rPr>
            </w:pPr>
            <w:r w:rsidRPr="00A732EB">
              <w:t>(14)</w:t>
            </w:r>
            <w:r w:rsidRPr="00A732EB">
              <w:tab/>
              <w:t xml:space="preserve">Eftersom målen för detta direktiv, nämligen att anpassa behandlingen av avvecklingsenheter inom MREL-ramen och </w:t>
            </w:r>
            <w:r w:rsidRPr="00A732EB">
              <w:rPr>
                <w:b/>
                <w:i/>
              </w:rPr>
              <w:t>möjligheten för resolutionsmyndigheterna</w:t>
            </w:r>
            <w:r w:rsidRPr="00A732EB">
              <w:t xml:space="preserve"> att </w:t>
            </w:r>
            <w:r w:rsidRPr="00A732EB">
              <w:rPr>
                <w:b/>
                <w:i/>
              </w:rPr>
              <w:t>fastställa</w:t>
            </w:r>
            <w:r w:rsidRPr="00A732EB">
              <w:t xml:space="preserve"> de</w:t>
            </w:r>
            <w:r w:rsidRPr="00A732EB">
              <w:t>t interna MREL-kravet på gruppnivå, inte i tillräcklig utsträckning kan uppnås av medlemsstaterna utan snarare, genom att ändra regler som redan fastställts på unionsnivå, kan uppnås bättre på unionsnivå, kan unionen vidta åtgärder i enlighet med subsidiar</w:t>
            </w:r>
            <w:r w:rsidRPr="00A732EB">
              <w:t>itetsprincipen i artikel 5 i fördraget om Europeiska unionen. I enlighet med proportionalitetsprincipen i samma artikel går detta direktiv inte utöver vad som är nödvändigt för att uppnå dessa mål.</w:t>
            </w:r>
          </w:p>
        </w:tc>
      </w:tr>
    </w:tbl>
    <w:p w:rsidR="00932D06" w:rsidRPr="00A732EB" w:rsidRDefault="00F22AF7" w:rsidP="00F22AF7">
      <w:pPr>
        <w:pStyle w:val="Olang"/>
        <w:rPr>
          <w:sz w:val="24"/>
          <w:szCs w:val="24"/>
        </w:rPr>
      </w:pPr>
      <w:r w:rsidRPr="00A732EB">
        <w:rPr>
          <w:sz w:val="24"/>
          <w:szCs w:val="24"/>
        </w:rPr>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lastRenderedPageBreak/>
        <w:t>&lt;Amend&gt;</w:t>
      </w:r>
      <w:r w:rsidRPr="00A732EB">
        <w:t>Ändringsförslag</w:t>
      </w:r>
      <w:r w:rsidRPr="00A732EB">
        <w:tab/>
      </w:r>
      <w:r w:rsidRPr="00A732EB">
        <w:tab/>
      </w:r>
      <w:r w:rsidRPr="00A732EB">
        <w:rPr>
          <w:rStyle w:val="HideTWBExt"/>
          <w:b w:val="0"/>
        </w:rPr>
        <w:t>&lt;NumAm&gt;</w:t>
      </w:r>
      <w:r w:rsidRPr="00A732EB">
        <w:t>10</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Artikel 1 – led 1</w:t>
      </w:r>
      <w:r w:rsidRPr="00A732EB">
        <w:rPr>
          <w:rStyle w:val="HideTWBExt"/>
          <w:b w:val="0"/>
        </w:rPr>
        <w:t>&lt;/Article&gt;</w:t>
      </w:r>
    </w:p>
    <w:p w:rsidR="00932D06" w:rsidRPr="00A732EB" w:rsidRDefault="00F22AF7" w:rsidP="00F22AF7">
      <w:pPr>
        <w:keepNext/>
        <w:widowControl/>
      </w:pPr>
      <w:r w:rsidRPr="00A732EB">
        <w:rPr>
          <w:rStyle w:val="HideTWBExt"/>
        </w:rPr>
        <w:t>&lt;DocAmend2&gt;</w:t>
      </w:r>
      <w:r w:rsidRPr="00A732EB">
        <w:t>Direktiv 2014/59/EU</w:t>
      </w:r>
      <w:r w:rsidRPr="00A732EB">
        <w:rPr>
          <w:rStyle w:val="HideTWBExt"/>
        </w:rPr>
        <w:t>&lt;/DocAmend2&gt;</w:t>
      </w:r>
    </w:p>
    <w:p w:rsidR="00932D06" w:rsidRPr="00A732EB" w:rsidRDefault="00F22AF7" w:rsidP="00F22AF7">
      <w:pPr>
        <w:widowControl/>
      </w:pPr>
      <w:r w:rsidRPr="00A732EB">
        <w:rPr>
          <w:rStyle w:val="HideTWBExt"/>
        </w:rPr>
        <w:t>&lt;Article2&gt;</w:t>
      </w:r>
      <w:r w:rsidRPr="00A732EB">
        <w:t>Artikel 2 – punkt 1 – led 83aa</w:t>
      </w:r>
      <w:r w:rsidRPr="00A732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83aa)</w:t>
            </w:r>
            <w:r w:rsidRPr="00A732EB">
              <w:tab/>
              <w:t xml:space="preserve">avvecklingsenhet: en i unionen etablerad juridisk person för vilken koncernresolutionsplanen eller, för enheter som inte ingår i en koncern, resolutionsplanen, föreskriver att enheten ska avvecklas </w:t>
            </w:r>
            <w:r w:rsidRPr="00A732EB">
              <w:rPr>
                <w:b/>
                <w:i/>
              </w:rPr>
              <w:t>under ordnade former i enlighet</w:t>
            </w:r>
            <w:r w:rsidRPr="00A732EB">
              <w:t xml:space="preserve"> med </w:t>
            </w:r>
            <w:r w:rsidRPr="00A732EB">
              <w:rPr>
                <w:b/>
                <w:i/>
              </w:rPr>
              <w:t xml:space="preserve">tillämplig nationell </w:t>
            </w:r>
            <w:r w:rsidRPr="00A732EB">
              <w:rPr>
                <w:b/>
                <w:i/>
              </w:rPr>
              <w:t>rätt</w:t>
            </w:r>
            <w:r w:rsidRPr="00A732EB">
              <w:t>.</w:t>
            </w:r>
            <w:r w:rsidRPr="00A732EB">
              <w:rPr>
                <w:b/>
                <w:i/>
              </w:rPr>
              <w:t>”</w:t>
            </w:r>
          </w:p>
        </w:tc>
        <w:tc>
          <w:tcPr>
            <w:tcW w:w="4876" w:type="dxa"/>
            <w:hideMark/>
          </w:tcPr>
          <w:p w:rsidR="00932D06" w:rsidRPr="00A732EB" w:rsidRDefault="00F22AF7" w:rsidP="00F22AF7">
            <w:pPr>
              <w:pStyle w:val="Normal6"/>
              <w:widowControl/>
              <w:rPr>
                <w:szCs w:val="24"/>
              </w:rPr>
            </w:pPr>
            <w:r w:rsidRPr="00A732EB">
              <w:t>83aa)</w:t>
            </w:r>
            <w:r w:rsidRPr="00A732EB">
              <w:tab/>
              <w:t xml:space="preserve">avvecklingsenhet: en i unionen etablerad juridisk person för vilken koncernresolutionsplanen eller, för enheter som inte ingår i en koncern, resolutionsplanen, föreskriver att enheten ska avvecklas </w:t>
            </w:r>
            <w:r w:rsidRPr="00A732EB">
              <w:rPr>
                <w:b/>
                <w:i/>
              </w:rPr>
              <w:t>enligt normala insolvensförfaranden eller int</w:t>
            </w:r>
            <w:r w:rsidRPr="00A732EB">
              <w:rPr>
                <w:b/>
                <w:i/>
              </w:rPr>
              <w:t>e förutser utövandet av nedskrivnings- och konverteringsbefogenheterna</w:t>
            </w:r>
            <w:r w:rsidRPr="00A732EB">
              <w:t xml:space="preserve"> med </w:t>
            </w:r>
            <w:r w:rsidRPr="00A732EB">
              <w:rPr>
                <w:b/>
                <w:i/>
              </w:rPr>
              <w:t>avseende på den enheten</w:t>
            </w:r>
            <w:r w:rsidRPr="00A732EB">
              <w:t>.</w:t>
            </w:r>
          </w:p>
        </w:tc>
      </w:tr>
    </w:tbl>
    <w:p w:rsidR="00932D06" w:rsidRPr="00A732EB" w:rsidRDefault="00F22AF7" w:rsidP="00F22AF7">
      <w:pPr>
        <w:pStyle w:val="Olang"/>
        <w:rPr>
          <w:sz w:val="24"/>
          <w:szCs w:val="24"/>
        </w:rPr>
      </w:pPr>
      <w:r w:rsidRPr="00A732EB">
        <w:rPr>
          <w:sz w:val="24"/>
          <w:szCs w:val="24"/>
        </w:rPr>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11</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 xml:space="preserve">Artikel 1 – led 2 – </w:t>
      </w:r>
      <w:r w:rsidRPr="00A732EB">
        <w:t>led b</w:t>
      </w:r>
      <w:r w:rsidRPr="00A732EB">
        <w:rPr>
          <w:rStyle w:val="HideTWBExt"/>
          <w:b w:val="0"/>
        </w:rPr>
        <w:t>&lt;/Article&gt;</w:t>
      </w:r>
    </w:p>
    <w:p w:rsidR="00932D06" w:rsidRPr="00A732EB" w:rsidRDefault="00F22AF7" w:rsidP="00F22AF7">
      <w:pPr>
        <w:keepNext/>
        <w:widowControl/>
      </w:pPr>
      <w:r w:rsidRPr="00A732EB">
        <w:rPr>
          <w:rStyle w:val="HideTWBExt"/>
        </w:rPr>
        <w:t>&lt;DocAmend2&gt;</w:t>
      </w:r>
      <w:r w:rsidRPr="00A732EB">
        <w:t>Direktiv 2014/59/EU</w:t>
      </w:r>
      <w:r w:rsidRPr="00A732EB">
        <w:rPr>
          <w:rStyle w:val="HideTWBExt"/>
        </w:rPr>
        <w:t>&lt;/DocAmend2&gt;</w:t>
      </w:r>
    </w:p>
    <w:p w:rsidR="00932D06" w:rsidRPr="00A732EB" w:rsidRDefault="00F22AF7" w:rsidP="00F22AF7">
      <w:pPr>
        <w:widowControl/>
      </w:pPr>
      <w:r w:rsidRPr="00A732EB">
        <w:rPr>
          <w:rStyle w:val="HideTWBExt"/>
        </w:rPr>
        <w:t>&lt;Article2&gt;</w:t>
      </w:r>
      <w:r w:rsidRPr="00A732EB">
        <w:t>Artikel 45c – punkt 2a – stycke 2</w:t>
      </w:r>
      <w:r w:rsidRPr="00A732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Genom undantag från första stycket</w:t>
            </w:r>
            <w:r w:rsidRPr="00A732EB">
              <w:rPr>
                <w:b/>
                <w:i/>
              </w:rPr>
              <w:t>, och</w:t>
            </w:r>
            <w:r w:rsidRPr="00A732EB">
              <w:t xml:space="preserve"> om det är </w:t>
            </w:r>
            <w:r w:rsidRPr="00A732EB">
              <w:rPr>
                <w:b/>
                <w:i/>
              </w:rPr>
              <w:t>nödvändigt för</w:t>
            </w:r>
            <w:r w:rsidRPr="00A732EB">
              <w:t xml:space="preserve"> att </w:t>
            </w:r>
            <w:r w:rsidRPr="00A732EB">
              <w:rPr>
                <w:b/>
                <w:i/>
              </w:rPr>
              <w:t xml:space="preserve">uppnå målen att skydda den finansiella stabiliteten eller begränsa potentiell spridning till det finansiella systemet, får resolutionsmyndigheterna undantagsvis </w:t>
            </w:r>
            <w:r w:rsidRPr="00A732EB">
              <w:t>fastställa det krav som avses i artikel 45.1 för avvecklingsenheter på individuell basis till e</w:t>
            </w:r>
            <w:r w:rsidRPr="00A732EB">
              <w:t>tt belopp som är tillräckligt för att absorbera förluster i enlighet med punkt 2 a i den här artikeln</w:t>
            </w:r>
            <w:r w:rsidRPr="00A732EB">
              <w:rPr>
                <w:b/>
                <w:i/>
              </w:rPr>
              <w:t>, ökat till ett belopp som är nödvändigt</w:t>
            </w:r>
            <w:r w:rsidRPr="00A732EB">
              <w:t xml:space="preserve"> för </w:t>
            </w:r>
            <w:r w:rsidRPr="00A732EB">
              <w:rPr>
                <w:b/>
                <w:i/>
              </w:rPr>
              <w:t>att uppnå dessa mål</w:t>
            </w:r>
            <w:r w:rsidRPr="00A732EB">
              <w:t>. I sådana fall ska avvecklingsenheterna uppfylla det krav som avses i artikel 45.1 genom a</w:t>
            </w:r>
            <w:r w:rsidRPr="00A732EB">
              <w:t>tt använda något eller flera av följande:</w:t>
            </w:r>
          </w:p>
        </w:tc>
        <w:tc>
          <w:tcPr>
            <w:tcW w:w="4876" w:type="dxa"/>
            <w:hideMark/>
          </w:tcPr>
          <w:p w:rsidR="00932D06" w:rsidRPr="00A732EB" w:rsidRDefault="00F22AF7" w:rsidP="00F22AF7">
            <w:pPr>
              <w:pStyle w:val="Normal6"/>
              <w:widowControl/>
              <w:rPr>
                <w:szCs w:val="24"/>
              </w:rPr>
            </w:pPr>
            <w:r w:rsidRPr="00A732EB">
              <w:t>Genom undantag från första stycket</w:t>
            </w:r>
            <w:r w:rsidRPr="00A732EB">
              <w:rPr>
                <w:b/>
                <w:i/>
              </w:rPr>
              <w:t xml:space="preserve"> ska resolutionsmyndigheten bedöma</w:t>
            </w:r>
            <w:r w:rsidRPr="00A732EB">
              <w:t xml:space="preserve"> om det är </w:t>
            </w:r>
            <w:r w:rsidRPr="00A732EB">
              <w:rPr>
                <w:b/>
                <w:i/>
              </w:rPr>
              <w:t>motiverat</w:t>
            </w:r>
            <w:r w:rsidRPr="00A732EB">
              <w:t xml:space="preserve"> att fastställa det krav som avses i artikel 45.1 för avvecklingsenheter på individuell basis till ett belopp som </w:t>
            </w:r>
            <w:r w:rsidRPr="00A732EB">
              <w:rPr>
                <w:b/>
                <w:i/>
              </w:rPr>
              <w:t>överstiger d</w:t>
            </w:r>
            <w:r w:rsidRPr="00A732EB">
              <w:rPr>
                <w:b/>
                <w:i/>
              </w:rPr>
              <w:t xml:space="preserve">et belopp som </w:t>
            </w:r>
            <w:r w:rsidRPr="00A732EB">
              <w:t>är tillräckligt för att absorbera förluster i enlighet med punkt 2 a i den här artikeln</w:t>
            </w:r>
            <w:r w:rsidRPr="00A732EB">
              <w:rPr>
                <w:b/>
                <w:i/>
              </w:rPr>
              <w:t>. Resolutionsmyndighetens bedömning ska beakta de möjliga konsekvenserna av den berörda avvecklingsenhetens fallissemang och ska särskilt beakta all eventu</w:t>
            </w:r>
            <w:r w:rsidRPr="00A732EB">
              <w:rPr>
                <w:b/>
                <w:i/>
              </w:rPr>
              <w:t>ell inverkan på den finansiella stabiliteten och på risken</w:t>
            </w:r>
            <w:r w:rsidRPr="00A732EB">
              <w:t xml:space="preserve"> för </w:t>
            </w:r>
            <w:r w:rsidRPr="00A732EB">
              <w:rPr>
                <w:b/>
                <w:i/>
              </w:rPr>
              <w:t>spridning till det finansiella systemet</w:t>
            </w:r>
            <w:r w:rsidRPr="00A732EB">
              <w:t>. I sådana fall ska avvecklingsenheterna uppfylla det krav som avses i artikel 45.1 genom att använda något eller flera av följande:</w:t>
            </w:r>
          </w:p>
        </w:tc>
      </w:tr>
    </w:tbl>
    <w:p w:rsidR="00932D06" w:rsidRPr="00A732EB" w:rsidRDefault="00F22AF7" w:rsidP="00F22AF7">
      <w:pPr>
        <w:pStyle w:val="Olang"/>
        <w:rPr>
          <w:sz w:val="24"/>
          <w:szCs w:val="24"/>
        </w:rPr>
      </w:pPr>
      <w:r w:rsidRPr="00A732EB">
        <w:rPr>
          <w:sz w:val="24"/>
          <w:szCs w:val="24"/>
        </w:rPr>
        <w:lastRenderedPageBreak/>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12</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Artikel 1 – led 2 – led b</w:t>
      </w:r>
      <w:r w:rsidRPr="00A732EB">
        <w:rPr>
          <w:rStyle w:val="HideTWBExt"/>
          <w:b w:val="0"/>
        </w:rPr>
        <w:t>&lt;/Article&gt;</w:t>
      </w:r>
    </w:p>
    <w:p w:rsidR="00932D06" w:rsidRPr="00A732EB" w:rsidRDefault="00F22AF7" w:rsidP="00F22AF7">
      <w:pPr>
        <w:keepNext/>
        <w:widowControl/>
      </w:pPr>
      <w:r w:rsidRPr="00A732EB">
        <w:rPr>
          <w:rStyle w:val="HideTWBExt"/>
        </w:rPr>
        <w:t>&lt;DocAmend2&gt;</w:t>
      </w:r>
      <w:r w:rsidRPr="00A732EB">
        <w:t>Direktiv 2014/59/EU</w:t>
      </w:r>
      <w:r w:rsidRPr="00A732EB">
        <w:rPr>
          <w:rStyle w:val="HideTWBExt"/>
        </w:rPr>
        <w:t>&lt;/DocAmend2&gt;</w:t>
      </w:r>
    </w:p>
    <w:p w:rsidR="00932D06" w:rsidRPr="00A732EB" w:rsidRDefault="00F22AF7" w:rsidP="00F22AF7">
      <w:pPr>
        <w:widowControl/>
      </w:pPr>
      <w:r w:rsidRPr="00A732EB">
        <w:rPr>
          <w:rStyle w:val="HideTWBExt"/>
        </w:rPr>
        <w:t>&lt;Article2&gt;</w:t>
      </w:r>
      <w:r w:rsidRPr="00A732EB">
        <w:t>Artikel 45c – punkt 2a – stycke 4</w:t>
      </w:r>
      <w:r w:rsidRPr="00A732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 xml:space="preserve">Innehav av </w:t>
            </w:r>
            <w:r w:rsidRPr="00A732EB">
              <w:rPr>
                <w:b/>
                <w:i/>
              </w:rPr>
              <w:t>kapitalbasinstrument eller skulder</w:t>
            </w:r>
            <w:r w:rsidRPr="00A732EB">
              <w:t xml:space="preserve"> som emitterats av dotterföretag som är avvecklingsenheter för vilka resolutionsmyndigheten inte har fastställt det krav som avses i artikel 45.1 ska inte dras av i enlighe</w:t>
            </w:r>
            <w:r w:rsidRPr="00A732EB">
              <w:t>t med artikel 72e.5 i förordning (EU) nr 575/2013.</w:t>
            </w:r>
          </w:p>
        </w:tc>
        <w:tc>
          <w:tcPr>
            <w:tcW w:w="4876" w:type="dxa"/>
            <w:hideMark/>
          </w:tcPr>
          <w:p w:rsidR="00932D06" w:rsidRPr="00A732EB" w:rsidRDefault="00F22AF7" w:rsidP="00F22AF7">
            <w:pPr>
              <w:pStyle w:val="Normal6"/>
              <w:widowControl/>
              <w:rPr>
                <w:szCs w:val="24"/>
              </w:rPr>
            </w:pPr>
            <w:r w:rsidRPr="00A732EB">
              <w:t xml:space="preserve">Innehav av </w:t>
            </w:r>
            <w:r w:rsidRPr="00A732EB">
              <w:rPr>
                <w:b/>
                <w:i/>
              </w:rPr>
              <w:t>skulder som inte räknas som kapitalbasinstrument</w:t>
            </w:r>
            <w:r w:rsidRPr="00A732EB">
              <w:t xml:space="preserve"> som emitterats av dotterföretag som är avvecklingsenheter för vilka resolutionsmyndigheten inte har fastställt det krav som avses i artikel 45.1 </w:t>
            </w:r>
            <w:r w:rsidRPr="00A732EB">
              <w:t>ska inte dras av i enlighet med artikel 72e.5 i förordning (EU) nr 575/2013.</w:t>
            </w:r>
          </w:p>
        </w:tc>
      </w:tr>
    </w:tbl>
    <w:p w:rsidR="00932D06" w:rsidRPr="00A732EB" w:rsidRDefault="00F22AF7" w:rsidP="00F22AF7">
      <w:pPr>
        <w:pStyle w:val="Olang"/>
        <w:rPr>
          <w:sz w:val="24"/>
          <w:szCs w:val="24"/>
        </w:rPr>
      </w:pPr>
      <w:r w:rsidRPr="00A732EB">
        <w:rPr>
          <w:sz w:val="24"/>
          <w:szCs w:val="24"/>
        </w:rPr>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13</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Artikel 1 – led 3 – led a</w:t>
      </w:r>
      <w:r w:rsidRPr="00A732EB">
        <w:rPr>
          <w:rStyle w:val="HideTWBExt"/>
          <w:b w:val="0"/>
        </w:rPr>
        <w:t>&lt;/Article&gt;</w:t>
      </w:r>
    </w:p>
    <w:p w:rsidR="00932D06" w:rsidRPr="00A732EB" w:rsidRDefault="00F22AF7" w:rsidP="00F22AF7">
      <w:pPr>
        <w:keepNext/>
        <w:widowControl/>
      </w:pPr>
      <w:r w:rsidRPr="00A732EB">
        <w:rPr>
          <w:rStyle w:val="HideTWBExt"/>
        </w:rPr>
        <w:t>&lt;DocAmend2&gt;</w:t>
      </w:r>
      <w:r w:rsidRPr="00A732EB">
        <w:t>Direktiv 2014/59/EU</w:t>
      </w:r>
      <w:r w:rsidRPr="00A732EB">
        <w:rPr>
          <w:rStyle w:val="HideTWBExt"/>
        </w:rPr>
        <w:t>&lt;/DocAmend2&gt;</w:t>
      </w:r>
    </w:p>
    <w:p w:rsidR="00932D06" w:rsidRPr="00A732EB" w:rsidRDefault="00F22AF7" w:rsidP="00F22AF7">
      <w:pPr>
        <w:widowControl/>
      </w:pPr>
      <w:r w:rsidRPr="00A732EB">
        <w:rPr>
          <w:rStyle w:val="HideTWBExt"/>
        </w:rPr>
        <w:t>&lt;Article2&gt;</w:t>
      </w:r>
      <w:r w:rsidRPr="00A732EB">
        <w:t>Artikel 45f – punkt 1 – stycke 3a – led a – led ii</w:t>
      </w:r>
      <w:r w:rsidRPr="00A732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ii)</w:t>
            </w:r>
            <w:r w:rsidRPr="00A732EB">
              <w:tab/>
              <w:t xml:space="preserve">Dotterföretaget omfattas av det krav som avses i artikel 104a i direktiv 2013/36/EU </w:t>
            </w:r>
            <w:r w:rsidRPr="00A732EB">
              <w:rPr>
                <w:b/>
                <w:i/>
              </w:rPr>
              <w:t xml:space="preserve">eller det </w:t>
            </w:r>
            <w:r w:rsidRPr="00A732EB">
              <w:rPr>
                <w:b/>
                <w:i/>
              </w:rPr>
              <w:t>kombinerade buffertkravet</w:t>
            </w:r>
            <w:r w:rsidRPr="00A732EB">
              <w:t xml:space="preserve"> på konsoliderad basis.</w:t>
            </w:r>
          </w:p>
        </w:tc>
        <w:tc>
          <w:tcPr>
            <w:tcW w:w="4876" w:type="dxa"/>
            <w:hideMark/>
          </w:tcPr>
          <w:p w:rsidR="00932D06" w:rsidRPr="00A732EB" w:rsidRDefault="00F22AF7" w:rsidP="00F22AF7">
            <w:pPr>
              <w:pStyle w:val="Normal6"/>
              <w:widowControl/>
              <w:rPr>
                <w:szCs w:val="24"/>
              </w:rPr>
            </w:pPr>
            <w:r w:rsidRPr="00A732EB">
              <w:t>ii)</w:t>
            </w:r>
            <w:r w:rsidRPr="00A732EB">
              <w:tab/>
              <w:t xml:space="preserve">Dotterföretaget omfattas av det krav som avses i artikel 104a i direktiv 2013/36/EU </w:t>
            </w:r>
            <w:r w:rsidRPr="00A732EB">
              <w:rPr>
                <w:b/>
                <w:i/>
              </w:rPr>
              <w:t>enbart</w:t>
            </w:r>
            <w:r w:rsidRPr="00A732EB">
              <w:t xml:space="preserve"> på konsoliderad basis.</w:t>
            </w:r>
          </w:p>
        </w:tc>
      </w:tr>
    </w:tbl>
    <w:p w:rsidR="00932D06" w:rsidRPr="00A732EB" w:rsidRDefault="00F22AF7" w:rsidP="00F22AF7">
      <w:pPr>
        <w:pStyle w:val="Olang"/>
        <w:rPr>
          <w:sz w:val="24"/>
          <w:szCs w:val="24"/>
        </w:rPr>
      </w:pPr>
      <w:r w:rsidRPr="00A732EB">
        <w:rPr>
          <w:sz w:val="24"/>
          <w:szCs w:val="24"/>
        </w:rPr>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14</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w:t>
      </w:r>
      <w:r w:rsidRPr="00A732EB">
        <w:rPr>
          <w:rStyle w:val="HideTWBExt"/>
          <w:b w:val="0"/>
        </w:rPr>
        <w:t>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Artikel 1 – led 3 – led a</w:t>
      </w:r>
      <w:r w:rsidRPr="00A732EB">
        <w:rPr>
          <w:rStyle w:val="HideTWBExt"/>
          <w:b w:val="0"/>
        </w:rPr>
        <w:t>&lt;/Article&gt;</w:t>
      </w:r>
    </w:p>
    <w:p w:rsidR="00932D06" w:rsidRPr="00A732EB" w:rsidRDefault="00F22AF7" w:rsidP="00F22AF7">
      <w:pPr>
        <w:keepNext/>
        <w:widowControl/>
      </w:pPr>
      <w:r w:rsidRPr="00A732EB">
        <w:rPr>
          <w:rStyle w:val="HideTWBExt"/>
        </w:rPr>
        <w:t>&lt;DocAmend2&gt;</w:t>
      </w:r>
      <w:r w:rsidRPr="00A732EB">
        <w:t>Direktiv 2014/59/EU</w:t>
      </w:r>
      <w:r w:rsidRPr="00A732EB">
        <w:rPr>
          <w:rStyle w:val="HideTWBExt"/>
        </w:rPr>
        <w:t>&lt;/DocAmend2&gt;</w:t>
      </w:r>
    </w:p>
    <w:p w:rsidR="00932D06" w:rsidRPr="00A732EB" w:rsidRDefault="00F22AF7" w:rsidP="00F22AF7">
      <w:pPr>
        <w:widowControl/>
      </w:pPr>
      <w:r w:rsidRPr="00A732EB">
        <w:rPr>
          <w:rStyle w:val="HideTWBExt"/>
        </w:rPr>
        <w:t>&lt;Article2&gt;</w:t>
      </w:r>
      <w:r w:rsidRPr="00A732EB">
        <w:t>Artikel 45f – punkt 1 – stycke 3b – led b</w:t>
      </w:r>
      <w:r w:rsidRPr="00A732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(b)</w:t>
            </w:r>
            <w:r w:rsidRPr="00A732EB">
              <w:tab/>
            </w:r>
            <w:r w:rsidRPr="00A732EB">
              <w:t xml:space="preserve">Efterlevnad av kravet i artikel 45c på konsoliderad basis har inte någon </w:t>
            </w:r>
            <w:r w:rsidRPr="00A732EB">
              <w:rPr>
                <w:b/>
                <w:i/>
              </w:rPr>
              <w:t xml:space="preserve">betydande </w:t>
            </w:r>
            <w:r w:rsidRPr="00A732EB">
              <w:t xml:space="preserve">negativ påverkan på </w:t>
            </w:r>
            <w:r w:rsidRPr="00A732EB">
              <w:lastRenderedPageBreak/>
              <w:t>resolutionsgruppens möjlighet till resolution, eller nedskrivningen eller konverteringen i enlighet med artikel 59 av tillämpliga kapitalinstrument och k</w:t>
            </w:r>
            <w:r w:rsidRPr="00A732EB">
              <w:t>valificerade skulder i det berörda dotterföretaget eller andra enheter i resolutionsgruppen.”</w:t>
            </w:r>
          </w:p>
        </w:tc>
        <w:tc>
          <w:tcPr>
            <w:tcW w:w="4876" w:type="dxa"/>
            <w:hideMark/>
          </w:tcPr>
          <w:p w:rsidR="00932D06" w:rsidRPr="00A732EB" w:rsidRDefault="00F22AF7" w:rsidP="00F22AF7">
            <w:pPr>
              <w:pStyle w:val="Normal6"/>
              <w:widowControl/>
              <w:rPr>
                <w:szCs w:val="24"/>
              </w:rPr>
            </w:pPr>
            <w:r w:rsidRPr="00A732EB">
              <w:lastRenderedPageBreak/>
              <w:t>(b)</w:t>
            </w:r>
            <w:r w:rsidRPr="00A732EB">
              <w:tab/>
              <w:t xml:space="preserve">Efterlevnad av kravet i artikel 45c på konsoliderad basis har inte någon negativ påverkan på resolutionsgruppens </w:t>
            </w:r>
            <w:r w:rsidRPr="00A732EB">
              <w:lastRenderedPageBreak/>
              <w:t>möjlighet till resolution, eller nedskrivning</w:t>
            </w:r>
            <w:r w:rsidRPr="00A732EB">
              <w:t>en eller konverteringen i enlighet med artikel 59 av tillämpliga kapitalinstrument och kvalificerade skulder i det berörda dotterföretaget eller andra enheter i resolutionsgruppen.”</w:t>
            </w:r>
          </w:p>
        </w:tc>
      </w:tr>
    </w:tbl>
    <w:p w:rsidR="00932D06" w:rsidRPr="00A732EB" w:rsidRDefault="00F22AF7" w:rsidP="00F22AF7">
      <w:pPr>
        <w:pStyle w:val="Olang"/>
        <w:rPr>
          <w:sz w:val="24"/>
          <w:szCs w:val="24"/>
        </w:rPr>
      </w:pPr>
      <w:r w:rsidRPr="00A732EB">
        <w:rPr>
          <w:sz w:val="24"/>
          <w:szCs w:val="24"/>
        </w:rPr>
        <w:lastRenderedPageBreak/>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1</w:t>
      </w:r>
      <w:r w:rsidRPr="00A732EB">
        <w:t>5</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Artikel 2 – led 2 – led b</w:t>
      </w:r>
      <w:r w:rsidRPr="00A732EB">
        <w:rPr>
          <w:rStyle w:val="HideTWBExt"/>
          <w:b w:val="0"/>
        </w:rPr>
        <w:t>&lt;/Article&gt;</w:t>
      </w:r>
    </w:p>
    <w:p w:rsidR="00932D06" w:rsidRPr="00A732EB" w:rsidRDefault="00F22AF7" w:rsidP="00F22AF7">
      <w:pPr>
        <w:keepNext/>
        <w:widowControl/>
      </w:pPr>
      <w:r w:rsidRPr="00A732EB">
        <w:rPr>
          <w:rStyle w:val="HideTWBExt"/>
        </w:rPr>
        <w:t>&lt;DocAmend2&gt;</w:t>
      </w:r>
      <w:r w:rsidRPr="00A732EB">
        <w:t>Förordning (EU) nr 806/2014</w:t>
      </w:r>
      <w:r w:rsidRPr="00A732EB">
        <w:rPr>
          <w:rStyle w:val="HideTWBExt"/>
        </w:rPr>
        <w:t>&lt;/DocAmend2&gt;</w:t>
      </w:r>
    </w:p>
    <w:p w:rsidR="00932D06" w:rsidRPr="00A732EB" w:rsidRDefault="00F22AF7" w:rsidP="00F22AF7">
      <w:pPr>
        <w:widowControl/>
      </w:pPr>
      <w:r w:rsidRPr="00A732EB">
        <w:rPr>
          <w:rStyle w:val="HideTWBExt"/>
        </w:rPr>
        <w:t>&lt;Article2&gt;</w:t>
      </w:r>
      <w:r w:rsidRPr="00A732EB">
        <w:t>Artikel 12d – punkt 2a – stycke 2</w:t>
      </w:r>
      <w:r w:rsidRPr="00A732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 xml:space="preserve">Genom </w:t>
            </w:r>
            <w:r w:rsidRPr="00A732EB">
              <w:t>undantag från första stycket</w:t>
            </w:r>
            <w:r w:rsidRPr="00A732EB">
              <w:rPr>
                <w:b/>
                <w:i/>
              </w:rPr>
              <w:t>, och</w:t>
            </w:r>
            <w:r w:rsidRPr="00A732EB">
              <w:t xml:space="preserve"> om det är </w:t>
            </w:r>
            <w:r w:rsidRPr="00A732EB">
              <w:rPr>
                <w:b/>
                <w:i/>
              </w:rPr>
              <w:t>nödvändigt för</w:t>
            </w:r>
            <w:r w:rsidRPr="00A732EB">
              <w:t xml:space="preserve"> att </w:t>
            </w:r>
            <w:r w:rsidRPr="00A732EB">
              <w:rPr>
                <w:b/>
                <w:i/>
              </w:rPr>
              <w:t xml:space="preserve">uppnå målen att skydda den finansiella stabiliteten eller begränsa potentiell spridning till det finansiella systemet, får nämnden undantagsvis </w:t>
            </w:r>
            <w:r w:rsidRPr="00A732EB">
              <w:t>fastställa det krav som avses i artikel</w:t>
            </w:r>
            <w:r w:rsidRPr="00A732EB">
              <w:rPr>
                <w:b/>
                <w:i/>
              </w:rPr>
              <w:t> </w:t>
            </w:r>
            <w:r w:rsidRPr="00A732EB">
              <w:t>12a.1 för</w:t>
            </w:r>
            <w:r w:rsidRPr="00A732EB">
              <w:t xml:space="preserve"> avvecklingsenheter på individuell basis till ett belopp som är tillräckligt för att absorbera förluster i enlighet med punkt 2 a i den här artikeln</w:t>
            </w:r>
            <w:r w:rsidRPr="00A732EB">
              <w:rPr>
                <w:b/>
                <w:i/>
              </w:rPr>
              <w:t>, ökat till ett belopp som är nödvändigt</w:t>
            </w:r>
            <w:r w:rsidRPr="00A732EB">
              <w:t xml:space="preserve"> för </w:t>
            </w:r>
            <w:r w:rsidRPr="00A732EB">
              <w:rPr>
                <w:b/>
                <w:i/>
              </w:rPr>
              <w:t>att uppnå dessa mål</w:t>
            </w:r>
            <w:r w:rsidRPr="00A732EB">
              <w:t xml:space="preserve">. I sådana fall ska avvecklingsenheterna </w:t>
            </w:r>
            <w:r w:rsidRPr="00A732EB">
              <w:t>uppfylla det krav som avses i artikel 12a.1 genom att använda något eller flera av följande:</w:t>
            </w:r>
          </w:p>
        </w:tc>
        <w:tc>
          <w:tcPr>
            <w:tcW w:w="4876" w:type="dxa"/>
            <w:hideMark/>
          </w:tcPr>
          <w:p w:rsidR="00932D06" w:rsidRPr="00A732EB" w:rsidRDefault="00F22AF7" w:rsidP="00F22AF7">
            <w:pPr>
              <w:pStyle w:val="Normal6"/>
              <w:widowControl/>
              <w:rPr>
                <w:szCs w:val="24"/>
              </w:rPr>
            </w:pPr>
            <w:r w:rsidRPr="00A732EB">
              <w:t>Genom undantag från första stycket</w:t>
            </w:r>
            <w:r w:rsidRPr="00A732EB">
              <w:rPr>
                <w:b/>
                <w:i/>
              </w:rPr>
              <w:t xml:space="preserve"> ska nämnden bedöma</w:t>
            </w:r>
            <w:r w:rsidRPr="00A732EB">
              <w:t xml:space="preserve"> om det är </w:t>
            </w:r>
            <w:r w:rsidRPr="00A732EB">
              <w:rPr>
                <w:b/>
                <w:i/>
              </w:rPr>
              <w:t>motiverat</w:t>
            </w:r>
            <w:r w:rsidRPr="00A732EB">
              <w:t xml:space="preserve"> att fastställa det krav som avses i artikel</w:t>
            </w:r>
            <w:r w:rsidRPr="00A732EB">
              <w:rPr>
                <w:b/>
                <w:i/>
              </w:rPr>
              <w:t xml:space="preserve"> </w:t>
            </w:r>
            <w:r w:rsidRPr="00A732EB">
              <w:t>12a.1 för avvecklingsenheter på individuell b</w:t>
            </w:r>
            <w:r w:rsidRPr="00A732EB">
              <w:t xml:space="preserve">asis till ett belopp som </w:t>
            </w:r>
            <w:r w:rsidRPr="00A732EB">
              <w:rPr>
                <w:b/>
                <w:i/>
              </w:rPr>
              <w:t xml:space="preserve">överstiger det belopp som </w:t>
            </w:r>
            <w:r w:rsidRPr="00A732EB">
              <w:t>är tillräckligt för att absorbera förluster i enlighet med punkt 2 a i den här artikeln</w:t>
            </w:r>
            <w:r w:rsidRPr="00A732EB">
              <w:rPr>
                <w:b/>
                <w:i/>
              </w:rPr>
              <w:t>. Nämndens bedömning ska beakta de möjliga konsekvenserna av den berörda avvecklingsenhetens fallissemang och ska särs</w:t>
            </w:r>
            <w:r w:rsidRPr="00A732EB">
              <w:rPr>
                <w:b/>
                <w:i/>
              </w:rPr>
              <w:t>kilt beakta all eventuell inverkan på den finansiella stabiliteten och på risken</w:t>
            </w:r>
            <w:r w:rsidRPr="00A732EB">
              <w:t xml:space="preserve"> för </w:t>
            </w:r>
            <w:r w:rsidRPr="00A732EB">
              <w:rPr>
                <w:b/>
                <w:i/>
              </w:rPr>
              <w:t>spridning till det finansiella systemet</w:t>
            </w:r>
            <w:r w:rsidRPr="00A732EB">
              <w:t>. I sådana fall ska avvecklingsenheterna uppfylla det krav som avses i artikel 12a.1 genom att använda något eller flera av följande</w:t>
            </w:r>
            <w:r w:rsidRPr="00A732EB">
              <w:t>:</w:t>
            </w:r>
          </w:p>
        </w:tc>
      </w:tr>
    </w:tbl>
    <w:p w:rsidR="00932D06" w:rsidRPr="00A732EB" w:rsidRDefault="00F22AF7" w:rsidP="00F22AF7">
      <w:pPr>
        <w:pStyle w:val="Olang"/>
        <w:rPr>
          <w:sz w:val="24"/>
          <w:szCs w:val="24"/>
        </w:rPr>
      </w:pPr>
      <w:r w:rsidRPr="00A732EB">
        <w:rPr>
          <w:sz w:val="24"/>
          <w:szCs w:val="24"/>
        </w:rPr>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keepLines/>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16</w:t>
      </w:r>
      <w:r w:rsidRPr="00A732EB">
        <w:rPr>
          <w:rStyle w:val="HideTWBExt"/>
          <w:b w:val="0"/>
        </w:rPr>
        <w:t>&lt;/NumAm&gt;</w:t>
      </w:r>
    </w:p>
    <w:p w:rsidR="00932D06" w:rsidRPr="00A732EB" w:rsidRDefault="00F22AF7" w:rsidP="00F22AF7">
      <w:pPr>
        <w:pStyle w:val="NormalBold12b"/>
        <w:keepNext/>
        <w:keepLines/>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keepNext/>
        <w:keepLines/>
        <w:widowControl/>
      </w:pPr>
      <w:r w:rsidRPr="00A732EB">
        <w:rPr>
          <w:rStyle w:val="HideTWBExt"/>
          <w:b w:val="0"/>
        </w:rPr>
        <w:t>&lt;Article&gt;</w:t>
      </w:r>
      <w:r w:rsidRPr="00A732EB">
        <w:t>Artikel 2 – led 2 – led b</w:t>
      </w:r>
      <w:r w:rsidRPr="00A732EB">
        <w:rPr>
          <w:rStyle w:val="HideTWBExt"/>
          <w:b w:val="0"/>
        </w:rPr>
        <w:t>&lt;/Article&gt;</w:t>
      </w:r>
    </w:p>
    <w:p w:rsidR="00932D06" w:rsidRPr="00A732EB" w:rsidRDefault="00F22AF7" w:rsidP="00F22AF7">
      <w:pPr>
        <w:keepNext/>
        <w:widowControl/>
      </w:pPr>
      <w:r w:rsidRPr="00A732EB">
        <w:rPr>
          <w:rStyle w:val="HideTWBExt"/>
        </w:rPr>
        <w:t>&lt;DocAmend2&gt;</w:t>
      </w:r>
      <w:r w:rsidRPr="00A732EB">
        <w:t>Förordning (EU) nr 806/2014</w:t>
      </w:r>
      <w:r w:rsidRPr="00A732EB">
        <w:rPr>
          <w:rStyle w:val="HideTWBExt"/>
        </w:rPr>
        <w:t>&lt;/DocAmend2&gt;</w:t>
      </w:r>
    </w:p>
    <w:p w:rsidR="00932D06" w:rsidRPr="00A732EB" w:rsidRDefault="00F22AF7" w:rsidP="00F22AF7">
      <w:pPr>
        <w:widowControl/>
      </w:pPr>
      <w:r w:rsidRPr="00A732EB">
        <w:rPr>
          <w:rStyle w:val="HideTWBExt"/>
        </w:rPr>
        <w:t>&lt;Article2&gt;</w:t>
      </w:r>
      <w:r w:rsidRPr="00A732EB">
        <w:t xml:space="preserve">Artikel 12d – punkt </w:t>
      </w:r>
      <w:r w:rsidRPr="00A732EB">
        <w:t>2a – stycke 4</w:t>
      </w:r>
      <w:r w:rsidRPr="00A732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 xml:space="preserve">Innehav av </w:t>
            </w:r>
            <w:r w:rsidRPr="00A732EB">
              <w:rPr>
                <w:b/>
                <w:i/>
              </w:rPr>
              <w:t>kapitalbasinstrument eller skulder</w:t>
            </w:r>
            <w:r w:rsidRPr="00A732EB">
              <w:t xml:space="preserve"> som emitterats av dotterföretag </w:t>
            </w:r>
            <w:r w:rsidRPr="00A732EB">
              <w:lastRenderedPageBreak/>
              <w:t>som är avvecklingsenheter för vilka resolutionsmyndigheten inte har fastställt det krav som avses i artikel 12a.1 ska inte dras av i enlighet med artikel 72e.5 i förordning (EU) nr 575/2013.</w:t>
            </w:r>
            <w:r w:rsidRPr="00A732EB">
              <w:rPr>
                <w:b/>
                <w:i/>
              </w:rPr>
              <w:t>”</w:t>
            </w:r>
          </w:p>
        </w:tc>
        <w:tc>
          <w:tcPr>
            <w:tcW w:w="4876" w:type="dxa"/>
            <w:hideMark/>
          </w:tcPr>
          <w:p w:rsidR="00932D06" w:rsidRPr="00A732EB" w:rsidRDefault="00F22AF7" w:rsidP="00F22AF7">
            <w:pPr>
              <w:pStyle w:val="Normal6"/>
              <w:widowControl/>
              <w:rPr>
                <w:szCs w:val="24"/>
              </w:rPr>
            </w:pPr>
            <w:r w:rsidRPr="00A732EB">
              <w:lastRenderedPageBreak/>
              <w:t xml:space="preserve">Innehav av </w:t>
            </w:r>
            <w:r w:rsidRPr="00A732EB">
              <w:rPr>
                <w:b/>
                <w:i/>
              </w:rPr>
              <w:t>skulder som inte räk</w:t>
            </w:r>
            <w:r w:rsidRPr="00A732EB">
              <w:rPr>
                <w:b/>
                <w:i/>
              </w:rPr>
              <w:t>nas som kapitalbasinstrument</w:t>
            </w:r>
            <w:r w:rsidRPr="00A732EB">
              <w:t xml:space="preserve"> som emitterats av </w:t>
            </w:r>
            <w:r w:rsidRPr="00A732EB">
              <w:lastRenderedPageBreak/>
              <w:t>dotterföretag som är avvecklingsenheter för vilka resolutionsmyndigheten inte har fastställt det krav som avses i artikel 12a.1 ska inte dras av i enlighet med artikel 72e.5 i förordning (EU) nr 575/2013.</w:t>
            </w:r>
          </w:p>
        </w:tc>
      </w:tr>
    </w:tbl>
    <w:p w:rsidR="00932D06" w:rsidRPr="00A732EB" w:rsidRDefault="00F22AF7" w:rsidP="00F22AF7">
      <w:pPr>
        <w:pStyle w:val="Olang"/>
        <w:rPr>
          <w:sz w:val="24"/>
          <w:szCs w:val="24"/>
        </w:rPr>
      </w:pPr>
      <w:r w:rsidRPr="00A732EB">
        <w:rPr>
          <w:sz w:val="24"/>
          <w:szCs w:val="24"/>
        </w:rPr>
        <w:lastRenderedPageBreak/>
        <w:t>Or.</w:t>
      </w:r>
      <w:r w:rsidRPr="00A732EB">
        <w:rPr>
          <w:sz w:val="24"/>
          <w:szCs w:val="24"/>
        </w:rPr>
        <w:t xml:space="preserve">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17</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Artikel 1 – led 3 – led a</w:t>
      </w:r>
      <w:r w:rsidRPr="00A732EB">
        <w:rPr>
          <w:rStyle w:val="HideTWBExt"/>
          <w:b w:val="0"/>
        </w:rPr>
        <w:t>&lt;/Article&gt;</w:t>
      </w:r>
    </w:p>
    <w:p w:rsidR="00932D06" w:rsidRPr="00A732EB" w:rsidRDefault="00F22AF7" w:rsidP="00F22AF7">
      <w:pPr>
        <w:keepNext/>
        <w:widowControl/>
      </w:pPr>
      <w:r w:rsidRPr="00A732EB">
        <w:rPr>
          <w:rStyle w:val="HideTWBExt"/>
        </w:rPr>
        <w:t>&lt;DocAmend2&gt;</w:t>
      </w:r>
      <w:r w:rsidRPr="00A732EB">
        <w:t>Förordning (EU) nr 806/2014</w:t>
      </w:r>
      <w:r w:rsidRPr="00A732EB">
        <w:rPr>
          <w:rStyle w:val="HideTWBExt"/>
        </w:rPr>
        <w:t>&lt;/DocAmend2&gt;</w:t>
      </w:r>
    </w:p>
    <w:p w:rsidR="00932D06" w:rsidRPr="00A732EB" w:rsidRDefault="00F22AF7" w:rsidP="00F22AF7">
      <w:pPr>
        <w:widowControl/>
      </w:pPr>
      <w:r w:rsidRPr="00A732EB">
        <w:rPr>
          <w:rStyle w:val="HideTWBExt"/>
        </w:rPr>
        <w:t>&lt;Article2&gt;</w:t>
      </w:r>
      <w:r w:rsidRPr="00A732EB">
        <w:t xml:space="preserve">Artikel 12g – punkt 1 – </w:t>
      </w:r>
      <w:r w:rsidRPr="00A732EB">
        <w:t>stycke 3a – led a – led ii</w:t>
      </w:r>
      <w:r w:rsidRPr="00A732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ii)</w:t>
            </w:r>
            <w:r w:rsidRPr="00A732EB">
              <w:tab/>
              <w:t xml:space="preserve">Dotterföretaget omfattas av det krav som avses i artikel 104a i direktiv 2013/36/EU </w:t>
            </w:r>
            <w:r w:rsidRPr="00A732EB">
              <w:rPr>
                <w:b/>
                <w:i/>
              </w:rPr>
              <w:t>eller det kombinerade buffertkravet</w:t>
            </w:r>
            <w:r w:rsidRPr="00A732EB">
              <w:t xml:space="preserve"> på konsoliderad basis.</w:t>
            </w:r>
          </w:p>
        </w:tc>
        <w:tc>
          <w:tcPr>
            <w:tcW w:w="4876" w:type="dxa"/>
            <w:hideMark/>
          </w:tcPr>
          <w:p w:rsidR="00932D06" w:rsidRPr="00A732EB" w:rsidRDefault="00F22AF7" w:rsidP="00F22AF7">
            <w:pPr>
              <w:pStyle w:val="Normal6"/>
              <w:widowControl/>
              <w:rPr>
                <w:szCs w:val="24"/>
              </w:rPr>
            </w:pPr>
            <w:r w:rsidRPr="00A732EB">
              <w:t>ii)</w:t>
            </w:r>
            <w:r w:rsidRPr="00A732EB">
              <w:tab/>
              <w:t>Dotterföretaget omfattas a</w:t>
            </w:r>
            <w:r w:rsidRPr="00A732EB">
              <w:t xml:space="preserve">v det krav som avses i artikel 104a i direktiv 2013/36/EU </w:t>
            </w:r>
            <w:r w:rsidRPr="00A732EB">
              <w:rPr>
                <w:b/>
                <w:i/>
              </w:rPr>
              <w:t>enbart</w:t>
            </w:r>
            <w:r w:rsidRPr="00A732EB">
              <w:t xml:space="preserve"> på konsoliderad basis.</w:t>
            </w:r>
          </w:p>
        </w:tc>
      </w:tr>
    </w:tbl>
    <w:p w:rsidR="00932D06" w:rsidRPr="00A732EB" w:rsidRDefault="00F22AF7" w:rsidP="00F22AF7">
      <w:pPr>
        <w:pStyle w:val="Olang"/>
        <w:rPr>
          <w:sz w:val="24"/>
          <w:szCs w:val="24"/>
        </w:rPr>
      </w:pPr>
      <w:r w:rsidRPr="00A732EB">
        <w:rPr>
          <w:sz w:val="24"/>
          <w:szCs w:val="24"/>
        </w:rPr>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t>&lt;Amend&gt;</w:t>
      </w:r>
      <w:r w:rsidRPr="00A732EB">
        <w:t>Ändringsförslag</w:t>
      </w:r>
      <w:r w:rsidRPr="00A732EB">
        <w:tab/>
      </w:r>
      <w:r w:rsidRPr="00A732EB">
        <w:tab/>
      </w:r>
      <w:r w:rsidRPr="00A732EB">
        <w:rPr>
          <w:rStyle w:val="HideTWBExt"/>
          <w:b w:val="0"/>
        </w:rPr>
        <w:t>&lt;NumAm&gt;</w:t>
      </w:r>
      <w:r w:rsidRPr="00A732EB">
        <w:t>18</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Artikel 1 – led 3 – led a</w:t>
      </w:r>
      <w:r w:rsidRPr="00A732EB">
        <w:rPr>
          <w:rStyle w:val="HideTWBExt"/>
          <w:b w:val="0"/>
        </w:rPr>
        <w:t>&lt;/Article&gt;</w:t>
      </w:r>
    </w:p>
    <w:p w:rsidR="00932D06" w:rsidRPr="00A732EB" w:rsidRDefault="00F22AF7" w:rsidP="00F22AF7">
      <w:pPr>
        <w:keepNext/>
        <w:widowControl/>
      </w:pPr>
      <w:r w:rsidRPr="00A732EB">
        <w:rPr>
          <w:rStyle w:val="HideTWBExt"/>
        </w:rPr>
        <w:t>&lt;DocAmend2&gt;</w:t>
      </w:r>
      <w:r w:rsidRPr="00A732EB">
        <w:t>Förordning (EU) nr 806/2014</w:t>
      </w:r>
      <w:r w:rsidRPr="00A732EB">
        <w:rPr>
          <w:rStyle w:val="HideTWBExt"/>
        </w:rPr>
        <w:t>&lt;/DocAmend2&gt;</w:t>
      </w:r>
    </w:p>
    <w:p w:rsidR="00932D06" w:rsidRPr="00A732EB" w:rsidRDefault="00F22AF7" w:rsidP="00F22AF7">
      <w:pPr>
        <w:widowControl/>
      </w:pPr>
      <w:r w:rsidRPr="00A732EB">
        <w:rPr>
          <w:rStyle w:val="HideTWBExt"/>
        </w:rPr>
        <w:t>&lt;Article2&gt;</w:t>
      </w:r>
      <w:r w:rsidRPr="00A732EB">
        <w:t>Artikel 12g – punkt 1 – stycke 3a – led b</w:t>
      </w:r>
      <w:r w:rsidRPr="00A732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(b)</w:t>
            </w:r>
            <w:r w:rsidRPr="00A732EB">
              <w:tab/>
              <w:t xml:space="preserve">Efterlevnad av kravet i artikel 12d på konsoliderad basis har inte någon </w:t>
            </w:r>
            <w:r w:rsidRPr="00A732EB">
              <w:rPr>
                <w:b/>
                <w:i/>
              </w:rPr>
              <w:t xml:space="preserve">betydande </w:t>
            </w:r>
            <w:r w:rsidRPr="00A732EB">
              <w:t>neg</w:t>
            </w:r>
            <w:r w:rsidRPr="00A732EB">
              <w:t>ativ påverkan på resolutionsgruppens möjlighet till resolution, eller nedskrivningen eller konverteringen, i enlighet med artikel 21, av tillämpliga kapitalinstrument och kvalificerade skulder i det berörda institutet eller dotterföretaget eller andra enhe</w:t>
            </w:r>
            <w:r w:rsidRPr="00A732EB">
              <w:t>ter i resolutionsgruppen.”</w:t>
            </w:r>
          </w:p>
        </w:tc>
        <w:tc>
          <w:tcPr>
            <w:tcW w:w="4876" w:type="dxa"/>
            <w:hideMark/>
          </w:tcPr>
          <w:p w:rsidR="00932D06" w:rsidRPr="00A732EB" w:rsidRDefault="00F22AF7" w:rsidP="00F22AF7">
            <w:pPr>
              <w:pStyle w:val="Normal6"/>
              <w:widowControl/>
              <w:rPr>
                <w:szCs w:val="24"/>
              </w:rPr>
            </w:pPr>
            <w:r w:rsidRPr="00A732EB">
              <w:t>(b)</w:t>
            </w:r>
            <w:r w:rsidRPr="00A732EB">
              <w:tab/>
              <w:t xml:space="preserve">Efterlevnad av kravet i artikel 12d på konsoliderad basis har inte någon negativ påverkan på resolutionsgruppens möjlighet till resolution, eller nedskrivningen eller konverteringen, i enlighet med artikel 21, av tillämpliga </w:t>
            </w:r>
            <w:r w:rsidRPr="00A732EB">
              <w:t>kapitalinstrument och kvalificerade skulder i det berörda institutet eller dotterföretaget eller andra enheter i resolutionsgruppen.”</w:t>
            </w:r>
          </w:p>
        </w:tc>
      </w:tr>
    </w:tbl>
    <w:p w:rsidR="00932D06" w:rsidRPr="00A732EB" w:rsidRDefault="00F22AF7" w:rsidP="00F22AF7">
      <w:pPr>
        <w:pStyle w:val="Olang"/>
        <w:rPr>
          <w:sz w:val="24"/>
          <w:szCs w:val="24"/>
        </w:rPr>
      </w:pPr>
      <w:r w:rsidRPr="00A732EB">
        <w:rPr>
          <w:sz w:val="24"/>
          <w:szCs w:val="24"/>
        </w:rPr>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932D06" w:rsidRPr="00A732EB" w:rsidRDefault="00F22AF7" w:rsidP="00F22AF7">
      <w:pPr>
        <w:widowControl/>
        <w:rPr>
          <w:szCs w:val="24"/>
        </w:rPr>
      </w:pPr>
      <w:r w:rsidRPr="00A732EB">
        <w:rPr>
          <w:rStyle w:val="HideTWBExt"/>
        </w:rPr>
        <w:t>&lt;/Amend&gt;</w:t>
      </w:r>
    </w:p>
    <w:p w:rsidR="00932D06" w:rsidRPr="00A732EB" w:rsidRDefault="00F22AF7" w:rsidP="00F22AF7">
      <w:pPr>
        <w:pStyle w:val="AMNumberTabs0"/>
        <w:keepNext/>
        <w:widowControl/>
      </w:pPr>
      <w:r w:rsidRPr="00A732EB">
        <w:rPr>
          <w:rStyle w:val="HideTWBExt"/>
          <w:b w:val="0"/>
        </w:rPr>
        <w:lastRenderedPageBreak/>
        <w:t>&lt;Amend&gt;</w:t>
      </w:r>
      <w:r w:rsidRPr="00A732EB">
        <w:t>Ändringsförslag</w:t>
      </w:r>
      <w:r w:rsidRPr="00A732EB">
        <w:tab/>
      </w:r>
      <w:r w:rsidRPr="00A732EB">
        <w:tab/>
      </w:r>
      <w:r w:rsidRPr="00A732EB">
        <w:rPr>
          <w:rStyle w:val="HideTWBExt"/>
          <w:b w:val="0"/>
        </w:rPr>
        <w:t>&lt;NumAm&gt;</w:t>
      </w:r>
      <w:r w:rsidRPr="00A732EB">
        <w:t>19</w:t>
      </w:r>
      <w:r w:rsidRPr="00A732EB">
        <w:rPr>
          <w:rStyle w:val="HideTWBExt"/>
          <w:b w:val="0"/>
        </w:rPr>
        <w:t>&lt;/NumAm&gt;</w:t>
      </w:r>
    </w:p>
    <w:p w:rsidR="00932D06" w:rsidRPr="00A732EB" w:rsidRDefault="00F22AF7" w:rsidP="00F22AF7">
      <w:pPr>
        <w:pStyle w:val="NormalBold12b"/>
        <w:keepNext/>
        <w:widowControl/>
      </w:pPr>
      <w:r w:rsidRPr="00A732EB">
        <w:rPr>
          <w:rStyle w:val="HideTWBExt"/>
          <w:b w:val="0"/>
        </w:rPr>
        <w:t>&lt;DocAmend&gt;</w:t>
      </w:r>
      <w:r w:rsidRPr="00A732EB">
        <w:t>Förslag till direktiv</w:t>
      </w:r>
      <w:r w:rsidRPr="00A732EB">
        <w:rPr>
          <w:rStyle w:val="HideTWBExt"/>
          <w:b w:val="0"/>
        </w:rPr>
        <w:t>&lt;/DocAmend&gt;</w:t>
      </w:r>
    </w:p>
    <w:p w:rsidR="00932D06" w:rsidRPr="00A732EB" w:rsidRDefault="00F22AF7" w:rsidP="00F22AF7">
      <w:pPr>
        <w:pStyle w:val="NormalBold"/>
        <w:widowControl/>
      </w:pPr>
      <w:r w:rsidRPr="00A732EB">
        <w:rPr>
          <w:rStyle w:val="HideTWBExt"/>
          <w:b w:val="0"/>
        </w:rPr>
        <w:t>&lt;Article&gt;</w:t>
      </w:r>
      <w:r w:rsidRPr="00A732EB">
        <w:t>Artikel 2 – led 3 – led b</w:t>
      </w:r>
      <w:r w:rsidRPr="00A732EB">
        <w:rPr>
          <w:rStyle w:val="HideTWBExt"/>
          <w:b w:val="0"/>
        </w:rPr>
        <w:t>&lt;/Article&gt;</w:t>
      </w:r>
    </w:p>
    <w:p w:rsidR="00932D06" w:rsidRPr="00A732EB" w:rsidRDefault="00F22AF7" w:rsidP="00F22AF7">
      <w:pPr>
        <w:keepNext/>
        <w:widowControl/>
      </w:pPr>
      <w:r w:rsidRPr="00A732EB">
        <w:rPr>
          <w:rStyle w:val="HideTWBExt"/>
        </w:rPr>
        <w:t>&lt;DocAmend2&gt;</w:t>
      </w:r>
      <w:r w:rsidRPr="00A732EB">
        <w:t>Förordning (EU) nr 806/2014</w:t>
      </w:r>
      <w:r w:rsidRPr="00A732EB">
        <w:rPr>
          <w:rStyle w:val="HideTWBExt"/>
        </w:rPr>
        <w:t>&lt;/DocAmend2&gt;</w:t>
      </w:r>
    </w:p>
    <w:p w:rsidR="00932D06" w:rsidRPr="00A732EB" w:rsidRDefault="00F22AF7" w:rsidP="00F22AF7">
      <w:pPr>
        <w:widowControl/>
      </w:pPr>
      <w:r w:rsidRPr="00A732EB">
        <w:rPr>
          <w:rStyle w:val="HideTWBExt"/>
        </w:rPr>
        <w:t>&lt;Article2&gt;</w:t>
      </w:r>
      <w:r w:rsidRPr="00A732EB">
        <w:t>Artikel 12g – punkt 2a – stycke 2 – inledningen</w:t>
      </w:r>
      <w:r w:rsidRPr="00A732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971" w:rsidRPr="00A732EB" w:rsidTr="00932D06">
        <w:trPr>
          <w:jc w:val="center"/>
        </w:trPr>
        <w:tc>
          <w:tcPr>
            <w:tcW w:w="9752" w:type="dxa"/>
            <w:gridSpan w:val="2"/>
          </w:tcPr>
          <w:p w:rsidR="00932D06" w:rsidRPr="00A732EB" w:rsidRDefault="00932D06" w:rsidP="00F22AF7">
            <w:pPr>
              <w:keepNext/>
              <w:widowControl/>
            </w:pPr>
          </w:p>
        </w:tc>
      </w:tr>
      <w:tr w:rsidR="00C31971" w:rsidRPr="00A732EB" w:rsidTr="00932D06">
        <w:trPr>
          <w:jc w:val="center"/>
        </w:trPr>
        <w:tc>
          <w:tcPr>
            <w:tcW w:w="4876" w:type="dxa"/>
            <w:hideMark/>
          </w:tcPr>
          <w:p w:rsidR="00932D06" w:rsidRPr="00A732EB" w:rsidRDefault="00F22AF7" w:rsidP="00F22AF7">
            <w:pPr>
              <w:pStyle w:val="ColumnHeading"/>
              <w:keepNext/>
              <w:widowControl/>
            </w:pPr>
            <w:r w:rsidRPr="00A732EB">
              <w:t>Kommissionens förslag</w:t>
            </w:r>
          </w:p>
        </w:tc>
        <w:tc>
          <w:tcPr>
            <w:tcW w:w="4876" w:type="dxa"/>
            <w:hideMark/>
          </w:tcPr>
          <w:p w:rsidR="00932D06" w:rsidRPr="00A732EB" w:rsidRDefault="00F22AF7" w:rsidP="00F22AF7">
            <w:pPr>
              <w:pStyle w:val="ColumnHeading"/>
              <w:keepNext/>
              <w:widowControl/>
            </w:pPr>
            <w:r w:rsidRPr="00A732EB">
              <w:t>Ändringsförslag</w:t>
            </w:r>
          </w:p>
        </w:tc>
      </w:tr>
      <w:tr w:rsidR="00C31971" w:rsidRPr="00A732EB" w:rsidTr="00932D06">
        <w:trPr>
          <w:jc w:val="center"/>
        </w:trPr>
        <w:tc>
          <w:tcPr>
            <w:tcW w:w="4876" w:type="dxa"/>
            <w:hideMark/>
          </w:tcPr>
          <w:p w:rsidR="00932D06" w:rsidRPr="00A732EB" w:rsidRDefault="00F22AF7" w:rsidP="00F22AF7">
            <w:pPr>
              <w:pStyle w:val="Normal6"/>
              <w:widowControl/>
            </w:pPr>
            <w:r w:rsidRPr="00A732EB">
              <w:t xml:space="preserve">De skulder som avses i första stycket </w:t>
            </w:r>
            <w:r w:rsidRPr="00A732EB">
              <w:t>a och b ska inte överstiga det belopp som fastställs genom att från beloppet för det krav som avses i artikel </w:t>
            </w:r>
            <w:r w:rsidRPr="00A732EB">
              <w:rPr>
                <w:b/>
                <w:i/>
              </w:rPr>
              <w:t>45</w:t>
            </w:r>
            <w:r w:rsidRPr="00A732EB">
              <w:t>.1, som är tillämpligt på dotterföretaget som ingår i konsolideringen, dra av summan av samtliga följande:</w:t>
            </w:r>
          </w:p>
        </w:tc>
        <w:tc>
          <w:tcPr>
            <w:tcW w:w="4876" w:type="dxa"/>
            <w:hideMark/>
          </w:tcPr>
          <w:p w:rsidR="00932D06" w:rsidRPr="00A732EB" w:rsidRDefault="00F22AF7" w:rsidP="00F22AF7">
            <w:pPr>
              <w:pStyle w:val="Normal6"/>
              <w:widowControl/>
              <w:rPr>
                <w:szCs w:val="24"/>
              </w:rPr>
            </w:pPr>
            <w:r w:rsidRPr="00A732EB">
              <w:t>De skulder som avses i första stycket</w:t>
            </w:r>
            <w:r w:rsidRPr="00A732EB">
              <w:t xml:space="preserve"> a och b ska inte överstiga det belopp som fastställs genom att från beloppet för det krav som avses i artikel </w:t>
            </w:r>
            <w:r w:rsidRPr="00A732EB">
              <w:rPr>
                <w:b/>
                <w:i/>
              </w:rPr>
              <w:t>12</w:t>
            </w:r>
            <w:r w:rsidRPr="00A732EB">
              <w:t>.1, som är tillämpligt på dotterföretaget som ingår i konsolideringen, dra av summan av samtliga följande:</w:t>
            </w:r>
          </w:p>
        </w:tc>
      </w:tr>
    </w:tbl>
    <w:p w:rsidR="00932D06" w:rsidRPr="00A732EB" w:rsidRDefault="00F22AF7" w:rsidP="00F22AF7">
      <w:pPr>
        <w:pStyle w:val="Olang"/>
        <w:rPr>
          <w:sz w:val="24"/>
          <w:szCs w:val="24"/>
        </w:rPr>
      </w:pPr>
      <w:r w:rsidRPr="00A732EB">
        <w:rPr>
          <w:sz w:val="24"/>
          <w:szCs w:val="24"/>
        </w:rPr>
        <w:t xml:space="preserve">Or. </w:t>
      </w:r>
      <w:r w:rsidRPr="00A732EB">
        <w:rPr>
          <w:rStyle w:val="HideTWBExt"/>
        </w:rPr>
        <w:t>&lt;Original&gt;</w:t>
      </w:r>
      <w:r w:rsidRPr="00A732EB">
        <w:rPr>
          <w:rStyle w:val="HideTWBInt"/>
          <w:sz w:val="24"/>
          <w:szCs w:val="24"/>
        </w:rPr>
        <w:t>{EN}</w:t>
      </w:r>
      <w:r w:rsidRPr="00A732EB">
        <w:rPr>
          <w:sz w:val="24"/>
          <w:szCs w:val="24"/>
        </w:rPr>
        <w:t>en</w:t>
      </w:r>
      <w:r w:rsidRPr="00A732EB">
        <w:rPr>
          <w:rStyle w:val="HideTWBExt"/>
        </w:rPr>
        <w:t>&lt;/Original&gt;</w:t>
      </w:r>
    </w:p>
    <w:p w:rsidR="00467F7B" w:rsidRPr="00A732EB" w:rsidRDefault="00F22AF7" w:rsidP="00F22AF7">
      <w:pPr>
        <w:widowControl/>
      </w:pPr>
      <w:r w:rsidRPr="00A732EB">
        <w:rPr>
          <w:rStyle w:val="HideTWBExt"/>
        </w:rPr>
        <w:t>&lt;/A</w:t>
      </w:r>
      <w:r w:rsidRPr="00A732EB">
        <w:rPr>
          <w:rStyle w:val="HideTWBExt"/>
        </w:rPr>
        <w:t>mend&gt;</w:t>
      </w:r>
    </w:p>
    <w:p w:rsidR="002669B6" w:rsidRPr="00A732EB" w:rsidRDefault="00F22AF7" w:rsidP="00F22AF7">
      <w:pPr>
        <w:widowControl/>
      </w:pPr>
      <w:r w:rsidRPr="00A732EB">
        <w:rPr>
          <w:rStyle w:val="HideTWBExt"/>
        </w:rPr>
        <w:t>&lt;/RepeatBlock-Amend&gt;</w:t>
      </w:r>
    </w:p>
    <w:p w:rsidR="002669B6" w:rsidRPr="00A732EB" w:rsidRDefault="002669B6" w:rsidP="00F22AF7">
      <w:pPr>
        <w:widowControl/>
      </w:pPr>
      <w:bookmarkStart w:id="2" w:name="_GoBack"/>
      <w:bookmarkEnd w:id="2"/>
    </w:p>
    <w:sectPr w:rsidR="002669B6" w:rsidRPr="00A732EB" w:rsidSect="00A732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732EB" w:rsidRDefault="00F22AF7">
      <w:r w:rsidRPr="00A732EB">
        <w:separator/>
      </w:r>
    </w:p>
  </w:endnote>
  <w:endnote w:type="continuationSeparator" w:id="0">
    <w:p w:rsidR="00000000" w:rsidRPr="00A732EB" w:rsidRDefault="00F22AF7">
      <w:r w:rsidRPr="00A732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2EB" w:rsidRPr="00A732EB" w:rsidRDefault="00A732EB" w:rsidP="00A732EB">
    <w:pPr>
      <w:pStyle w:val="EPFooter"/>
    </w:pPr>
    <w:r w:rsidRPr="00A732EB">
      <w:t>PE</w:t>
    </w:r>
    <w:r w:rsidRPr="00A732EB">
      <w:rPr>
        <w:rStyle w:val="HideTWBExt"/>
      </w:rPr>
      <w:t>&lt;NoPE&gt;</w:t>
    </w:r>
    <w:r w:rsidRPr="00A732EB">
      <w:t>752.913</w:t>
    </w:r>
    <w:r w:rsidRPr="00A732EB">
      <w:rPr>
        <w:rStyle w:val="HideTWBExt"/>
      </w:rPr>
      <w:t>&lt;/NoPE&gt;&lt;Version&gt;</w:t>
    </w:r>
    <w:r w:rsidRPr="00A732EB">
      <w:t>v01-00</w:t>
    </w:r>
    <w:r w:rsidRPr="00A732EB">
      <w:rPr>
        <w:rStyle w:val="HideTWBExt"/>
      </w:rPr>
      <w:t>&lt;/Version&gt;</w:t>
    </w:r>
    <w:r w:rsidRPr="00A732EB">
      <w:tab/>
    </w:r>
    <w:r w:rsidRPr="00A732EB">
      <w:fldChar w:fldCharType="begin"/>
    </w:r>
    <w:r w:rsidRPr="00A732EB">
      <w:instrText xml:space="preserve"> PAGE  \* MERGEFORMAT </w:instrText>
    </w:r>
    <w:r w:rsidRPr="00A732EB">
      <w:fldChar w:fldCharType="separate"/>
    </w:r>
    <w:r w:rsidR="00F22AF7">
      <w:rPr>
        <w:noProof/>
      </w:rPr>
      <w:t>18</w:t>
    </w:r>
    <w:r w:rsidRPr="00A732EB">
      <w:fldChar w:fldCharType="end"/>
    </w:r>
    <w:r w:rsidRPr="00A732EB">
      <w:t>/</w:t>
    </w:r>
    <w:fldSimple w:instr=" NUMPAGES  \* MERGEFORMAT ">
      <w:r w:rsidR="00F22AF7">
        <w:rPr>
          <w:noProof/>
        </w:rPr>
        <w:t>19</w:t>
      </w:r>
    </w:fldSimple>
    <w:r w:rsidRPr="00A732EB">
      <w:tab/>
    </w:r>
    <w:r w:rsidRPr="00A732EB">
      <w:rPr>
        <w:rStyle w:val="HideTWBExt"/>
      </w:rPr>
      <w:t>&lt;PathFdR&gt;</w:t>
    </w:r>
    <w:r w:rsidRPr="00A732EB">
      <w:t>PR\1285454SV.docx</w:t>
    </w:r>
    <w:r w:rsidRPr="00A732EB">
      <w:rPr>
        <w:rStyle w:val="HideTWBExt"/>
      </w:rPr>
      <w:t>&lt;/PathFdR&gt;</w:t>
    </w:r>
  </w:p>
  <w:p w:rsidR="0048211B" w:rsidRPr="00A732EB" w:rsidRDefault="00A732EB" w:rsidP="00A732EB">
    <w:pPr>
      <w:pStyle w:val="EPFooter2"/>
    </w:pPr>
    <w:r w:rsidRPr="00A732EB">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2EB" w:rsidRPr="00A732EB" w:rsidRDefault="00A732EB" w:rsidP="00A732EB">
    <w:pPr>
      <w:pStyle w:val="EPFooter"/>
    </w:pPr>
    <w:r w:rsidRPr="00A732EB">
      <w:rPr>
        <w:rStyle w:val="HideTWBExt"/>
      </w:rPr>
      <w:t>&lt;PathFdR&gt;</w:t>
    </w:r>
    <w:r w:rsidRPr="00A732EB">
      <w:t>PR\1285454SV.docx</w:t>
    </w:r>
    <w:r w:rsidRPr="00A732EB">
      <w:rPr>
        <w:rStyle w:val="HideTWBExt"/>
      </w:rPr>
      <w:t>&lt;/PathFdR&gt;</w:t>
    </w:r>
    <w:r w:rsidRPr="00A732EB">
      <w:tab/>
    </w:r>
    <w:r w:rsidRPr="00A732EB">
      <w:fldChar w:fldCharType="begin"/>
    </w:r>
    <w:r w:rsidRPr="00A732EB">
      <w:instrText xml:space="preserve"> PAGE  \* MERGEFORMAT </w:instrText>
    </w:r>
    <w:r w:rsidRPr="00A732EB">
      <w:fldChar w:fldCharType="separate"/>
    </w:r>
    <w:r w:rsidR="00F22AF7">
      <w:rPr>
        <w:noProof/>
      </w:rPr>
      <w:t>19</w:t>
    </w:r>
    <w:r w:rsidRPr="00A732EB">
      <w:fldChar w:fldCharType="end"/>
    </w:r>
    <w:r w:rsidRPr="00A732EB">
      <w:t>/</w:t>
    </w:r>
    <w:fldSimple w:instr=" NUMPAGES  \* MERGEFORMAT ">
      <w:r w:rsidR="00F22AF7">
        <w:rPr>
          <w:noProof/>
        </w:rPr>
        <w:t>19</w:t>
      </w:r>
    </w:fldSimple>
    <w:r w:rsidRPr="00A732EB">
      <w:tab/>
      <w:t>PE</w:t>
    </w:r>
    <w:r w:rsidRPr="00A732EB">
      <w:rPr>
        <w:rStyle w:val="HideTWBExt"/>
      </w:rPr>
      <w:t>&lt;NoPE&gt;</w:t>
    </w:r>
    <w:r w:rsidRPr="00A732EB">
      <w:t>752.913</w:t>
    </w:r>
    <w:r w:rsidRPr="00A732EB">
      <w:rPr>
        <w:rStyle w:val="HideTWBExt"/>
      </w:rPr>
      <w:t>&lt;/NoPE&gt;&lt;Version&gt;</w:t>
    </w:r>
    <w:r w:rsidRPr="00A732EB">
      <w:t>v01-00</w:t>
    </w:r>
    <w:r w:rsidRPr="00A732EB">
      <w:rPr>
        <w:rStyle w:val="HideTWBExt"/>
      </w:rPr>
      <w:t>&lt;/Version&gt;</w:t>
    </w:r>
  </w:p>
  <w:p w:rsidR="0048211B" w:rsidRPr="00A732EB" w:rsidRDefault="00A732EB" w:rsidP="00A732EB">
    <w:pPr>
      <w:pStyle w:val="EPFooter2"/>
    </w:pPr>
    <w:r w:rsidRPr="00A732EB">
      <w:tab/>
    </w:r>
    <w:r w:rsidRPr="00A732EB">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2EB" w:rsidRPr="00A732EB" w:rsidRDefault="00A732EB" w:rsidP="00A732EB">
    <w:pPr>
      <w:pStyle w:val="EPFooter"/>
    </w:pPr>
    <w:r w:rsidRPr="00A732EB">
      <w:rPr>
        <w:rStyle w:val="HideTWBExt"/>
      </w:rPr>
      <w:t>&lt;PathFdR&gt;</w:t>
    </w:r>
    <w:r w:rsidRPr="00A732EB">
      <w:t>PR\1285454SV.docx</w:t>
    </w:r>
    <w:r w:rsidRPr="00A732EB">
      <w:rPr>
        <w:rStyle w:val="HideTWBExt"/>
      </w:rPr>
      <w:t>&lt;/PathFdR&gt;</w:t>
    </w:r>
    <w:r w:rsidRPr="00A732EB">
      <w:tab/>
    </w:r>
    <w:r w:rsidRPr="00A732EB">
      <w:tab/>
      <w:t>PE</w:t>
    </w:r>
    <w:r w:rsidRPr="00A732EB">
      <w:rPr>
        <w:rStyle w:val="HideTWBExt"/>
      </w:rPr>
      <w:t>&lt;NoPE&gt;</w:t>
    </w:r>
    <w:r w:rsidRPr="00A732EB">
      <w:t>752.913</w:t>
    </w:r>
    <w:r w:rsidRPr="00A732EB">
      <w:rPr>
        <w:rStyle w:val="HideTWBExt"/>
      </w:rPr>
      <w:t>&lt;/NoPE&gt;&lt;Version&gt;</w:t>
    </w:r>
    <w:r w:rsidRPr="00A732EB">
      <w:t>v01-00</w:t>
    </w:r>
    <w:r w:rsidRPr="00A732EB">
      <w:rPr>
        <w:rStyle w:val="HideTWBExt"/>
      </w:rPr>
      <w:t>&lt;/Version&gt;</w:t>
    </w:r>
  </w:p>
  <w:p w:rsidR="0048211B" w:rsidRPr="00A732EB" w:rsidRDefault="00A732EB" w:rsidP="00A732EB">
    <w:pPr>
      <w:pStyle w:val="EPFooter2"/>
    </w:pPr>
    <w:r w:rsidRPr="00A732EB">
      <w:t>SV</w:t>
    </w:r>
    <w:r w:rsidRPr="00A732EB">
      <w:tab/>
    </w:r>
    <w:r w:rsidRPr="00A732EB">
      <w:rPr>
        <w:b w:val="0"/>
        <w:i/>
        <w:color w:val="C0C0C0"/>
        <w:sz w:val="22"/>
      </w:rPr>
      <w:t>Förenade i mångfalden</w:t>
    </w:r>
    <w:r w:rsidRPr="00A732EB">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11B" w:rsidRPr="00A732EB" w:rsidRDefault="00F22AF7">
      <w:r w:rsidRPr="00A732EB">
        <w:separator/>
      </w:r>
    </w:p>
  </w:footnote>
  <w:footnote w:type="continuationSeparator" w:id="0">
    <w:p w:rsidR="0048211B" w:rsidRPr="00A732EB" w:rsidRDefault="00F22AF7">
      <w:r w:rsidRPr="00A732EB">
        <w:continuationSeparator/>
      </w:r>
    </w:p>
  </w:footnote>
  <w:footnote w:id="1">
    <w:p w:rsidR="0048211B" w:rsidRPr="00F22AF7" w:rsidRDefault="00F22AF7">
      <w:pPr>
        <w:pStyle w:val="FootnoteText"/>
      </w:pPr>
      <w:r w:rsidRPr="00F22AF7">
        <w:rPr>
          <w:rStyle w:val="FootnoteReference"/>
        </w:rPr>
        <w:footnoteRef/>
      </w:r>
      <w:r w:rsidRPr="00F22AF7">
        <w:t xml:space="preserve"> EUT C 307, 31.8.2023, s. 19.</w:t>
      </w:r>
    </w:p>
  </w:footnote>
  <w:footnote w:id="2">
    <w:p w:rsidR="0048211B" w:rsidRPr="00F22AF7" w:rsidRDefault="00F22AF7">
      <w:pPr>
        <w:pStyle w:val="FootnoteText"/>
      </w:pPr>
      <w:r w:rsidRPr="00F22AF7">
        <w:rPr>
          <w:rStyle w:val="FootnoteReference"/>
        </w:rPr>
        <w:footnoteRef/>
      </w:r>
      <w:r w:rsidRPr="00F22AF7">
        <w:t xml:space="preserve"> Ännu ej offentliggjort i EUT.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F7" w:rsidRDefault="00F22A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F7" w:rsidRDefault="00F22A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F7" w:rsidRDefault="00F22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CON"/>
    <w:docVar w:name="CopyToNetwork" w:val="-1"/>
    <w:docVar w:name="CVar" w:val="2"/>
    <w:docVar w:name="DOCMNU" w:val=" 2"/>
    <w:docVar w:name="EPOJMNU" w:val=" 3"/>
    <w:docVar w:name="EPSTATMNU" w:val=" 1"/>
    <w:docVar w:name="EPSTATPLURMNU" w:val=" 1"/>
    <w:docVar w:name="iNoAmend" w:val="2"/>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58872 HideTWBExt;}{\*\cs18 \additive \v\f1\fs20\cf15 _x000d__x000a_\spriority0 \styrsid16658872 HideTWBInt;}{\s19\ql \li0\ri0\sa120\nowidctlpar\wrapdefault\aspalpha\aspnum\faauto\adjustright\rin0\lin0\itap0 \rtlch\fcs1 \af0\afs20\alang1025 \ltrch\fcs0 \fs24\lang2057\langfe2057\cgrid\langnp2057\langfenp2057 _x000d__x000a_\sbasedon0 \snext19 \spriority0 \styrsid16658872 Normal6a;}{\s20\ql \li0\ri0\nowidctlpar\wrapdefault\aspalpha\aspnum\faauto\adjustright\rin0\lin0\itap0 \rtlch\fcs1 \af0\afs20\alang1025 \ltrch\fcs0 \b\fs24\lang2057\langfe2057\cgrid\langnp2057\langfenp2057 _x000d__x000a_\sbasedon0 \snext20 \spriority0 \styrsid16658872 NormalBold;}{\s21\ql \li0\ri0\sa240\nowidctlpar\wrapdefault\aspalpha\aspnum\faauto\adjustright\rin0\lin0\itap0 \rtlch\fcs1 \af0\afs20\alang1025 \ltrch\fcs0 _x000d__x000a_\i\fs24\lang2057\langfe2057\cgrid\langnp2057\langfenp2057 \sbasedon0 \snext21 \spriority0 \styrsid16658872 AmJustText;}{\s22\qc \li0\ri0\sb240\sa240\nowidctlpar\wrapdefault\aspalpha\aspnum\faauto\adjustright\rin0\lin0\itap0 \rtlch\fcs1 _x000d__x000a_\af0\afs20\alang1025 \ltrch\fcs0 \i\fs24\lang2057\langfe2057\cgrid\langnp2057\langfenp2057 \sbasedon0 \snext22 \spriority0 \styrsid16658872 AmCrossRef;}{_x000d__x000a_\s23\qc \li0\ri0\sb240\sa240\keepn\nowidctlpar\wrapdefault\aspalpha\aspnum\faauto\adjustright\rin0\lin0\itap0 \rtlch\fcs1 \af0\afs20\alang1025 \ltrch\fcs0 \i\fs24\lang2057\langfe2057\cgrid\langnp2057\langfenp2057 _x000d__x000a_\sbasedon0 \snext21 \spriority0 \styrsid16658872 AmJustTitle;}{\s24\qr \li0\ri0\sb240\sa240\nowidctlpar\wrapdefault\aspalpha\aspnum\faauto\adjustright\rin0\lin0\itap0 \rtlch\fcs1 \af0\afs20\alang1025 \ltrch\fcs0 _x000d__x000a_\fs24\lang2057\langfe2057\cgrid\langnp2057\langfenp2057 \sbasedon0 \snext24 \spriority0 \styrsid16658872 AmOrLang;}{\s25\qc \li0\ri0\sa240\nowidctlpar\wrapdefault\aspalpha\aspnum\faauto\adjustright\rin0\lin0\itap0 \rtlch\fcs1 \af0\afs20\alang1025 _x000d__x000a_\ltrch\fcs0 \i\fs24\lang2057\langfe2057\cgrid\langnp2057\langfenp2057 \sbasedon0 \snext25 \spriority0 \styrsid166588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658872 AmNumberTabs;}{\s27\ql \li0\ri0\sb240\nowidctlpar\wrapdefault\aspalpha\aspnum\faauto\adjustright\rin0\lin0\itap0 \rtlch\fcs1 _x000d__x000a_\af0\afs20\alang1025 \ltrch\fcs0 \b\fs24\lang2057\langfe2057\cgrid\langnp2057\langfenp2057 \sbasedon0 \snext27 \spriority0 \styrsid16658872 NormalBold12b;}}{\*\rsidtbl \rsid24658\rsid223860\rsid735077\rsid1718133\rsid2892074\rsid3565327\rsid4666813_x000d__x000a_\rsid6641733\rsid7602181\rsid7823322\rsid9636012\rsid10377208\rsid11215221\rsid11549030\rsid12154954\rsid14382809\rsid14424199\rsid15204470\rsid15285974\rsid15950462\rsid16324206\rsid16658872\rsid16662270}{\mmathPr\mmathFont34\mbrkBin0\mbrkBinSub0_x000d__x000a_\msmallFrac0\mdispDef1\mlMargin0\mrMargin0\mdefJc1\mwrapIndent1440\mintLim0\mnaryLim1}{\info{\author TURLUI Emil-Gabriel}{\operator TURLUI Emil-Gabriel}{\creatim\yr2023\mo9\dy8\hr15\min57}{\revtim\yr2023\mo9\dy8\hr15\min57}{\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58872\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7602181 \chftnsep _x000d__x000a_\par }}{\*\ftnsepc \ltrpar \pard\plain \ltrpar\ql \li0\ri0\widctlpar\wrapdefault\aspalpha\aspnum\faauto\adjustright\rin0\lin0\itap0 \rtlch\fcs1 \af0\afs20\alang1025 \ltrch\fcs0 \fs24\lang2057\langfe2057\cgrid\langnp2057\langfenp2057 {\rtlch\fcs1 \af0 _x000d__x000a_\ltrch\fcs0 \insrsid7602181 \chftnsepc _x000d__x000a_\par }}{\*\aftnsep \ltrpar \pard\plain \ltrpar\ql \li0\ri0\widctlpar\wrapdefault\aspalpha\aspnum\faauto\adjustright\rin0\lin0\itap0 \rtlch\fcs1 \af0\afs20\alang1025 \ltrch\fcs0 \fs24\lang2057\langfe2057\cgrid\langnp2057\langfenp2057 {\rtlch\fcs1 \af0 _x000d__x000a_\ltrch\fcs0 \insrsid7602181 \chftnsep _x000d__x000a_\par }}{\*\aftnsepc \ltrpar \pard\plain \ltrpar\ql \li0\ri0\widctlpar\wrapdefault\aspalpha\aspnum\faauto\adjustright\rin0\lin0\itap0 \rtlch\fcs1 \af0\afs20\alang1025 \ltrch\fcs0 \fs24\lang2057\langfe2057\cgrid\langnp2057\langfenp2057 {\rtlch\fcs1 \af0 _x000d__x000a_\ltrch\fcs0 \insrsid76021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658872 \rtlch\fcs1 _x000d__x000a_\af0\afs20\alang1025 \ltrch\fcs0 \b\fs24\lang2057\langfe2057\cgrid\langnp2057\langfenp2057 {\rtlch\fcs1 \af0 \ltrch\fcs0 \cs17\b0\v\fs20\cf9\lang1024\langfe1024\loch\af1\hich\af1\dbch\af31501\noproof\insrsid16658872\charrsid6768093 {\*\bkmkstart restart}_x000d__x000a_\hich\af1\dbch\af31501\loch\f1 &lt;Amend&gt;}{\rtlch\fcs1 \af0 \ltrch\fcs0 \insrsid16658872\charrsid6768093 Amendment\tab \tab }{\rtlch\fcs1 \af0 \ltrch\fcs0 _x000d__x000a_\cs17\b0\v\fs20\cf9\lang1024\langfe1024\loch\af1\hich\af1\dbch\af31501\noproof\insrsid16658872\charrsid6768093 \hich\af1\dbch\af31501\loch\f1 &lt;NumAm&gt;}{\rtlch\fcs1 \af0 \ltrch\fcs0 \insrsid16658872\charrsid6768093 #}{\rtlch\fcs1 \af1 \ltrch\fcs0 _x000d__x000a_\cs18\v\f1\fs20\cf15\insrsid16658872\charrsid6768093 ENMIENDA@NRAM@}{\rtlch\fcs1 \af0 \ltrch\fcs0 \insrsid16658872\charrsid6768093 #}{\rtlch\fcs1 \af0 \ltrch\fcs0 _x000d__x000a_\cs17\b0\v\fs20\cf9\lang1024\langfe1024\loch\af1\hich\af1\dbch\af31501\noproof\insrsid16658872\charrsid6768093 \hich\af1\dbch\af31501\loch\f1 &lt;/NumAm&gt;}{\rtlch\fcs1 \af0 \ltrch\fcs0 \insrsid16658872\charrsid6768093 _x000d__x000a_\par }\pard\plain \ltrpar\s27\ql \li0\ri0\sb240\keepn\nowidctlpar\wrapdefault\aspalpha\aspnum\faauto\adjustright\rin0\lin0\itap0\pararsid16658872 \rtlch\fcs1 \af0\afs20\alang1025 \ltrch\fcs0 \b\fs24\lang2057\langfe2057\cgrid\langnp2057\langfenp2057 {_x000d__x000a_\rtlch\fcs1 \af0 \ltrch\fcs0 \cs17\b0\v\fs20\cf9\lang1024\langfe1024\loch\af1\hich\af1\dbch\af31501\noproof\insrsid16658872\charrsid6768093 \hich\af1\dbch\af31501\loch\f1 &lt;DocAmend&gt;}{\rtlch\fcs1 \af0 \ltrch\fcs0 \insrsid16658872\charrsid6768093 _x000d__x000a_Proposal for a #}{\rtlch\fcs1 \af1 \ltrch\fcs0 \cs18\v\f1\fs20\cf15\insrsid16658872\charrsid6768093 MNU[DOC1][DOC2][DOC3]@DOCMSG@DOCMNU}{\rtlch\fcs1 \af0 \ltrch\fcs0 \insrsid16658872\charrsid6768093 ##}{\rtlch\fcs1 \af1 \ltrch\fcs0 _x000d__x000a_\cs18\v\f1\fs20\cf15\insrsid16658872\charrsid6768093 MNU[AMACTYES][NOTAPP]@CHOICE@AMACTMNU}{\rtlch\fcs1 \af0 \ltrch\fcs0 \insrsid16658872\charrsid6768093 #}{\rtlch\fcs1 \af0 \ltrch\fcs0 _x000d__x000a_\cs17\b0\v\fs20\cf9\lang1024\langfe1024\loch\af1\hich\af1\dbch\af31501\noproof\insrsid16658872\charrsid6768093 \hich\af1\dbch\af31501\loch\f1 &lt;/DocAmend&gt;}{\rtlch\fcs1 \af0 \ltrch\fcs0 \insrsid16658872\charrsid6768093 _x000d__x000a_\par }\pard\plain \ltrpar\s20\ql \li0\ri0\keepn\nowidctlpar\wrapdefault\aspalpha\aspnum\faauto\adjustright\rin0\lin0\itap0\pararsid16658872 \rtlch\fcs1 \af0\afs20\alang1025 \ltrch\fcs0 \b\fs24\lang2057\langfe2057\cgrid\langnp2057\langfenp2057 {\rtlch\fcs1 _x000d__x000a_\af0 \ltrch\fcs0 \cs17\b0\v\fs20\cf9\lang1024\langfe1024\loch\af1\hich\af1\dbch\af31501\noproof\insrsid16658872\charrsid6768093 \hich\af1\dbch\af31501\loch\f1 &lt;Article&gt;}{\rtlch\fcs1 \af0 \ltrch\fcs0 \insrsid16658872\charrsid6768093 #}{\rtlch\fcs1 \af1 _x000d__x000a_\ltrch\fcs0 \cs18\v\f1\fs20\cf15\insrsid16658872\charrsid6768093 MNU[AMACTPARTYES][AMACTPARTNO]@CHOICE@AMACTMNU}{\rtlch\fcs1 \af0 \ltrch\fcs0 \insrsid16658872\charrsid6768093 #}{\rtlch\fcs1 \af0 \ltrch\fcs0 _x000d__x000a_\cs17\b0\v\fs20\cf9\lang1024\langfe1024\loch\af1\hich\af1\dbch\af31501\noproof\insrsid16658872\charrsid6768093 \hich\af1\dbch\af31501\loch\f1 &lt;/Article&gt;}{\rtlch\fcs1 \af0 \ltrch\fcs0 \insrsid16658872\charrsid6768093 _x000d__x000a_\par }\pard\plain \ltrpar\ql \li0\ri0\keepn\widctlpar\wrapdefault\aspalpha\aspnum\faauto\adjustright\rin0\lin0\itap0\pararsid16658872 \rtlch\fcs1 \af0\afs20\alang1025 \ltrch\fcs0 \fs24\lang2057\langfe2057\cgrid\langnp2057\langfenp2057 {\rtlch\fcs1 \af0 _x000d__x000a_\ltrch\fcs0 \cs17\v\fs20\cf9\lang1024\langfe1024\loch\af1\hich\af1\dbch\af31501\noproof\insrsid16658872\charrsid6768093 \hich\af1\dbch\af31501\loch\f1 &lt;DocAmend2&gt;&lt;OptDel&gt;}{\rtlch\fcs1 \af0 \ltrch\fcs0 \insrsid16658872\charrsid6768093 #}{\rtlch\fcs1 \af1 _x000d__x000a_\ltrch\fcs0 \cs18\v\f1\fs20\cf15\insrsid16658872\charrsid6768093 MNU[OPTNRACTYES][NOTAPP]@CHOICE@AMACTMNU}{\rtlch\fcs1 \af0 \ltrch\fcs0 \insrsid16658872\charrsid6768093 #}{\rtlch\fcs1 \af0 \ltrch\fcs0 _x000d__x000a_\cs17\v\fs20\cf9\lang1024\langfe1024\loch\af1\hich\af1\dbch\af31501\noproof\insrsid16658872\charrsid6768093 \hich\af1\dbch\af31501\loch\f1 &lt;/OptDel&gt;&lt;/DocAmend2&gt;}{\rtlch\fcs1 \af0 \ltrch\fcs0 \insrsid16658872\charrsid6768093 _x000d__x000a_\par }\pard \ltrpar\ql \li0\ri0\widctlpar\wrapdefault\aspalpha\aspnum\faauto\adjustright\rin0\lin0\itap0\pararsid16658872 {\rtlch\fcs1 \af0 \ltrch\fcs0 \cs17\v\fs20\cf9\lang1024\langfe1024\loch\af1\hich\af1\dbch\af31501\noproof\insrsid16658872\charrsid6768093 _x000d__x000a_\hich\af1\dbch\af31501\loch\f1 &lt;Article2&gt;&lt;OptDel&gt;}{\rtlch\fcs1 \af0 \ltrch\fcs0 \insrsid16658872\charrsid6768093 #}{\rtlch\fcs1 \af1 \ltrch\fcs0 \cs18\v\f1\fs20\cf15\insrsid16658872\charrsid6768093 MNU[OPTACTPARTYES][NOTAPP]@CHOICE@AMACTMNU}{\rtlch\fcs1 _x000d__x000a_\af0 \ltrch\fcs0 \insrsid16658872\charrsid6768093 #}{\rtlch\fcs1 \af0 \ltrch\fcs0 \cs17\v\fs20\cf9\lang1024\langfe1024\loch\af1\hich\af1\dbch\af31501\noproof\insrsid16658872\charrsid6768093 \hich\af1\dbch\af31501\loch\f1 &lt;/OptDel&gt;&lt;/Article2&gt;}{\rtlch\fcs1 _x000d__x000a_\af0 \ltrch\fcs0 \insrsid16658872\charrsid676809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6658872\charrsid6768093 #}{\rtlch\fcs1 \af1 \ltrch\fcs0 \cs18\v\f1\fs20\cf15\insrsid16658872\charrsid6768093 MNU[OPTLEFTAMACT][LEFTPROP]@CHOICE@AMACTMNU}{\rtlch\fcs1 \af0 \ltrch\fcs0 \insrsid16658872\charrsid6768093 #\cell Amendment\cell _x000d__x000a_}\pard\plain \ltrpar\ql \li0\ri0\widctlpar\intbl\wrapdefault\aspalpha\aspnum\faauto\adjustright\rin0\lin0 \rtlch\fcs1 \af0\afs20\alang1025 \ltrch\fcs0 \fs24\lang2057\langfe2057\cgrid\langnp2057\langfenp2057 {\rtlch\fcs1 \af0 \ltrch\fcs0 _x000d__x000a_\insrsid16658872\charrsid676809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6658872\charrsid6768093 ##\cell ##}{\rtlch\fcs1 \af0\afs24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658872 \rtlch\fcs1 \af0\afs20\alang1025 \ltrch\fcs0 \fs24\lang2057\langfe2057\cgrid\langnp2057\langfenp2057 {\rtlch\fcs1 \af0 \ltrch\fcs0 _x000d__x000a_\insrsid16658872\charrsid6768093 Or. }{\rtlch\fcs1 \af0 \ltrch\fcs0 \cs17\v\fs20\cf9\lang1024\langfe1024\loch\af1\hich\af1\dbch\af31501\noproof\insrsid16658872\charrsid6768093 \hich\af1\dbch\af31501\loch\f1 &lt;Original&gt;}{\rtlch\fcs1 \af0 \ltrch\fcs0 _x000d__x000a_\insrsid16658872\charrsid6768093 #}{\rtlch\fcs1 \af1 \ltrch\fcs0 \cs18\v\f1\fs20\cf15\insrsid16658872\charrsid6768093 MNU[ORLANGONE][ORLANGMORE]@CHOICE@ORLANGMNU}{\rtlch\fcs1 \af0 \ltrch\fcs0 \insrsid16658872\charrsid6768093 #}{\rtlch\fcs1 \af0 _x000d__x000a_\ltrch\fcs0 \cs17\v\fs20\cf9\lang1024\langfe1024\loch\af1\hich\af1\dbch\af31501\noproof\insrsid16658872\charrsid6768093 \hich\af1\dbch\af31501\loch\f1 &lt;/Original&gt;}{\rtlch\fcs1 \af0 \ltrch\fcs0 \insrsid16658872\charrsid6768093 _x000d__x000a_\par }\pard\plain \ltrpar\s22\qc \li0\ri0\sb240\sa240\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OptDel&gt;}{\rtlch\fcs1 \af0 \ltrch\fcs0 \insrsid16658872\charrsid6768093 #}{_x000d__x000a_\rtlch\fcs1 \af1 \ltrch\fcs0 \cs18\v\f1\fs20\cf15\insrsid16658872\charrsid6768093 MNU[CROSSREFNO][CROSSREFYES]@CHOICE@}{\rtlch\fcs1 \af0 \ltrch\fcs0 \insrsid16658872\charrsid6768093 #}{\rtlch\fcs1 \af0 \ltrch\fcs0 _x000d__x000a_\cs17\i0\v\fs20\cf9\lang1024\langfe1024\loch\af1\hich\af1\dbch\af31501\noproof\insrsid16658872\charrsid6768093 \hich\af1\dbch\af31501\loch\f1 &lt;/OptDel&gt;}{\rtlch\fcs1 \af0 \ltrch\fcs0 \insrsid16658872\charrsid6768093 _x000d__x000a_\par }\pard\plain \ltrpar\s23\qc \li0\ri0\sb240\sa240\keepn\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TitreJust&gt;}{\rtlch\fcs1 \af0 \ltrch\fcs0 \insrsid16658872\charrsid6768093 _x000d__x000a_Justification}{\rtlch\fcs1 \af0 \ltrch\fcs0 \cs17\i0\v\fs20\cf9\lang1024\langfe1024\loch\af1\hich\af1\dbch\af31501\noproof\insrsid16658872\charrsid6768093 \hich\af1\dbch\af31501\loch\f1 &lt;/TitreJust&gt;}{\rtlch\fcs1 \af0 \ltrch\fcs0 _x000d__x000a_\insrsid16658872\charrsid6768093 _x000d__x000a_\par }\pard\plain \ltrpar\s21\ql \li0\ri0\sa240\nowidctlpar\wrapdefault\aspalpha\aspnum\faauto\adjustright\rin0\lin0\itap0\pararsid16658872 \rtlch\fcs1 \af0\afs20\alang1025 \ltrch\fcs0 \i\fs24\lang2057\langfe2057\cgrid\langnp2057\langfenp2057 {\rtlch\fcs1 _x000d__x000a_\af0 \ltrch\fcs0 \cs17\i0\v\fs20\cf9\lang1024\langfe1024\loch\af1\hich\af1\dbch\af31501\noproof\insrsid16658872\charrsid6768093 \hich\af1\dbch\af31501\loch\f1 &lt;OptDelPrev&gt;}{\rtlch\fcs1 \af0 \ltrch\fcs0 \insrsid16658872\charrsid6768093 #}{\rtlch\fcs1 \af1 _x000d__x000a_\ltrch\fcs0 \cs18\v\f1\fs20\cf15\insrsid16658872\charrsid6768093 MNU[TEXTJUSTYES][TEXTJUSTNO]@CHOICE@}{\rtlch\fcs1 \af0 \ltrch\fcs0 \insrsid16658872\charrsid6768093 #}{\rtlch\fcs1 \af0 \ltrch\fcs0 _x000d__x000a_\cs17\i0\v\fs20\cf9\lang1024\langfe1024\loch\af1\hich\af1\dbch\af31501\noproof\insrsid16658872\charrsid6768093 \hich\af1\dbch\af31501\loch\f1 &lt;/OptDelPrev&gt;}{\rtlch\fcs1 \af0 \ltrch\fcs0 \insrsid16658872\charrsid6768093 _x000d__x000a_\par }\pard\plain \ltrpar\ql \li0\ri0\widctlpar\wrapdefault\aspalpha\aspnum\faauto\adjustright\rin0\lin0\itap0\pararsid16658872 \rtlch\fcs1 \af0\afs20\alang1025 \ltrch\fcs0 \fs24\lang2057\langfe2057\cgrid\langnp2057\langfenp2057 {\rtlch\fcs1 \af0 \ltrch\fcs0 _x000d__x000a_\cs17\v\fs20\cf9\lang1024\langfe1024\loch\af1\hich\af1\dbch\af31501\noproof\insrsid16658872\charrsid676809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2_x000d__x000a_bc655c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VTAMPART" w:val="Recital 1"/>
    <w:docVar w:name="TXTAUTHOR" w:val="Jonás Fernández"/>
    <w:docVar w:name="TXTLANGUE" w:val="EN"/>
    <w:docVar w:name="TXTLANGUEMIN" w:val="en"/>
    <w:docVar w:name="TXTNRC" w:val="0134/2023"/>
    <w:docVar w:name="TXTNRCOD" w:val="2023/0113"/>
    <w:docVar w:name="TXTNRCOM" w:val="(2023)0229"/>
    <w:docVar w:name="TXTNRFIRSTAM" w:val="1"/>
    <w:docVar w:name="TXTNRLASTAM" w:val="2"/>
    <w:docVar w:name="TXTNRPE" w:val="752.913"/>
    <w:docVar w:name="TXTPEorAP" w:val="PE"/>
    <w:docVar w:name="TXTROUTE" w:val="PR\1285454EN.docx"/>
    <w:docVar w:name="TXTTITLE" w:val="amending Directive 2014/59/EU and Regulation (EU) No 806/2014 as regards certain aspects of the minimum requirement for own funds and eligible liabilities"/>
    <w:docVar w:name="TXTVERSION" w:val="01-00"/>
  </w:docVars>
  <w:rsids>
    <w:rsidRoot w:val="006745DD"/>
    <w:rsid w:val="00011AAB"/>
    <w:rsid w:val="00012351"/>
    <w:rsid w:val="000139E5"/>
    <w:rsid w:val="00084DD2"/>
    <w:rsid w:val="00084E89"/>
    <w:rsid w:val="000A7B09"/>
    <w:rsid w:val="000B7489"/>
    <w:rsid w:val="000F1096"/>
    <w:rsid w:val="00120948"/>
    <w:rsid w:val="00123DD5"/>
    <w:rsid w:val="001277AE"/>
    <w:rsid w:val="00142215"/>
    <w:rsid w:val="001767E2"/>
    <w:rsid w:val="00187008"/>
    <w:rsid w:val="001B3829"/>
    <w:rsid w:val="001C01EE"/>
    <w:rsid w:val="001C5592"/>
    <w:rsid w:val="001C5B44"/>
    <w:rsid w:val="001C63AC"/>
    <w:rsid w:val="001C6FFC"/>
    <w:rsid w:val="001F7C7C"/>
    <w:rsid w:val="00212B84"/>
    <w:rsid w:val="002346B0"/>
    <w:rsid w:val="002667C3"/>
    <w:rsid w:val="002669B6"/>
    <w:rsid w:val="00290BED"/>
    <w:rsid w:val="002D13EE"/>
    <w:rsid w:val="002E33EE"/>
    <w:rsid w:val="002F40BB"/>
    <w:rsid w:val="002F4B02"/>
    <w:rsid w:val="00323EF8"/>
    <w:rsid w:val="00325A50"/>
    <w:rsid w:val="003316DD"/>
    <w:rsid w:val="00366A46"/>
    <w:rsid w:val="00370AC3"/>
    <w:rsid w:val="003824EE"/>
    <w:rsid w:val="003B4689"/>
    <w:rsid w:val="003C2068"/>
    <w:rsid w:val="003C37CF"/>
    <w:rsid w:val="004100B1"/>
    <w:rsid w:val="00426E47"/>
    <w:rsid w:val="00455743"/>
    <w:rsid w:val="00461601"/>
    <w:rsid w:val="0046639E"/>
    <w:rsid w:val="00467F7B"/>
    <w:rsid w:val="0048211B"/>
    <w:rsid w:val="004C0915"/>
    <w:rsid w:val="004D424E"/>
    <w:rsid w:val="004E42C8"/>
    <w:rsid w:val="004E733D"/>
    <w:rsid w:val="004F3FA5"/>
    <w:rsid w:val="0051271F"/>
    <w:rsid w:val="00521F46"/>
    <w:rsid w:val="00551111"/>
    <w:rsid w:val="00551123"/>
    <w:rsid w:val="00557C21"/>
    <w:rsid w:val="00570A6A"/>
    <w:rsid w:val="00586E50"/>
    <w:rsid w:val="0059583D"/>
    <w:rsid w:val="005A42D9"/>
    <w:rsid w:val="005C2BEF"/>
    <w:rsid w:val="005D1A99"/>
    <w:rsid w:val="005D7609"/>
    <w:rsid w:val="005D7EE8"/>
    <w:rsid w:val="00620AA8"/>
    <w:rsid w:val="00642325"/>
    <w:rsid w:val="006606A1"/>
    <w:rsid w:val="006745DD"/>
    <w:rsid w:val="00682F54"/>
    <w:rsid w:val="006A17A3"/>
    <w:rsid w:val="006A1920"/>
    <w:rsid w:val="006A2F5D"/>
    <w:rsid w:val="006F1136"/>
    <w:rsid w:val="006F7907"/>
    <w:rsid w:val="00743189"/>
    <w:rsid w:val="00743D33"/>
    <w:rsid w:val="007932B3"/>
    <w:rsid w:val="00793EA9"/>
    <w:rsid w:val="007D6F68"/>
    <w:rsid w:val="00823E6B"/>
    <w:rsid w:val="00826780"/>
    <w:rsid w:val="00837CCD"/>
    <w:rsid w:val="00862812"/>
    <w:rsid w:val="008633CC"/>
    <w:rsid w:val="00865190"/>
    <w:rsid w:val="008719B9"/>
    <w:rsid w:val="00894ECE"/>
    <w:rsid w:val="00896BB4"/>
    <w:rsid w:val="008A7FB8"/>
    <w:rsid w:val="008C37B3"/>
    <w:rsid w:val="008F652F"/>
    <w:rsid w:val="009022B8"/>
    <w:rsid w:val="00914537"/>
    <w:rsid w:val="00917CC4"/>
    <w:rsid w:val="00932D06"/>
    <w:rsid w:val="009763DA"/>
    <w:rsid w:val="009975B3"/>
    <w:rsid w:val="009A216D"/>
    <w:rsid w:val="009B4B93"/>
    <w:rsid w:val="009F24BE"/>
    <w:rsid w:val="009F6C2F"/>
    <w:rsid w:val="009F767A"/>
    <w:rsid w:val="00A22533"/>
    <w:rsid w:val="00A26F46"/>
    <w:rsid w:val="00A34FD3"/>
    <w:rsid w:val="00A36929"/>
    <w:rsid w:val="00A50548"/>
    <w:rsid w:val="00A60EE7"/>
    <w:rsid w:val="00A732EB"/>
    <w:rsid w:val="00A910C9"/>
    <w:rsid w:val="00AA35B0"/>
    <w:rsid w:val="00AB59CE"/>
    <w:rsid w:val="00AD18C8"/>
    <w:rsid w:val="00AD7FA6"/>
    <w:rsid w:val="00AE4643"/>
    <w:rsid w:val="00AF0416"/>
    <w:rsid w:val="00B10CB4"/>
    <w:rsid w:val="00B13D6F"/>
    <w:rsid w:val="00B17848"/>
    <w:rsid w:val="00B23B72"/>
    <w:rsid w:val="00B42702"/>
    <w:rsid w:val="00B57B8B"/>
    <w:rsid w:val="00B85407"/>
    <w:rsid w:val="00B95702"/>
    <w:rsid w:val="00BC6489"/>
    <w:rsid w:val="00BD480C"/>
    <w:rsid w:val="00BE22DA"/>
    <w:rsid w:val="00C10E7F"/>
    <w:rsid w:val="00C20954"/>
    <w:rsid w:val="00C23324"/>
    <w:rsid w:val="00C31971"/>
    <w:rsid w:val="00C42A41"/>
    <w:rsid w:val="00C47E74"/>
    <w:rsid w:val="00C57A72"/>
    <w:rsid w:val="00C73602"/>
    <w:rsid w:val="00CF60C8"/>
    <w:rsid w:val="00D30DE2"/>
    <w:rsid w:val="00D32924"/>
    <w:rsid w:val="00D503A3"/>
    <w:rsid w:val="00D73518"/>
    <w:rsid w:val="00DA0796"/>
    <w:rsid w:val="00DA6ED0"/>
    <w:rsid w:val="00DC5011"/>
    <w:rsid w:val="00E171B6"/>
    <w:rsid w:val="00E70D3B"/>
    <w:rsid w:val="00E72695"/>
    <w:rsid w:val="00EB1753"/>
    <w:rsid w:val="00EB6CFF"/>
    <w:rsid w:val="00EE3996"/>
    <w:rsid w:val="00F07062"/>
    <w:rsid w:val="00F22AF7"/>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A1CD29"/>
  <w15:chartTrackingRefBased/>
  <w15:docId w15:val="{4DFF2750-D27A-4F52-B6FB-B2D7BB6C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F1136"/>
    <w:pPr>
      <w:tabs>
        <w:tab w:val="right" w:pos="454"/>
        <w:tab w:val="left" w:pos="737"/>
      </w:tabs>
      <w:ind w:left="737" w:hanging="737"/>
    </w:pPr>
    <w:rPr>
      <w:snapToGrid w:val="0"/>
      <w:sz w:val="18"/>
      <w:lang w:eastAsia="en-US"/>
    </w:rPr>
  </w:style>
  <w:style w:type="paragraph" w:customStyle="1" w:styleId="Lgendetitre">
    <w:name w:val="Légende titre"/>
    <w:basedOn w:val="Normal"/>
    <w:rsid w:val="006F1136"/>
    <w:pPr>
      <w:spacing w:before="240" w:after="240"/>
    </w:pPr>
    <w:rPr>
      <w:b/>
      <w:i/>
      <w:snapToGrid w:val="0"/>
      <w:lang w:eastAsia="en-US"/>
    </w:rPr>
  </w:style>
  <w:style w:type="paragraph" w:customStyle="1" w:styleId="Lgendestandard">
    <w:name w:val="Légende standard"/>
    <w:basedOn w:val="Normal"/>
    <w:rsid w:val="006F1136"/>
    <w:rPr>
      <w:sz w:val="18"/>
    </w:rPr>
  </w:style>
  <w:style w:type="paragraph" w:styleId="FootnoteText">
    <w:name w:val="footnote text"/>
    <w:basedOn w:val="Normal"/>
    <w:link w:val="FootnoteTextChar"/>
    <w:rsid w:val="006F1136"/>
    <w:rPr>
      <w:sz w:val="20"/>
    </w:rPr>
  </w:style>
  <w:style w:type="character" w:customStyle="1" w:styleId="FootnoteTextChar">
    <w:name w:val="Footnote Text Char"/>
    <w:basedOn w:val="DefaultParagraphFont"/>
    <w:link w:val="FootnoteText"/>
    <w:rsid w:val="006F1136"/>
  </w:style>
  <w:style w:type="character" w:styleId="FootnoteReference">
    <w:name w:val="footnote reference"/>
    <w:basedOn w:val="DefaultParagraphFont"/>
    <w:rsid w:val="006F1136"/>
    <w:rPr>
      <w:vertAlign w:val="superscript"/>
    </w:rPr>
  </w:style>
  <w:style w:type="character" w:customStyle="1" w:styleId="Normal6Char">
    <w:name w:val="Normal6 Char"/>
    <w:basedOn w:val="DefaultParagraphFont"/>
    <w:link w:val="Normal6"/>
    <w:locked/>
    <w:rsid w:val="00932D06"/>
    <w:rPr>
      <w:sz w:val="24"/>
      <w:lang w:val="sv-SE"/>
    </w:rPr>
  </w:style>
  <w:style w:type="paragraph" w:customStyle="1" w:styleId="Normal6">
    <w:name w:val="Normal6"/>
    <w:basedOn w:val="Normal"/>
    <w:link w:val="Normal6Char"/>
    <w:rsid w:val="00932D06"/>
    <w:pPr>
      <w:spacing w:after="120"/>
    </w:pPr>
  </w:style>
  <w:style w:type="character" w:customStyle="1" w:styleId="NormalBoldChar">
    <w:name w:val="NormalBold Char"/>
    <w:basedOn w:val="DefaultParagraphFont"/>
    <w:link w:val="NormalBold"/>
    <w:locked/>
    <w:rsid w:val="00932D06"/>
    <w:rPr>
      <w:b/>
      <w:sz w:val="24"/>
    </w:rPr>
  </w:style>
  <w:style w:type="paragraph" w:customStyle="1" w:styleId="ColumnHeading">
    <w:name w:val="ColumnHeading"/>
    <w:basedOn w:val="Normal"/>
    <w:rsid w:val="00932D06"/>
    <w:pPr>
      <w:spacing w:after="240"/>
      <w:jc w:val="center"/>
    </w:pPr>
    <w:rPr>
      <w:i/>
    </w:rPr>
  </w:style>
  <w:style w:type="paragraph" w:customStyle="1" w:styleId="AMNumberTabs0">
    <w:name w:val="AMNumberTabs"/>
    <w:basedOn w:val="Normal"/>
    <w:rsid w:val="00932D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32D06"/>
    <w:pPr>
      <w:jc w:val="right"/>
    </w:pPr>
  </w:style>
  <w:style w:type="paragraph" w:styleId="Footer">
    <w:name w:val="footer"/>
    <w:basedOn w:val="Normal"/>
    <w:link w:val="FooterChar"/>
    <w:semiHidden/>
    <w:rsid w:val="00932D06"/>
    <w:pPr>
      <w:tabs>
        <w:tab w:val="center" w:pos="4513"/>
        <w:tab w:val="right" w:pos="9026"/>
      </w:tabs>
    </w:pPr>
  </w:style>
  <w:style w:type="character" w:customStyle="1" w:styleId="FooterChar">
    <w:name w:val="Footer Char"/>
    <w:basedOn w:val="DefaultParagraphFont"/>
    <w:link w:val="Footer"/>
    <w:semiHidden/>
    <w:rsid w:val="00932D06"/>
    <w:rPr>
      <w:sz w:val="24"/>
    </w:rPr>
  </w:style>
  <w:style w:type="paragraph" w:styleId="BalloonText">
    <w:name w:val="Balloon Text"/>
    <w:basedOn w:val="Normal"/>
    <w:link w:val="BalloonTextChar"/>
    <w:semiHidden/>
    <w:unhideWhenUsed/>
    <w:rsid w:val="00557C21"/>
    <w:rPr>
      <w:rFonts w:ascii="Segoe UI" w:hAnsi="Segoe UI" w:cs="Segoe UI"/>
      <w:sz w:val="18"/>
      <w:szCs w:val="18"/>
    </w:rPr>
  </w:style>
  <w:style w:type="character" w:customStyle="1" w:styleId="BalloonTextChar">
    <w:name w:val="Balloon Text Char"/>
    <w:basedOn w:val="DefaultParagraphFont"/>
    <w:link w:val="BalloonText"/>
    <w:semiHidden/>
    <w:rsid w:val="00557C21"/>
    <w:rPr>
      <w:rFonts w:ascii="Segoe UI" w:hAnsi="Segoe UI" w:cs="Segoe UI"/>
      <w:sz w:val="18"/>
      <w:szCs w:val="18"/>
    </w:rPr>
  </w:style>
  <w:style w:type="character" w:styleId="CommentReference">
    <w:name w:val="annotation reference"/>
    <w:basedOn w:val="DefaultParagraphFont"/>
    <w:rsid w:val="001C63AC"/>
    <w:rPr>
      <w:sz w:val="16"/>
      <w:szCs w:val="16"/>
    </w:rPr>
  </w:style>
  <w:style w:type="paragraph" w:styleId="CommentText">
    <w:name w:val="annotation text"/>
    <w:basedOn w:val="Normal"/>
    <w:link w:val="CommentTextChar"/>
    <w:rsid w:val="001C63AC"/>
    <w:rPr>
      <w:sz w:val="20"/>
    </w:rPr>
  </w:style>
  <w:style w:type="character" w:customStyle="1" w:styleId="CommentTextChar">
    <w:name w:val="Comment Text Char"/>
    <w:basedOn w:val="DefaultParagraphFont"/>
    <w:link w:val="CommentText"/>
    <w:rsid w:val="001C63AC"/>
  </w:style>
  <w:style w:type="paragraph" w:styleId="CommentSubject">
    <w:name w:val="annotation subject"/>
    <w:basedOn w:val="CommentText"/>
    <w:next w:val="CommentText"/>
    <w:link w:val="CommentSubjectChar"/>
    <w:semiHidden/>
    <w:unhideWhenUsed/>
    <w:rsid w:val="001C63AC"/>
    <w:rPr>
      <w:b/>
      <w:bCs/>
    </w:rPr>
  </w:style>
  <w:style w:type="character" w:customStyle="1" w:styleId="CommentSubjectChar">
    <w:name w:val="Comment Subject Char"/>
    <w:basedOn w:val="CommentTextChar"/>
    <w:link w:val="CommentSubject"/>
    <w:semiHidden/>
    <w:rsid w:val="001C6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CD1A0-2E2E-410D-B177-7EEE15B46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5663</Words>
  <Characters>35907</Characters>
  <Application>Microsoft Office Word</Application>
  <DocSecurity>0</DocSecurity>
  <Lines>1238</Lines>
  <Paragraphs>278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TURLUI Emil-Gabriel</dc:creator>
  <cp:lastModifiedBy>POLDMA Margit</cp:lastModifiedBy>
  <cp:revision>2</cp:revision>
  <cp:lastPrinted>2004-11-04T09:41:00Z</cp:lastPrinted>
  <dcterms:created xsi:type="dcterms:W3CDTF">2023-09-26T09:52:00Z</dcterms:created>
  <dcterms:modified xsi:type="dcterms:W3CDTF">2023-09-26T09:52:00Z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1285454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PR\1285454SV.docx</vt:lpwstr>
  </property>
  <property fmtid="{D5CDD505-2E9C-101B-9397-08002B2CF9AE}" pid="10" name="LastEdited with">
    <vt:lpwstr>9.14.1 Build [20230315]</vt:lpwstr>
  </property>
  <property fmtid="{D5CDD505-2E9C-101B-9397-08002B2CF9AE}" pid="11" name="PE number">
    <vt:lpwstr>752.913</vt:lpwstr>
  </property>
  <property fmtid="{D5CDD505-2E9C-101B-9397-08002B2CF9AE}" pid="12" name="SDLStudio">
    <vt:lpwstr/>
  </property>
  <property fmtid="{D5CDD505-2E9C-101B-9397-08002B2CF9AE}" pid="13" name="SendToEpades">
    <vt:lpwstr>OK - 2023/09/11 11:42</vt:lpwstr>
  </property>
  <property fmtid="{D5CDD505-2E9C-101B-9397-08002B2CF9AE}" pid="14" name="Bookout">
    <vt:lpwstr>OK - 2023/09/26 11:52</vt:lpwstr>
  </property>
</Properties>
</file>