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872E8E" w:rsidRPr="00202735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72E8E" w:rsidRPr="00202735" w:rsidRDefault="00202735" w:rsidP="00C85D0F">
            <w:pPr>
              <w:pStyle w:val="EPName"/>
            </w:pPr>
            <w:r>
              <w:t>Evropský parlament</w:t>
            </w:r>
          </w:p>
          <w:p w:rsidR="00872E8E" w:rsidRPr="00B11CD2" w:rsidRDefault="00B11CD2" w:rsidP="00B11CD2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:rsidR="00872E8E" w:rsidRPr="00202735" w:rsidRDefault="00872E8E" w:rsidP="00C85D0F">
            <w:pPr>
              <w:pStyle w:val="EPLogo"/>
            </w:pPr>
            <w:r w:rsidRPr="00202735">
              <w:rPr>
                <w:noProof/>
                <w:lang w:val="en-GB"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42E9" w:rsidRPr="00202735" w:rsidRDefault="001742E9" w:rsidP="001742E9">
      <w:pPr>
        <w:pStyle w:val="LineTop"/>
      </w:pPr>
    </w:p>
    <w:p w:rsidR="001742E9" w:rsidRPr="00202735" w:rsidRDefault="001742E9" w:rsidP="001742E9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{ECON}</w:t>
      </w:r>
      <w:r>
        <w:t>Hospodářský</w:t>
      </w:r>
      <w:r w:rsidR="00871ED8">
        <w:t xml:space="preserve"> a </w:t>
      </w:r>
      <w:r>
        <w:t>měnový výbor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1742E9" w:rsidRPr="00202735" w:rsidRDefault="001742E9" w:rsidP="001742E9">
      <w:pPr>
        <w:pStyle w:val="LineBottom"/>
      </w:pPr>
    </w:p>
    <w:p w:rsidR="00B328A0" w:rsidRPr="00202735" w:rsidRDefault="00B328A0">
      <w:pPr>
        <w:pStyle w:val="CoverReference"/>
      </w:pPr>
      <w:r>
        <w:rPr>
          <w:rStyle w:val="HideTWBExt"/>
          <w:b w:val="0"/>
        </w:rPr>
        <w:t>&lt;RefProc&gt;</w:t>
      </w:r>
      <w:r>
        <w:t>2023/0288</w:t>
      </w:r>
      <w:r>
        <w:rPr>
          <w:rStyle w:val="HideTWBExt"/>
          <w:b w:val="0"/>
        </w:rPr>
        <w:t>&lt;/RefProc&gt;&lt;RefTypeProc&gt;</w:t>
      </w:r>
      <w:r>
        <w:t>(COD)</w:t>
      </w:r>
      <w:r>
        <w:rPr>
          <w:rStyle w:val="HideTWBExt"/>
          <w:b w:val="0"/>
        </w:rPr>
        <w:t>&lt;/RefTypeProc&gt;</w:t>
      </w:r>
    </w:p>
    <w:p w:rsidR="00B328A0" w:rsidRPr="00202735" w:rsidRDefault="00B328A0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{03/04/2025}</w:t>
      </w:r>
      <w:r>
        <w:t>3.4.2025</w:t>
      </w:r>
      <w:r>
        <w:rPr>
          <w:rStyle w:val="HideTWBExt"/>
        </w:rPr>
        <w:t>&lt;/Date&gt;</w:t>
      </w:r>
    </w:p>
    <w:p w:rsidR="00B328A0" w:rsidRPr="00202735" w:rsidRDefault="00B328A0">
      <w:pPr>
        <w:pStyle w:val="CoverDocType"/>
      </w:pPr>
      <w:r>
        <w:rPr>
          <w:rStyle w:val="HideTWBExt"/>
          <w:b w:val="0"/>
        </w:rPr>
        <w:t>&lt;RefProcLect&gt;</w:t>
      </w:r>
      <w:r>
        <w:t>***II</w:t>
      </w:r>
      <w:r>
        <w:rPr>
          <w:rStyle w:val="HideTWBExt"/>
          <w:b w:val="0"/>
        </w:rPr>
        <w:t>&lt;/RefProcLect&gt;</w:t>
      </w:r>
    </w:p>
    <w:p w:rsidR="00B328A0" w:rsidRPr="00202735" w:rsidRDefault="00B328A0">
      <w:pPr>
        <w:pStyle w:val="CoverDocType24a"/>
      </w:pPr>
      <w:r>
        <w:rPr>
          <w:rStyle w:val="HideTWBExt"/>
          <w:b w:val="0"/>
        </w:rPr>
        <w:t>&lt;TitreType&gt;</w:t>
      </w:r>
      <w:r>
        <w:t>NÁVRH DOPORUČENÍ PRO DRUHÉ ČTENÍ</w:t>
      </w:r>
      <w:bookmarkStart w:id="0" w:name="_GoBack"/>
      <w:bookmarkEnd w:id="0"/>
      <w:r>
        <w:rPr>
          <w:rStyle w:val="HideTWBExt"/>
          <w:b w:val="0"/>
        </w:rPr>
        <w:t>&lt;/TitreType&gt;</w:t>
      </w:r>
    </w:p>
    <w:p w:rsidR="00B328A0" w:rsidRPr="00202735" w:rsidRDefault="00B328A0">
      <w:pPr>
        <w:pStyle w:val="CoverNormal"/>
      </w:pPr>
      <w:r>
        <w:rPr>
          <w:rStyle w:val="HideTWBExt"/>
        </w:rPr>
        <w:t>&lt;Titre&gt;</w:t>
      </w:r>
      <w:r>
        <w:t>k postoji Rady</w:t>
      </w:r>
      <w:r w:rsidR="00871ED8">
        <w:t xml:space="preserve"> v </w:t>
      </w:r>
      <w:r>
        <w:t>prvním čtení</w:t>
      </w:r>
      <w:r w:rsidR="00871ED8">
        <w:t xml:space="preserve"> k </w:t>
      </w:r>
      <w:r>
        <w:t>přijetí nařízení Evropského parlamentu</w:t>
      </w:r>
      <w:r w:rsidR="00871ED8">
        <w:t xml:space="preserve"> a </w:t>
      </w:r>
      <w:r>
        <w:t>Rady</w:t>
      </w:r>
      <w:r w:rsidR="00871ED8">
        <w:t xml:space="preserve"> o </w:t>
      </w:r>
      <w:r>
        <w:t>statistikách trhu práce Evropské unie týkajících se podniků</w:t>
      </w:r>
      <w:r w:rsidR="00871ED8">
        <w:t xml:space="preserve"> a o </w:t>
      </w:r>
      <w:r>
        <w:t>zrušení nařízení Rady (ES) č. 530/1999</w:t>
      </w:r>
      <w:r w:rsidR="00871ED8">
        <w:t xml:space="preserve"> a </w:t>
      </w:r>
      <w:r>
        <w:t>nařízení Evropského parlamentu</w:t>
      </w:r>
      <w:r w:rsidR="00871ED8">
        <w:t xml:space="preserve"> a </w:t>
      </w:r>
      <w:r>
        <w:t>Rady (ES) č. 450/2003</w:t>
      </w:r>
      <w:r w:rsidR="00871ED8">
        <w:t xml:space="preserve"> a </w:t>
      </w:r>
      <w:r>
        <w:t>(ES) č. 453/2008</w:t>
      </w:r>
      <w:r>
        <w:rPr>
          <w:rStyle w:val="HideTWBExt"/>
        </w:rPr>
        <w:t>&lt;/Titre&gt;</w:t>
      </w:r>
    </w:p>
    <w:p w:rsidR="00B328A0" w:rsidRPr="00202735" w:rsidRDefault="00B328A0">
      <w:pPr>
        <w:pStyle w:val="CoverNormal24a"/>
      </w:pPr>
      <w:r>
        <w:rPr>
          <w:rStyle w:val="HideTWBExt"/>
        </w:rPr>
        <w:t>&lt;DocRef&gt;</w:t>
      </w:r>
      <w:r>
        <w:t>(17082/1/2024 – C10</w:t>
      </w:r>
      <w:r>
        <w:noBreakHyphen/>
        <w:t>0054/2025 – 2023/0288(COD))</w:t>
      </w:r>
      <w:r>
        <w:rPr>
          <w:rStyle w:val="HideTWBExt"/>
        </w:rPr>
        <w:t>&lt;/DocRef&gt;</w:t>
      </w:r>
    </w:p>
    <w:p w:rsidR="00B328A0" w:rsidRPr="00202735" w:rsidRDefault="00B328A0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</w:rPr>
        <w:t>{ECON}</w:t>
      </w:r>
      <w:r>
        <w:t>Hospodářský</w:t>
      </w:r>
      <w:r w:rsidR="00871ED8">
        <w:t xml:space="preserve"> a </w:t>
      </w:r>
      <w:r>
        <w:t>měnový výbor</w:t>
      </w:r>
      <w:r>
        <w:rPr>
          <w:rStyle w:val="HideTWBExt"/>
        </w:rPr>
        <w:t>&lt;/Commission&gt;</w:t>
      </w:r>
    </w:p>
    <w:p w:rsidR="00B328A0" w:rsidRPr="00202735" w:rsidRDefault="00B11CD2">
      <w:pPr>
        <w:pStyle w:val="CoverNormal24a"/>
      </w:pPr>
      <w:r>
        <w:t xml:space="preserve">Zpravodajka: </w:t>
      </w:r>
      <w:r>
        <w:rPr>
          <w:rStyle w:val="HideTWBExt"/>
        </w:rPr>
        <w:t>&lt;Depute&gt;</w:t>
      </w:r>
      <w:r>
        <w:t>Irene Tinagli</w:t>
      </w:r>
      <w:r>
        <w:rPr>
          <w:rStyle w:val="HideTWBExt"/>
        </w:rPr>
        <w:t>&lt;/Depute&gt;</w:t>
      </w:r>
    </w:p>
    <w:p w:rsidR="00E91F5F" w:rsidRPr="00202735" w:rsidRDefault="00E91F5F" w:rsidP="00E91F5F">
      <w:pPr>
        <w:pStyle w:val="CoverNormal"/>
      </w:pPr>
    </w:p>
    <w:p w:rsidR="00B11CD2" w:rsidRDefault="00B328A0" w:rsidP="00894923">
      <w:r>
        <w:br w:type="page"/>
      </w:r>
      <w:r w:rsidR="00871ED8">
        <w:lastRenderedPageBreak/>
        <w:fldChar w:fldCharType="begin"/>
      </w:r>
      <w:r w:rsidR="00871ED8">
        <w:instrText xml:space="preserve"> TITLE  \* MERGEFORMAT </w:instrText>
      </w:r>
      <w:r w:rsidR="00871ED8">
        <w:fldChar w:fldCharType="separate"/>
      </w:r>
      <w:r w:rsidR="00871ED8">
        <w:t>PR_COD_2app</w:t>
      </w:r>
      <w:r w:rsidR="00871ED8">
        <w:fldChar w:fldCharType="end"/>
      </w:r>
    </w:p>
    <w:p w:rsidR="00B11CD2" w:rsidRPr="00D0085C" w:rsidRDefault="00B11CD2" w:rsidP="00894923"/>
    <w:p w:rsidR="00B11CD2" w:rsidRPr="00D0085C" w:rsidRDefault="00B11CD2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B11CD2">
        <w:tc>
          <w:tcPr>
            <w:tcW w:w="5811" w:type="dxa"/>
          </w:tcPr>
          <w:p w:rsidR="00B11CD2" w:rsidRDefault="00B11CD2" w:rsidP="00894923">
            <w:pPr>
              <w:pStyle w:val="Lgendetitre"/>
            </w:pPr>
            <w:r>
              <w:t>Vysvětlivky</w:t>
            </w:r>
          </w:p>
        </w:tc>
      </w:tr>
      <w:tr w:rsidR="00B11CD2" w:rsidTr="00D60247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B11CD2" w:rsidRDefault="00B11CD2" w:rsidP="00291397">
            <w:pPr>
              <w:pStyle w:val="Lgendesigne"/>
            </w:pPr>
            <w:r>
              <w:tab/>
              <w:t>*</w:t>
            </w:r>
            <w:r>
              <w:tab/>
              <w:t>Postup konzultace</w:t>
            </w:r>
          </w:p>
          <w:p w:rsidR="00B11CD2" w:rsidRPr="00817843" w:rsidRDefault="00B11CD2" w:rsidP="00291397">
            <w:pPr>
              <w:pStyle w:val="Lgendesigne"/>
            </w:pPr>
            <w:r>
              <w:tab/>
              <w:t>***</w:t>
            </w:r>
            <w:r>
              <w:tab/>
              <w:t>Postup souhlasu</w:t>
            </w:r>
          </w:p>
          <w:p w:rsidR="00B11CD2" w:rsidRDefault="00B11CD2" w:rsidP="00291397">
            <w:pPr>
              <w:pStyle w:val="Lgendesigne"/>
            </w:pPr>
            <w:r>
              <w:tab/>
              <w:t>***I</w:t>
            </w:r>
            <w:r>
              <w:tab/>
              <w:t>Řádný legislativní postup (první čtení)</w:t>
            </w:r>
          </w:p>
          <w:p w:rsidR="00B11CD2" w:rsidRDefault="00B11CD2" w:rsidP="00291397">
            <w:pPr>
              <w:pStyle w:val="Lgendesigne"/>
            </w:pPr>
            <w:r>
              <w:tab/>
              <w:t>***II</w:t>
            </w:r>
            <w:r>
              <w:tab/>
              <w:t>Řádný legislativní postup (druhé čtení)</w:t>
            </w:r>
          </w:p>
          <w:p w:rsidR="00B11CD2" w:rsidRDefault="00B11CD2" w:rsidP="00291397">
            <w:pPr>
              <w:pStyle w:val="Lgendesigne"/>
            </w:pPr>
            <w:r>
              <w:tab/>
              <w:t>***III</w:t>
            </w:r>
            <w:r>
              <w:tab/>
              <w:t>Řádný legislativní postup (třetí čtení)</w:t>
            </w:r>
          </w:p>
          <w:p w:rsidR="00B11CD2" w:rsidRPr="000C31E2" w:rsidRDefault="00B11CD2" w:rsidP="0069092A">
            <w:pPr>
              <w:pStyle w:val="Lgendestandard"/>
            </w:pPr>
          </w:p>
          <w:p w:rsidR="00B11CD2" w:rsidRDefault="00B11CD2" w:rsidP="0069092A">
            <w:pPr>
              <w:pStyle w:val="Lgendestandard"/>
            </w:pPr>
            <w:r>
              <w:t>(Druh postupu závisí na právním základu navrženém</w:t>
            </w:r>
            <w:r w:rsidR="00871ED8">
              <w:t xml:space="preserve"> v </w:t>
            </w:r>
            <w:r>
              <w:t>návrhu aktu.)</w:t>
            </w:r>
          </w:p>
          <w:p w:rsidR="00B11CD2" w:rsidRPr="00D0085C" w:rsidRDefault="00B11CD2" w:rsidP="008F1BC6">
            <w:pPr>
              <w:pStyle w:val="Lgendestandard"/>
            </w:pPr>
          </w:p>
        </w:tc>
      </w:tr>
    </w:tbl>
    <w:p w:rsidR="00B11CD2" w:rsidRPr="00D0085C" w:rsidRDefault="00B11CD2" w:rsidP="00894923"/>
    <w:p w:rsidR="00B11CD2" w:rsidRPr="00D0085C" w:rsidRDefault="00B11CD2" w:rsidP="00894923"/>
    <w:p w:rsidR="00B11CD2" w:rsidRPr="00D0085C" w:rsidRDefault="00B11CD2" w:rsidP="00894923"/>
    <w:p w:rsidR="00B11CD2" w:rsidRPr="00D0085C" w:rsidRDefault="00B11CD2" w:rsidP="00291397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B11CD2" w:rsidTr="00740116">
        <w:tc>
          <w:tcPr>
            <w:tcW w:w="5811" w:type="dxa"/>
          </w:tcPr>
          <w:p w:rsidR="00B11CD2" w:rsidRPr="00817843" w:rsidRDefault="00B11CD2" w:rsidP="00740116">
            <w:pPr>
              <w:pStyle w:val="Lgendetitre"/>
            </w:pPr>
            <w:r>
              <w:t>Pozměňovací návrhy</w:t>
            </w:r>
            <w:r w:rsidR="00871ED8">
              <w:t xml:space="preserve"> k </w:t>
            </w:r>
            <w:r>
              <w:t>návrhu aktu</w:t>
            </w:r>
          </w:p>
        </w:tc>
      </w:tr>
      <w:tr w:rsidR="00B11CD2" w:rsidRPr="003112AB" w:rsidTr="00D60247">
        <w:trPr>
          <w:trHeight w:val="4213"/>
        </w:trPr>
        <w:tc>
          <w:tcPr>
            <w:tcW w:w="5811" w:type="dxa"/>
          </w:tcPr>
          <w:p w:rsidR="00B11CD2" w:rsidRPr="003112AB" w:rsidRDefault="00B11CD2" w:rsidP="00740116">
            <w:pPr>
              <w:pStyle w:val="Lgendestandard"/>
              <w:rPr>
                <w:szCs w:val="18"/>
              </w:rPr>
            </w:pPr>
            <w:r>
              <w:rPr>
                <w:b/>
              </w:rPr>
              <w:t>Pozměňovacích návrhy Parlamentu předložené ve dvou sloupcích</w:t>
            </w:r>
          </w:p>
          <w:p w:rsidR="00B11CD2" w:rsidRPr="00D0085C" w:rsidRDefault="00B11CD2" w:rsidP="00740116">
            <w:pPr>
              <w:pStyle w:val="Lgendestandard"/>
              <w:rPr>
                <w:szCs w:val="18"/>
              </w:rPr>
            </w:pPr>
          </w:p>
          <w:p w:rsidR="00B11CD2" w:rsidRPr="003112AB" w:rsidRDefault="00B11CD2" w:rsidP="00740116">
            <w:pPr>
              <w:pStyle w:val="Lgendestandard"/>
              <w:rPr>
                <w:szCs w:val="18"/>
              </w:rPr>
            </w:pPr>
            <w:r>
              <w:t xml:space="preserve">Vypuštění textu je označeno </w:t>
            </w:r>
            <w:r>
              <w:rPr>
                <w:b/>
                <w:i/>
              </w:rPr>
              <w:t>tučnou kurzivou</w:t>
            </w:r>
            <w:r w:rsidR="00871ED8">
              <w:rPr>
                <w:b/>
                <w:i/>
              </w:rPr>
              <w:t xml:space="preserve"> v </w:t>
            </w:r>
            <w:r>
              <w:t xml:space="preserve">levém sloupci. Nahrazení je označeno </w:t>
            </w:r>
            <w:r>
              <w:rPr>
                <w:b/>
                <w:i/>
              </w:rPr>
              <w:t>tučnou kurzivou</w:t>
            </w:r>
            <w:r w:rsidR="00871ED8">
              <w:t xml:space="preserve"> v </w:t>
            </w:r>
            <w:r>
              <w:t xml:space="preserve">obou sloupcích. Nový text je označen </w:t>
            </w:r>
            <w:r>
              <w:rPr>
                <w:b/>
                <w:i/>
              </w:rPr>
              <w:t>tučnou kurzivou</w:t>
            </w:r>
            <w:r w:rsidR="00871ED8">
              <w:t xml:space="preserve"> v </w:t>
            </w:r>
            <w:r>
              <w:t>pravém sloupci.</w:t>
            </w:r>
          </w:p>
          <w:p w:rsidR="00B11CD2" w:rsidRPr="003112AB" w:rsidRDefault="00B11CD2" w:rsidP="00740116">
            <w:pPr>
              <w:pStyle w:val="Lgendestandard"/>
            </w:pPr>
          </w:p>
          <w:p w:rsidR="00B11CD2" w:rsidRPr="003112AB" w:rsidRDefault="00B11CD2" w:rsidP="00740116">
            <w:pPr>
              <w:pStyle w:val="Lgendestandard"/>
            </w:pPr>
            <w:r>
              <w:t>První</w:t>
            </w:r>
            <w:r w:rsidR="00871ED8">
              <w:t xml:space="preserve"> a </w:t>
            </w:r>
            <w:r>
              <w:t>druhý řádek záhlaví každého pozměňovacího návrhu označují příslušnou část projednávaného návrhu aktu. Pokud se pozměňovací návrh týká existujícího aktu, který má být návrhem aktu pozměněn, je</w:t>
            </w:r>
            <w:r w:rsidR="00871ED8">
              <w:t xml:space="preserve"> v </w:t>
            </w:r>
            <w:r>
              <w:t>záhlaví mimo to na třetím řádku uveden existující akt</w:t>
            </w:r>
            <w:r w:rsidR="00871ED8">
              <w:t xml:space="preserve"> a </w:t>
            </w:r>
            <w:r>
              <w:t xml:space="preserve">na čtvrtém řádku ustanovení existujícího aktu, kterého se pozměňovací návrh týká. </w:t>
            </w:r>
          </w:p>
          <w:p w:rsidR="00B11CD2" w:rsidRPr="003112AB" w:rsidRDefault="00B11CD2" w:rsidP="00740116">
            <w:pPr>
              <w:pStyle w:val="Lgendestandard"/>
            </w:pPr>
          </w:p>
          <w:p w:rsidR="00B11CD2" w:rsidRPr="003112AB" w:rsidRDefault="00B11CD2" w:rsidP="00740116">
            <w:pPr>
              <w:pStyle w:val="Lgendestandard"/>
              <w:rPr>
                <w:b/>
                <w:szCs w:val="18"/>
              </w:rPr>
            </w:pPr>
            <w:r>
              <w:rPr>
                <w:b/>
              </w:rPr>
              <w:t>Pozměňovací návrhy Parlamentu</w:t>
            </w:r>
            <w:r w:rsidR="00871ED8">
              <w:rPr>
                <w:b/>
              </w:rPr>
              <w:t xml:space="preserve"> v </w:t>
            </w:r>
            <w:r>
              <w:rPr>
                <w:b/>
              </w:rPr>
              <w:t>podobě konsolidovaného textu</w:t>
            </w:r>
          </w:p>
          <w:p w:rsidR="00B11CD2" w:rsidRPr="003112AB" w:rsidRDefault="00B11CD2" w:rsidP="00740116">
            <w:pPr>
              <w:pStyle w:val="Lgendestandard"/>
              <w:rPr>
                <w:szCs w:val="18"/>
              </w:rPr>
            </w:pPr>
          </w:p>
          <w:p w:rsidR="00B11CD2" w:rsidRPr="003112AB" w:rsidRDefault="00B11CD2" w:rsidP="00740116">
            <w:pPr>
              <w:pStyle w:val="Lgendestandard"/>
            </w:pPr>
            <w:r>
              <w:t xml:space="preserve">Nové části textu jsou označeny </w:t>
            </w:r>
            <w:r>
              <w:rPr>
                <w:b/>
                <w:i/>
              </w:rPr>
              <w:t>tučnou kurzivou</w:t>
            </w:r>
            <w:r>
              <w:t xml:space="preserve">. Vypuštěné části textu jsou označeny symbolem ▌nebo přeškrtnuty. Nahrazení se vyznačují tak, že nový text se označí </w:t>
            </w:r>
            <w:r>
              <w:rPr>
                <w:b/>
                <w:i/>
              </w:rPr>
              <w:t>tučnou kurzivou</w:t>
            </w:r>
            <w:r w:rsidR="00871ED8">
              <w:t xml:space="preserve"> a </w:t>
            </w:r>
            <w:r>
              <w:t>nahrazený text se vymaže nebo přeškrtne. Výjimečně se neoznačují změny výlučně technické povahy, které provedly příslušné útvary za účelem vypracování konečného znění.</w:t>
            </w:r>
          </w:p>
          <w:p w:rsidR="00B11CD2" w:rsidRPr="003112AB" w:rsidRDefault="00B11CD2" w:rsidP="00740116">
            <w:pPr>
              <w:pStyle w:val="Lgendestandard"/>
            </w:pPr>
          </w:p>
        </w:tc>
      </w:tr>
    </w:tbl>
    <w:p w:rsidR="00B11CD2" w:rsidRPr="003112AB" w:rsidRDefault="00B11CD2" w:rsidP="00291397"/>
    <w:p w:rsidR="00B11CD2" w:rsidRPr="00D0085C" w:rsidRDefault="00B11CD2" w:rsidP="00291397"/>
    <w:p w:rsidR="00B328A0" w:rsidRPr="00B11CD2" w:rsidRDefault="00B328A0" w:rsidP="00744DF3">
      <w:pPr>
        <w:widowControl/>
        <w:tabs>
          <w:tab w:val="center" w:pos="4677"/>
        </w:tabs>
      </w:pPr>
    </w:p>
    <w:p w:rsidR="00B328A0" w:rsidRPr="00202735" w:rsidRDefault="00B328A0">
      <w:pPr>
        <w:pStyle w:val="TOCHeading"/>
      </w:pPr>
      <w:r>
        <w:br w:type="page"/>
      </w:r>
      <w:r>
        <w:lastRenderedPageBreak/>
        <w:t>OBSAH</w:t>
      </w:r>
    </w:p>
    <w:p w:rsidR="00B328A0" w:rsidRPr="00202735" w:rsidRDefault="00202735">
      <w:pPr>
        <w:pStyle w:val="TOCPage"/>
      </w:pPr>
      <w:r>
        <w:t>Strana</w:t>
      </w:r>
    </w:p>
    <w:p w:rsidR="00871ED8" w:rsidRDefault="00FB0188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202735">
        <w:rPr>
          <w:b/>
        </w:rPr>
        <w:fldChar w:fldCharType="begin"/>
      </w:r>
      <w:r w:rsidRPr="00202735">
        <w:rPr>
          <w:b/>
        </w:rPr>
        <w:instrText xml:space="preserve"> TOC \t "PageHeading</w:instrText>
      </w:r>
      <w:r w:rsidR="00871ED8">
        <w:rPr>
          <w:b/>
        </w:rPr>
        <w:instrText>;</w:instrText>
      </w:r>
      <w:r w:rsidRPr="00202735">
        <w:rPr>
          <w:b/>
        </w:rPr>
        <w:instrText xml:space="preserve">1" </w:instrText>
      </w:r>
      <w:r w:rsidRPr="00202735">
        <w:rPr>
          <w:b/>
        </w:rPr>
        <w:fldChar w:fldCharType="separate"/>
      </w:r>
      <w:r w:rsidR="00871ED8">
        <w:rPr>
          <w:noProof/>
        </w:rPr>
        <w:t>NÁVRH LEGISLATIVNÍHO USNESENÍ EVROPSKÉHO PARLAMENTU</w:t>
      </w:r>
      <w:r w:rsidR="00871ED8">
        <w:rPr>
          <w:noProof/>
        </w:rPr>
        <w:tab/>
      </w:r>
      <w:r w:rsidR="00871ED8">
        <w:rPr>
          <w:noProof/>
        </w:rPr>
        <w:fldChar w:fldCharType="begin"/>
      </w:r>
      <w:r w:rsidR="00871ED8">
        <w:rPr>
          <w:noProof/>
        </w:rPr>
        <w:instrText xml:space="preserve"> PAGEREF _Toc196299915 \h </w:instrText>
      </w:r>
      <w:r w:rsidR="00871ED8">
        <w:rPr>
          <w:noProof/>
        </w:rPr>
      </w:r>
      <w:r w:rsidR="00871ED8">
        <w:rPr>
          <w:noProof/>
        </w:rPr>
        <w:fldChar w:fldCharType="separate"/>
      </w:r>
      <w:r w:rsidR="00871ED8">
        <w:rPr>
          <w:noProof/>
        </w:rPr>
        <w:t>5</w:t>
      </w:r>
      <w:r w:rsidR="00871ED8">
        <w:rPr>
          <w:noProof/>
        </w:rPr>
        <w:fldChar w:fldCharType="end"/>
      </w:r>
    </w:p>
    <w:p w:rsidR="00871ED8" w:rsidRDefault="00871ED8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STRUČNÉ ODŮVODNĚNÍ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_Toc196299916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71ED8" w:rsidRDefault="00871ED8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PŘÍLOHA: SUBJEKTY NEBO OSOBY, OD NICHŽ ZPRAVODAJKA OBDRŽELA PODNĚTY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_Toc196299917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B2BE6" w:rsidRPr="00202735" w:rsidRDefault="00FB0188" w:rsidP="00A347A7">
      <w:r w:rsidRPr="00202735">
        <w:rPr>
          <w:b/>
        </w:rPr>
        <w:fldChar w:fldCharType="end"/>
      </w:r>
    </w:p>
    <w:p w:rsidR="00B328A0" w:rsidRPr="00202735" w:rsidRDefault="00B328A0">
      <w:pPr>
        <w:pStyle w:val="PageHeading"/>
      </w:pPr>
      <w:r>
        <w:br w:type="page"/>
      </w:r>
      <w:r>
        <w:br w:type="page"/>
      </w:r>
      <w:bookmarkStart w:id="1" w:name="_Toc196299915"/>
      <w:r>
        <w:t>NÁVRH LEGISLATIVNÍHO USNESENÍ EVROPSKÉHO PARLAMENTU</w:t>
      </w:r>
      <w:bookmarkEnd w:id="1"/>
    </w:p>
    <w:p w:rsidR="00B328A0" w:rsidRPr="00202735" w:rsidRDefault="00202735">
      <w:pPr>
        <w:pStyle w:val="NormalBold"/>
      </w:pPr>
      <w:r>
        <w:t>o postoji Rady</w:t>
      </w:r>
      <w:r w:rsidR="00871ED8">
        <w:t xml:space="preserve"> v </w:t>
      </w:r>
      <w:r>
        <w:t>prvním čtení</w:t>
      </w:r>
      <w:r w:rsidR="00871ED8">
        <w:t xml:space="preserve"> k </w:t>
      </w:r>
      <w:r>
        <w:t>přijetí nařízení Evropského parlamentu</w:t>
      </w:r>
      <w:r w:rsidR="00871ED8">
        <w:t xml:space="preserve"> a </w:t>
      </w:r>
      <w:r>
        <w:t>Rady</w:t>
      </w:r>
      <w:r w:rsidR="00871ED8">
        <w:t xml:space="preserve"> o </w:t>
      </w:r>
      <w:r>
        <w:t>statistikách trhu práce Evropské unie týkajících se podniků</w:t>
      </w:r>
      <w:r w:rsidR="00871ED8">
        <w:t xml:space="preserve"> a o </w:t>
      </w:r>
      <w:r>
        <w:t>zrušení nařízení Rady (ES) č. 530/1999</w:t>
      </w:r>
      <w:r w:rsidR="00871ED8">
        <w:t xml:space="preserve"> a </w:t>
      </w:r>
      <w:r>
        <w:t>nařízení Evropského parlamentu</w:t>
      </w:r>
      <w:r w:rsidR="00871ED8">
        <w:t xml:space="preserve"> a </w:t>
      </w:r>
      <w:r>
        <w:t>Rady (ES) č. 450/2003</w:t>
      </w:r>
      <w:r w:rsidR="00871ED8">
        <w:t xml:space="preserve"> a </w:t>
      </w:r>
      <w:r>
        <w:t>(ES) č. 453/2008</w:t>
      </w:r>
    </w:p>
    <w:p w:rsidR="00B328A0" w:rsidRPr="00202735" w:rsidRDefault="00202735">
      <w:pPr>
        <w:pStyle w:val="NormalBold12a"/>
      </w:pPr>
      <w:r>
        <w:t>(17082/1/2024 – C10</w:t>
      </w:r>
      <w:r>
        <w:noBreakHyphen/>
        <w:t>0054/2025 – 2023/0288(COD))</w:t>
      </w:r>
    </w:p>
    <w:p w:rsidR="00B328A0" w:rsidRPr="00202735" w:rsidRDefault="00202735" w:rsidP="004A107D">
      <w:pPr>
        <w:pStyle w:val="NormalBold"/>
      </w:pPr>
      <w:r>
        <w:t>(Řádný legislativní postup: druhé čtení)</w:t>
      </w:r>
    </w:p>
    <w:p w:rsidR="00B328A0" w:rsidRPr="00202735" w:rsidRDefault="00202735">
      <w:pPr>
        <w:pStyle w:val="EPComma"/>
      </w:pPr>
      <w:r>
        <w:rPr>
          <w:i/>
        </w:rPr>
        <w:t>Evropský parlament</w:t>
      </w:r>
      <w:r>
        <w:t>,</w:t>
      </w:r>
    </w:p>
    <w:p w:rsidR="00B328A0" w:rsidRPr="00202735" w:rsidRDefault="00B328A0">
      <w:pPr>
        <w:pStyle w:val="NormalHanging12a"/>
      </w:pPr>
      <w:r>
        <w:t>–</w:t>
      </w:r>
      <w:r>
        <w:tab/>
        <w:t>s ohledem na postoj Rady</w:t>
      </w:r>
      <w:r w:rsidR="00871ED8">
        <w:t xml:space="preserve"> v </w:t>
      </w:r>
      <w:r>
        <w:t>prvním čtení (17082/1/2024 – C10</w:t>
      </w:r>
      <w:r>
        <w:noBreakHyphen/>
        <w:t>0054/2025),</w:t>
      </w:r>
    </w:p>
    <w:p w:rsidR="00B11CD2" w:rsidRDefault="00B11CD2" w:rsidP="00F90BF7">
      <w:pPr>
        <w:pStyle w:val="NormalHanging12a"/>
      </w:pPr>
      <w:r>
        <w:t>–</w:t>
      </w:r>
      <w:r>
        <w:tab/>
        <w:t>s ohledem na stanovisko Evropské centrální banky ze dne 24. listopadu 2023</w:t>
      </w:r>
      <w:r>
        <w:rPr>
          <w:rStyle w:val="FootnoteReference"/>
        </w:rPr>
        <w:footnoteReference w:id="1"/>
      </w:r>
      <w:r>
        <w:t>,</w:t>
      </w:r>
    </w:p>
    <w:p w:rsidR="00F90BF7" w:rsidRPr="00202735" w:rsidRDefault="00F90BF7" w:rsidP="00F90BF7">
      <w:pPr>
        <w:pStyle w:val="NormalHanging12a"/>
      </w:pPr>
      <w:r>
        <w:t>–</w:t>
      </w:r>
      <w:r>
        <w:tab/>
        <w:t>s ohledem na svůj postoj</w:t>
      </w:r>
      <w:r w:rsidR="00871ED8">
        <w:t xml:space="preserve"> v </w:t>
      </w:r>
      <w:r>
        <w:t>prvním čtení</w:t>
      </w:r>
      <w:r w:rsidR="00B11CD2">
        <w:rPr>
          <w:rStyle w:val="FootnoteReference"/>
        </w:rPr>
        <w:footnoteReference w:id="2"/>
      </w:r>
      <w:r w:rsidR="00871ED8">
        <w:t xml:space="preserve"> k </w:t>
      </w:r>
      <w:r>
        <w:t>návrhu Komise Evropskému parlamentu</w:t>
      </w:r>
      <w:r w:rsidR="00871ED8">
        <w:t xml:space="preserve"> a </w:t>
      </w:r>
      <w:r>
        <w:t>Radě (COM(2023)0459),</w:t>
      </w:r>
    </w:p>
    <w:p w:rsidR="00C83E85" w:rsidRPr="00202735" w:rsidRDefault="00C83E85" w:rsidP="00C83E85">
      <w:pPr>
        <w:pStyle w:val="NormalHanging12a"/>
      </w:pPr>
      <w:r>
        <w:t>–</w:t>
      </w:r>
      <w:r>
        <w:tab/>
        <w:t>s ohledem na čl. 294 odst. 7 Smlouvy</w:t>
      </w:r>
      <w:r w:rsidR="00871ED8">
        <w:t xml:space="preserve"> o </w:t>
      </w:r>
      <w:r>
        <w:t>fungování Evropské unie,</w:t>
      </w:r>
    </w:p>
    <w:p w:rsidR="00D03678" w:rsidRPr="00202735" w:rsidRDefault="00D03678" w:rsidP="00D03678">
      <w:pPr>
        <w:pStyle w:val="NormalHanging12a"/>
      </w:pPr>
      <w:r>
        <w:t>–</w:t>
      </w:r>
      <w:r>
        <w:tab/>
        <w:t>s ohledem na předběžnou dohodu přijatou příslušným výborem podle čl. 75 odst. 4 jednacího řádu,</w:t>
      </w:r>
    </w:p>
    <w:p w:rsidR="00C83E85" w:rsidRPr="00202735" w:rsidRDefault="00C83E85" w:rsidP="00C83E85">
      <w:pPr>
        <w:pStyle w:val="NormalHanging12a"/>
      </w:pPr>
      <w:r>
        <w:t>–</w:t>
      </w:r>
      <w:r>
        <w:tab/>
        <w:t>s ohledem na článek 68 jednacího řádu,</w:t>
      </w:r>
    </w:p>
    <w:p w:rsidR="00B328A0" w:rsidRPr="00202735" w:rsidRDefault="00B328A0">
      <w:pPr>
        <w:pStyle w:val="NormalHanging12a"/>
      </w:pPr>
      <w:r>
        <w:t>–</w:t>
      </w:r>
      <w:r>
        <w:tab/>
        <w:t>s ohledem na doporučení pro druhé čtení předložené Hospodářským</w:t>
      </w:r>
      <w:r w:rsidR="00871ED8">
        <w:t xml:space="preserve"> a </w:t>
      </w:r>
      <w:r>
        <w:t>měnovým výborem (A10</w:t>
      </w:r>
      <w:r>
        <w:noBreakHyphen/>
        <w:t>0000/2025),</w:t>
      </w:r>
    </w:p>
    <w:p w:rsidR="00B328A0" w:rsidRPr="00202735" w:rsidRDefault="00B328A0">
      <w:pPr>
        <w:pStyle w:val="NormalHanging12a"/>
      </w:pPr>
      <w:r>
        <w:t>1.</w:t>
      </w:r>
      <w:r>
        <w:tab/>
        <w:t>schvaluje postoj Rady</w:t>
      </w:r>
      <w:r w:rsidR="00871ED8">
        <w:t xml:space="preserve"> v </w:t>
      </w:r>
      <w:r>
        <w:t>prvním čtení;</w:t>
      </w:r>
    </w:p>
    <w:p w:rsidR="00B328A0" w:rsidRPr="00202735" w:rsidRDefault="00B11CD2">
      <w:pPr>
        <w:pStyle w:val="NormalHanging12a"/>
      </w:pPr>
      <w:r>
        <w:t>2.</w:t>
      </w:r>
      <w:r>
        <w:tab/>
        <w:t>konstatuje, že akt je přijat</w:t>
      </w:r>
      <w:r w:rsidR="00871ED8">
        <w:t xml:space="preserve"> v </w:t>
      </w:r>
      <w:r>
        <w:t>souladu</w:t>
      </w:r>
      <w:r w:rsidR="00871ED8">
        <w:t xml:space="preserve"> s </w:t>
      </w:r>
      <w:r>
        <w:t>postojem Rady;</w:t>
      </w:r>
    </w:p>
    <w:p w:rsidR="00B328A0" w:rsidRPr="00202735" w:rsidRDefault="00B11CD2">
      <w:pPr>
        <w:pStyle w:val="NormalHanging12a"/>
      </w:pPr>
      <w:r>
        <w:t>3.</w:t>
      </w:r>
      <w:r>
        <w:tab/>
        <w:t>pověřuje svou předsedkyni, aby společně</w:t>
      </w:r>
      <w:r w:rsidR="00871ED8">
        <w:t xml:space="preserve"> s </w:t>
      </w:r>
      <w:r>
        <w:t>předsedou Rady podepsal akt podle čl. 297 odst. 1 Smlouvy</w:t>
      </w:r>
      <w:r w:rsidR="00871ED8">
        <w:t xml:space="preserve"> o </w:t>
      </w:r>
      <w:r>
        <w:t>fungování Evropské unie;</w:t>
      </w:r>
    </w:p>
    <w:p w:rsidR="00B328A0" w:rsidRPr="00202735" w:rsidRDefault="00B11CD2">
      <w:pPr>
        <w:pStyle w:val="NormalHanging12a"/>
      </w:pPr>
      <w:r>
        <w:t>4.</w:t>
      </w:r>
      <w:r>
        <w:tab/>
        <w:t>pověřuje svého generálního tajemníka, aby akt podepsal poté, co ověří, že všechny postupy byly řádně ukončeny,</w:t>
      </w:r>
      <w:r w:rsidR="00871ED8">
        <w:t xml:space="preserve"> a </w:t>
      </w:r>
      <w:r>
        <w:t>aby společně</w:t>
      </w:r>
      <w:r w:rsidR="00871ED8">
        <w:t xml:space="preserve"> s </w:t>
      </w:r>
      <w:r>
        <w:t>generálním tajemníkem Rady zajistil jeho zveřejnění</w:t>
      </w:r>
      <w:r w:rsidR="00871ED8">
        <w:t xml:space="preserve"> v </w:t>
      </w:r>
      <w:r>
        <w:rPr>
          <w:i/>
        </w:rPr>
        <w:t>Úředním věstníku Evropské unie</w:t>
      </w:r>
      <w:r>
        <w:t>;</w:t>
      </w:r>
    </w:p>
    <w:p w:rsidR="00B328A0" w:rsidRPr="00202735" w:rsidRDefault="00B11CD2">
      <w:pPr>
        <w:pStyle w:val="NormalHanging12a"/>
      </w:pPr>
      <w:r>
        <w:t>5.</w:t>
      </w:r>
      <w:r>
        <w:tab/>
        <w:t>pověřuje svou předsedkyni, aby předala postoj Parlamentu Radě</w:t>
      </w:r>
      <w:r w:rsidR="00871ED8">
        <w:t xml:space="preserve"> a </w:t>
      </w:r>
      <w:r>
        <w:t>Komisi, jakož</w:t>
      </w:r>
      <w:r w:rsidR="00871ED8">
        <w:t xml:space="preserve"> i </w:t>
      </w:r>
      <w:r>
        <w:t>vnitrostátním parlamentům.</w:t>
      </w:r>
    </w:p>
    <w:p w:rsidR="00574BBD" w:rsidRPr="00202735" w:rsidRDefault="00574BBD" w:rsidP="007E41A5"/>
    <w:p w:rsidR="007E41A5" w:rsidRPr="00202735" w:rsidRDefault="007E41A5" w:rsidP="007E41A5"/>
    <w:p w:rsidR="00574BBD" w:rsidRPr="00202735" w:rsidRDefault="00574BBD" w:rsidP="00574BBD">
      <w:pPr>
        <w:pStyle w:val="PageHeading"/>
        <w:sectPr w:rsidR="00574BBD" w:rsidRPr="00202735" w:rsidSect="00B11CD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574BBD" w:rsidRPr="00202735" w:rsidRDefault="00202735" w:rsidP="00574BBD">
      <w:pPr>
        <w:pStyle w:val="PageHeading"/>
      </w:pPr>
      <w:bookmarkStart w:id="2" w:name="_Toc196299916"/>
      <w:r>
        <w:t>STRUČNÉ ODŮVODNĚNÍ</w:t>
      </w:r>
      <w:bookmarkEnd w:id="2"/>
    </w:p>
    <w:p w:rsidR="00B11CD2" w:rsidRPr="007A6C6E" w:rsidRDefault="00B11CD2" w:rsidP="00B11CD2">
      <w:pPr>
        <w:pStyle w:val="Normal12a"/>
      </w:pPr>
      <w:r>
        <w:t>Postoj Rady</w:t>
      </w:r>
      <w:r w:rsidR="00871ED8">
        <w:t xml:space="preserve"> v </w:t>
      </w:r>
      <w:r>
        <w:t>prvním čtení odráží dohodu, jíž bylo dosaženo při interinstitucionálních jednáních mezi Parlamentem</w:t>
      </w:r>
      <w:r w:rsidR="00871ED8">
        <w:t xml:space="preserve"> a </w:t>
      </w:r>
      <w:r>
        <w:t>Radou na začátku druhého čtení</w:t>
      </w:r>
      <w:r w:rsidR="00871ED8">
        <w:t xml:space="preserve"> a </w:t>
      </w:r>
      <w:r>
        <w:t>jejíž text byl ověřen právníky lingvisty. Vzhledem</w:t>
      </w:r>
      <w:r w:rsidR="00871ED8">
        <w:t xml:space="preserve"> k </w:t>
      </w:r>
      <w:r>
        <w:t>tomu, že Hospodářský</w:t>
      </w:r>
      <w:r w:rsidR="00871ED8">
        <w:t xml:space="preserve"> a </w:t>
      </w:r>
      <w:r>
        <w:t>měnový výbor (ECON)</w:t>
      </w:r>
      <w:r w:rsidR="00871ED8">
        <w:t xml:space="preserve"> v </w:t>
      </w:r>
      <w:r>
        <w:t>hlasování, které proběhlo dne 16. ledna 2025, již výsledek interinstitucionálních jednání potvrdil, jako zpravodaj navrhuji, aby výbor ECON doporučil, aby Parlament na plenárním zasedání postoj Rady</w:t>
      </w:r>
      <w:r w:rsidR="00871ED8">
        <w:t xml:space="preserve"> v </w:t>
      </w:r>
      <w:r>
        <w:t>prvním čtení schválil beze změn.</w:t>
      </w:r>
    </w:p>
    <w:p w:rsidR="00B11CD2" w:rsidRDefault="00B11CD2" w:rsidP="00B11CD2">
      <w:pPr>
        <w:widowControl/>
        <w:sectPr w:rsidR="00B11CD2" w:rsidSect="00B11CD2">
          <w:footerReference w:type="first" r:id="rId15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74BBD" w:rsidRPr="00202735" w:rsidRDefault="00574BBD" w:rsidP="00574BBD">
      <w:pPr>
        <w:pStyle w:val="Normal12a"/>
      </w:pPr>
    </w:p>
    <w:p w:rsidR="00B11CD2" w:rsidRDefault="00B11CD2" w:rsidP="007041CC">
      <w:pPr>
        <w:pStyle w:val="PageHeading"/>
        <w:rPr>
          <w:noProof/>
        </w:rPr>
      </w:pPr>
      <w:bookmarkStart w:id="3" w:name="FootprintPageRR"/>
      <w:bookmarkStart w:id="4" w:name="_Toc196299917"/>
      <w:r>
        <w:t>PŘÍLOHA: SUBJEKTY NEBO OSOBY,</w:t>
      </w:r>
      <w:r>
        <w:br/>
        <w:t>OD NICHŽ ZPRAVODAJKA OBDRŽELA PODNĚTY</w:t>
      </w:r>
      <w:bookmarkEnd w:id="4"/>
    </w:p>
    <w:p w:rsidR="00B11CD2" w:rsidRPr="0099178F" w:rsidRDefault="00B11CD2" w:rsidP="00A264FA">
      <w:pPr>
        <w:pStyle w:val="Normal24a"/>
        <w:spacing w:after="240" w:line="360" w:lineRule="auto"/>
      </w:pPr>
      <w:r>
        <w:rPr>
          <w:rStyle w:val="HideTWBExt"/>
        </w:rPr>
        <w:t>&lt;FootprintIntro&gt;</w:t>
      </w:r>
      <w:r>
        <w:t>Zpravodajka</w:t>
      </w:r>
      <w:r w:rsidR="00871ED8">
        <w:t xml:space="preserve"> v </w:t>
      </w:r>
      <w:r>
        <w:t>souladu</w:t>
      </w:r>
      <w:r w:rsidR="00871ED8">
        <w:t xml:space="preserve"> s </w:t>
      </w:r>
      <w:r>
        <w:t>článkem 8 přílohy</w:t>
      </w:r>
      <w:r w:rsidR="00871ED8">
        <w:t xml:space="preserve"> I </w:t>
      </w:r>
      <w:r>
        <w:t>jednacího řádu prohlašuje, že při vypracovávání návrhu zprávy obdržela podněty od těchto subjektů nebo osob:</w:t>
      </w:r>
      <w:r>
        <w:rPr>
          <w:rStyle w:val="HideTWBExt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B11CD2" w:rsidTr="00A81CDF">
        <w:tc>
          <w:tcPr>
            <w:tcW w:w="9060" w:type="dxa"/>
            <w:shd w:val="clear" w:color="auto" w:fill="auto"/>
          </w:tcPr>
          <w:p w:rsidR="00B11CD2" w:rsidRDefault="00B11CD2" w:rsidP="00B11CD2">
            <w:pPr>
              <w:pStyle w:val="NormalBoldCenter"/>
            </w:pPr>
            <w:r>
              <w:t>Subjekt nebo osoba</w:t>
            </w:r>
          </w:p>
        </w:tc>
      </w:tr>
      <w:tr w:rsidR="00B11CD2" w:rsidTr="00A81CDF">
        <w:tc>
          <w:tcPr>
            <w:tcW w:w="9060" w:type="dxa"/>
            <w:shd w:val="clear" w:color="auto" w:fill="auto"/>
          </w:tcPr>
          <w:p w:rsidR="00B11CD2" w:rsidRPr="007A6C6E" w:rsidRDefault="00B11CD2" w:rsidP="00A264FA">
            <w:pPr>
              <w:rPr>
                <w:sz w:val="22"/>
                <w:szCs w:val="22"/>
              </w:rPr>
            </w:pPr>
            <w:r>
              <w:t>European Data Protection Supervisor (EDPS), stanovisko</w:t>
            </w:r>
          </w:p>
        </w:tc>
      </w:tr>
      <w:tr w:rsidR="00B11CD2" w:rsidTr="00A81CDF">
        <w:tc>
          <w:tcPr>
            <w:tcW w:w="9060" w:type="dxa"/>
            <w:shd w:val="clear" w:color="auto" w:fill="auto"/>
          </w:tcPr>
          <w:p w:rsidR="00B11CD2" w:rsidRPr="007A6C6E" w:rsidRDefault="00B11CD2" w:rsidP="00A264FA">
            <w:pPr>
              <w:rPr>
                <w:szCs w:val="24"/>
              </w:rPr>
            </w:pPr>
            <w:r>
              <w:t>European Central Bank (ECB), stanovisko</w:t>
            </w:r>
          </w:p>
        </w:tc>
      </w:tr>
    </w:tbl>
    <w:p w:rsidR="00B11CD2" w:rsidRPr="00D86524" w:rsidRDefault="00B11CD2" w:rsidP="00086351">
      <w:pPr>
        <w:pStyle w:val="Footprint12b"/>
      </w:pPr>
      <w:r>
        <w:t>Výše uvedený seznam je sestaven na výhradní odpovědnost zpravodajky.</w:t>
      </w:r>
    </w:p>
    <w:p w:rsidR="00B11CD2" w:rsidRDefault="00B11CD2" w:rsidP="00A264FA">
      <w:pPr>
        <w:pStyle w:val="Footprint12b"/>
        <w:spacing w:line="360" w:lineRule="auto"/>
      </w:pPr>
      <w:r>
        <w:t>Pokud jsou na seznamu uvedena jména, funkce, případně jména</w:t>
      </w:r>
      <w:r w:rsidR="00871ED8">
        <w:t xml:space="preserve"> i </w:t>
      </w:r>
      <w:r>
        <w:t>funkce fyzických osob, zpravodajka prohlašuje, že příslušné fyzické osoby byly seznámeny</w:t>
      </w:r>
      <w:r w:rsidR="00871ED8">
        <w:t xml:space="preserve"> s </w:t>
      </w:r>
      <w:r>
        <w:t>prohlášením Evropského parlamentu</w:t>
      </w:r>
      <w:r w:rsidR="00871ED8">
        <w:t xml:space="preserve"> o </w:t>
      </w:r>
      <w:r>
        <w:t>ochraně osobních údajů č. 484 (</w:t>
      </w:r>
      <w:hyperlink r:id="rId16" w:history="1">
        <w:r>
          <w:rPr>
            <w:rStyle w:val="Hyperlink"/>
          </w:rPr>
          <w:t>https://www.europarl.europa.eu/data-protect/index.do</w:t>
        </w:r>
      </w:hyperlink>
      <w:r>
        <w:t>), které stanoví podmínky platné pro zpracování jejich osobních údajů</w:t>
      </w:r>
      <w:r w:rsidR="00871ED8">
        <w:t xml:space="preserve"> a </w:t>
      </w:r>
      <w:r>
        <w:t>práva související</w:t>
      </w:r>
      <w:r w:rsidR="00871ED8">
        <w:t xml:space="preserve"> s </w:t>
      </w:r>
      <w:r>
        <w:t>tímto zpracováním.</w:t>
      </w:r>
    </w:p>
    <w:p w:rsidR="00B11CD2" w:rsidRPr="003C6703" w:rsidRDefault="00B11CD2" w:rsidP="00646AD2">
      <w:pPr>
        <w:pStyle w:val="Footprint12b"/>
      </w:pPr>
    </w:p>
    <w:p w:rsidR="00B11CD2" w:rsidRPr="00B11CD2" w:rsidRDefault="00B11CD2" w:rsidP="00B11CD2"/>
    <w:bookmarkEnd w:id="3"/>
    <w:p w:rsidR="00B328A0" w:rsidRPr="00B11CD2" w:rsidRDefault="00B328A0" w:rsidP="00B11CD2"/>
    <w:sectPr w:rsidR="00B328A0" w:rsidRPr="00B11CD2" w:rsidSect="00B11CD2">
      <w:footerReference w:type="first" r:id="rId1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2735" w:rsidRPr="00202735" w:rsidRDefault="00202735">
      <w:r w:rsidRPr="00202735">
        <w:separator/>
      </w:r>
    </w:p>
  </w:endnote>
  <w:endnote w:type="continuationSeparator" w:id="0">
    <w:p w:rsidR="00202735" w:rsidRPr="00202735" w:rsidRDefault="00202735">
      <w:r w:rsidRPr="002027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BBD" w:rsidRPr="00202735" w:rsidRDefault="00574BBD" w:rsidP="00C90C21">
    <w:pPr>
      <w:pStyle w:val="EPFooter"/>
    </w:pPr>
    <w:r w:rsidRPr="00202735">
      <w:t>PE</w:t>
    </w:r>
    <w:r w:rsidRPr="00202735">
      <w:rPr>
        <w:rStyle w:val="HideTWBExt"/>
      </w:rPr>
      <w:t>&lt;NoPE&gt;</w:t>
    </w:r>
    <w:r w:rsidR="00B11CD2" w:rsidRPr="00B11CD2">
      <w:t>772.016</w:t>
    </w:r>
    <w:r w:rsidRPr="00202735">
      <w:rPr>
        <w:rStyle w:val="HideTWBExt"/>
      </w:rPr>
      <w:t>&lt;/NoPE&gt;&lt;Version&gt;</w:t>
    </w:r>
    <w:r w:rsidR="00202735" w:rsidRPr="00202735">
      <w:t>v</w:t>
    </w:r>
    <w:r w:rsidR="00B11CD2" w:rsidRPr="00B11CD2">
      <w:t>01-00</w:t>
    </w:r>
    <w:r w:rsidRPr="00202735">
      <w:rPr>
        <w:rStyle w:val="HideTWBExt"/>
      </w:rPr>
      <w:t>&lt;/Version&gt;</w:t>
    </w:r>
    <w:r w:rsidRPr="00202735">
      <w:tab/>
    </w:r>
    <w:r w:rsidRPr="00202735">
      <w:fldChar w:fldCharType="begin"/>
    </w:r>
    <w:r w:rsidRPr="00202735">
      <w:instrText xml:space="preserve"> PAGE </w:instrText>
    </w:r>
    <w:r w:rsidRPr="00202735">
      <w:fldChar w:fldCharType="separate"/>
    </w:r>
    <w:r w:rsidR="00871ED8">
      <w:rPr>
        <w:noProof/>
      </w:rPr>
      <w:t>6</w:t>
    </w:r>
    <w:r w:rsidRPr="00202735">
      <w:fldChar w:fldCharType="end"/>
    </w:r>
    <w:r w:rsidRPr="00202735">
      <w:t>/</w:t>
    </w:r>
    <w:r w:rsidR="00871ED8">
      <w:fldChar w:fldCharType="begin"/>
    </w:r>
    <w:r w:rsidR="00871ED8">
      <w:instrText xml:space="preserve"> NUMPAGES </w:instrText>
    </w:r>
    <w:r w:rsidR="00871ED8">
      <w:fldChar w:fldCharType="separate"/>
    </w:r>
    <w:r w:rsidR="00871ED8">
      <w:rPr>
        <w:noProof/>
      </w:rPr>
      <w:t>6</w:t>
    </w:r>
    <w:r w:rsidR="00871ED8">
      <w:rPr>
        <w:noProof/>
      </w:rPr>
      <w:fldChar w:fldCharType="end"/>
    </w:r>
    <w:r w:rsidRPr="00202735">
      <w:tab/>
    </w:r>
    <w:r w:rsidRPr="00202735">
      <w:rPr>
        <w:rStyle w:val="HideTWBExt"/>
      </w:rPr>
      <w:t>&lt;PathFdR&gt;</w:t>
    </w:r>
    <w:r w:rsidR="00B11CD2" w:rsidRPr="00B11CD2">
      <w:t>PR\1318334CS.docx</w:t>
    </w:r>
    <w:r w:rsidRPr="00202735">
      <w:rPr>
        <w:rStyle w:val="HideTWBExt"/>
      </w:rPr>
      <w:t>&lt;/PathFdR&gt;</w:t>
    </w:r>
  </w:p>
  <w:p w:rsidR="00574BBD" w:rsidRPr="00202735" w:rsidRDefault="00871ED8" w:rsidP="005678AA">
    <w:pPr>
      <w:pStyle w:val="EPFooter2"/>
    </w:pPr>
    <w:r>
      <w:fldChar w:fldCharType="begin"/>
    </w:r>
    <w:r>
      <w:instrText xml:space="preserve"> DOCPROPERTY "&lt;Extension&gt;" </w:instrText>
    </w:r>
    <w:r>
      <w:fldChar w:fldCharType="separate"/>
    </w:r>
    <w:r>
      <w:t>CS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BBD" w:rsidRPr="00202735" w:rsidRDefault="00574BBD" w:rsidP="00C90C21">
    <w:pPr>
      <w:pStyle w:val="EPFooter"/>
    </w:pPr>
    <w:r w:rsidRPr="00202735">
      <w:rPr>
        <w:rStyle w:val="HideTWBExt"/>
      </w:rPr>
      <w:t>&lt;PathFdR&gt;</w:t>
    </w:r>
    <w:r w:rsidR="00B11CD2" w:rsidRPr="00B11CD2">
      <w:t>PR\1318334CS.docx</w:t>
    </w:r>
    <w:r w:rsidRPr="00202735">
      <w:rPr>
        <w:rStyle w:val="HideTWBExt"/>
      </w:rPr>
      <w:t>&lt;/PathFdR&gt;</w:t>
    </w:r>
    <w:r w:rsidRPr="00202735">
      <w:tab/>
    </w:r>
    <w:r w:rsidRPr="00202735">
      <w:fldChar w:fldCharType="begin"/>
    </w:r>
    <w:r w:rsidRPr="00202735">
      <w:instrText xml:space="preserve"> PAGE </w:instrText>
    </w:r>
    <w:r w:rsidRPr="00202735">
      <w:fldChar w:fldCharType="separate"/>
    </w:r>
    <w:r w:rsidR="00871ED8">
      <w:rPr>
        <w:noProof/>
      </w:rPr>
      <w:t>7</w:t>
    </w:r>
    <w:r w:rsidRPr="00202735">
      <w:fldChar w:fldCharType="end"/>
    </w:r>
    <w:r w:rsidRPr="00202735">
      <w:t>/</w:t>
    </w:r>
    <w:r w:rsidR="00871ED8">
      <w:fldChar w:fldCharType="begin"/>
    </w:r>
    <w:r w:rsidR="00871ED8">
      <w:instrText xml:space="preserve"> NUMPAGES </w:instrText>
    </w:r>
    <w:r w:rsidR="00871ED8">
      <w:fldChar w:fldCharType="separate"/>
    </w:r>
    <w:r w:rsidR="00871ED8">
      <w:rPr>
        <w:noProof/>
      </w:rPr>
      <w:t>7</w:t>
    </w:r>
    <w:r w:rsidR="00871ED8">
      <w:rPr>
        <w:noProof/>
      </w:rPr>
      <w:fldChar w:fldCharType="end"/>
    </w:r>
    <w:r w:rsidRPr="00202735">
      <w:tab/>
      <w:t>PE</w:t>
    </w:r>
    <w:r w:rsidRPr="00202735">
      <w:rPr>
        <w:rStyle w:val="HideTWBExt"/>
      </w:rPr>
      <w:t>&lt;NoPE&gt;</w:t>
    </w:r>
    <w:r w:rsidR="00B11CD2" w:rsidRPr="00B11CD2">
      <w:t>772.016</w:t>
    </w:r>
    <w:r w:rsidRPr="00202735">
      <w:rPr>
        <w:rStyle w:val="HideTWBExt"/>
      </w:rPr>
      <w:t>&lt;/NoPE&gt;&lt;Version&gt;</w:t>
    </w:r>
    <w:r w:rsidR="00202735" w:rsidRPr="00202735">
      <w:t>v</w:t>
    </w:r>
    <w:r w:rsidR="00B11CD2" w:rsidRPr="00B11CD2">
      <w:t>01-00</w:t>
    </w:r>
    <w:r w:rsidRPr="00202735">
      <w:rPr>
        <w:rStyle w:val="HideTWBExt"/>
      </w:rPr>
      <w:t>&lt;/Version&gt;</w:t>
    </w:r>
  </w:p>
  <w:p w:rsidR="00574BBD" w:rsidRPr="00202735" w:rsidRDefault="00574BBD">
    <w:pPr>
      <w:pStyle w:val="EPFooter2"/>
    </w:pPr>
    <w:r w:rsidRPr="00202735">
      <w:tab/>
    </w:r>
    <w:r w:rsidRPr="00202735">
      <w:tab/>
    </w:r>
    <w:r w:rsidR="00871ED8">
      <w:fldChar w:fldCharType="begin"/>
    </w:r>
    <w:r w:rsidR="00871ED8">
      <w:instrText xml:space="preserve"> DOCPROPERTY "&lt;Extension&gt;" </w:instrText>
    </w:r>
    <w:r w:rsidR="00871ED8">
      <w:fldChar w:fldCharType="separate"/>
    </w:r>
    <w:r w:rsidR="00871ED8">
      <w:t>CS</w:t>
    </w:r>
    <w:r w:rsidR="00871ED8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BBD" w:rsidRPr="00202735" w:rsidRDefault="00574BBD" w:rsidP="00C90C21">
    <w:pPr>
      <w:pStyle w:val="EPFooter"/>
    </w:pPr>
    <w:r w:rsidRPr="00202735">
      <w:rPr>
        <w:rStyle w:val="HideTWBExt"/>
      </w:rPr>
      <w:t>&lt;PathFdR&gt;</w:t>
    </w:r>
    <w:r w:rsidR="00B11CD2" w:rsidRPr="00B11CD2">
      <w:t>PR\1318334CS.docx</w:t>
    </w:r>
    <w:r w:rsidRPr="00202735">
      <w:rPr>
        <w:rStyle w:val="HideTWBExt"/>
      </w:rPr>
      <w:t>&lt;/PathFdR&gt;</w:t>
    </w:r>
    <w:r w:rsidRPr="00202735">
      <w:tab/>
    </w:r>
    <w:r w:rsidRPr="00202735">
      <w:tab/>
      <w:t>PE</w:t>
    </w:r>
    <w:r w:rsidRPr="00202735">
      <w:rPr>
        <w:rStyle w:val="HideTWBExt"/>
      </w:rPr>
      <w:t>&lt;NoPE&gt;</w:t>
    </w:r>
    <w:r w:rsidR="00B11CD2" w:rsidRPr="00B11CD2">
      <w:t>772.016</w:t>
    </w:r>
    <w:r w:rsidRPr="00202735">
      <w:rPr>
        <w:rStyle w:val="HideTWBExt"/>
      </w:rPr>
      <w:t>&lt;/NoPE&gt;&lt;Version&gt;</w:t>
    </w:r>
    <w:r w:rsidR="00202735" w:rsidRPr="00202735">
      <w:t>v</w:t>
    </w:r>
    <w:r w:rsidR="00B11CD2" w:rsidRPr="00B11CD2">
      <w:t>01-00</w:t>
    </w:r>
    <w:r w:rsidRPr="00202735">
      <w:rPr>
        <w:rStyle w:val="HideTWBExt"/>
      </w:rPr>
      <w:t>&lt;/Version&gt;</w:t>
    </w:r>
  </w:p>
  <w:p w:rsidR="00574BBD" w:rsidRPr="00202735" w:rsidRDefault="00871ED8" w:rsidP="00B9475A">
    <w:pPr>
      <w:pStyle w:val="EPFooter2"/>
    </w:pPr>
    <w:r>
      <w:fldChar w:fldCharType="begin"/>
    </w:r>
    <w:r>
      <w:instrText xml:space="preserve"> DOCPROPERTY "&lt;Extension&gt;" </w:instrText>
    </w:r>
    <w:r>
      <w:fldChar w:fldCharType="separate"/>
    </w:r>
    <w:r>
      <w:t>CS</w:t>
    </w:r>
    <w:r>
      <w:fldChar w:fldCharType="end"/>
    </w:r>
    <w:r w:rsidR="00574BBD" w:rsidRPr="00202735">
      <w:tab/>
    </w:r>
    <w:r w:rsidR="00B11CD2">
      <w:rPr>
        <w:b w:val="0"/>
        <w:i/>
        <w:color w:val="C0C0C0"/>
        <w:sz w:val="22"/>
        <w:szCs w:val="22"/>
      </w:rPr>
      <w:t>Jednotná v rozmanitosti</w:t>
    </w:r>
    <w:r w:rsidR="00574BBD" w:rsidRPr="00202735">
      <w:tab/>
    </w:r>
    <w:r>
      <w:fldChar w:fldCharType="begin"/>
    </w:r>
    <w:r>
      <w:instrText xml:space="preserve"> DOCPROPERTY "&lt;Extension&gt;" </w:instrText>
    </w:r>
    <w:r>
      <w:fldChar w:fldCharType="separate"/>
    </w:r>
    <w:r>
      <w:t>CS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CD2" w:rsidRPr="00794CA2" w:rsidRDefault="00B11CD2" w:rsidP="000B55B4">
    <w:pPr>
      <w:pStyle w:val="EPFooter"/>
    </w:pPr>
    <w:r w:rsidRPr="00794CA2">
      <w:rPr>
        <w:rStyle w:val="HideTWBExt"/>
      </w:rPr>
      <w:t>&lt;PathFdR&gt;</w:t>
    </w:r>
    <w:r w:rsidRPr="00794CA2">
      <w:t>PR\1318334EN.docx</w:t>
    </w:r>
    <w:r w:rsidRPr="00794CA2">
      <w:rPr>
        <w:rStyle w:val="HideTWBExt"/>
      </w:rPr>
      <w:t>&lt;/PathFdR&gt;</w:t>
    </w:r>
    <w:r w:rsidRPr="00794CA2">
      <w:tab/>
    </w:r>
    <w:r w:rsidRPr="00794CA2">
      <w:tab/>
      <w:t>PE</w:t>
    </w:r>
    <w:r w:rsidRPr="00794CA2">
      <w:rPr>
        <w:rStyle w:val="HideTWBExt"/>
      </w:rPr>
      <w:t>&lt;NoPE&gt;</w:t>
    </w:r>
    <w:r w:rsidRPr="00794CA2">
      <w:t>772.016</w:t>
    </w:r>
    <w:r w:rsidRPr="00794CA2">
      <w:rPr>
        <w:rStyle w:val="HideTWBExt"/>
      </w:rPr>
      <w:t>&lt;/NoPE&gt;&lt;Version&gt;</w:t>
    </w:r>
    <w:r w:rsidRPr="00794CA2">
      <w:t>v01-00</w:t>
    </w:r>
    <w:r w:rsidRPr="00794CA2">
      <w:rPr>
        <w:rStyle w:val="HideTWBExt"/>
      </w:rPr>
      <w:t>&lt;/Version&gt;</w:t>
    </w:r>
  </w:p>
  <w:p w:rsidR="00B11CD2" w:rsidRPr="00794CA2" w:rsidRDefault="00871ED8" w:rsidP="001742E9">
    <w:pPr>
      <w:pStyle w:val="EPFooter2"/>
      <w:tabs>
        <w:tab w:val="clear" w:pos="4535"/>
        <w:tab w:val="center" w:pos="4536"/>
      </w:tabs>
    </w:pPr>
    <w:r>
      <w:fldChar w:fldCharType="begin"/>
    </w:r>
    <w:r>
      <w:instrText xml:space="preserve"> DOCPROPERT</w:instrText>
    </w:r>
    <w:r>
      <w:instrText xml:space="preserve">Y "&lt;Extension&gt;" </w:instrText>
    </w:r>
    <w:r>
      <w:fldChar w:fldCharType="separate"/>
    </w:r>
    <w:r>
      <w:t>CS</w:t>
    </w:r>
    <w:r>
      <w:fldChar w:fldCharType="end"/>
    </w:r>
    <w:r w:rsidR="00B11CD2" w:rsidRPr="00794CA2">
      <w:tab/>
    </w:r>
    <w:r w:rsidR="00B11CD2" w:rsidRPr="00794CA2">
      <w:rPr>
        <w:b w:val="0"/>
        <w:i/>
        <w:color w:val="C0C0C0"/>
        <w:sz w:val="22"/>
        <w:szCs w:val="22"/>
      </w:rPr>
      <w:t>United in diversity</w:t>
    </w:r>
    <w:r w:rsidR="00B11CD2" w:rsidRPr="00794CA2">
      <w:tab/>
    </w:r>
    <w:r>
      <w:fldChar w:fldCharType="begin"/>
    </w:r>
    <w:r>
      <w:instrText xml:space="preserve"> DOCPROPERTY "&lt;Extension&gt;" </w:instrText>
    </w:r>
    <w:r>
      <w:fldChar w:fldCharType="separate"/>
    </w:r>
    <w:r>
      <w:t>CS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001" w:rsidRPr="00202735" w:rsidRDefault="00A71001" w:rsidP="000B55B4">
    <w:pPr>
      <w:pStyle w:val="EPFooter"/>
    </w:pPr>
    <w:r w:rsidRPr="00202735">
      <w:rPr>
        <w:rStyle w:val="HideTWBExt"/>
      </w:rPr>
      <w:t>&lt;PathFdR&gt;</w:t>
    </w:r>
    <w:r w:rsidR="00B11CD2" w:rsidRPr="00B11CD2">
      <w:t>PR\1318334CS.docx</w:t>
    </w:r>
    <w:r w:rsidRPr="00202735">
      <w:rPr>
        <w:rStyle w:val="HideTWBExt"/>
      </w:rPr>
      <w:t>&lt;/PathFdR&gt;</w:t>
    </w:r>
    <w:r w:rsidRPr="00202735">
      <w:tab/>
    </w:r>
    <w:r w:rsidRPr="00202735">
      <w:tab/>
      <w:t>PE</w:t>
    </w:r>
    <w:r w:rsidRPr="00202735">
      <w:rPr>
        <w:rStyle w:val="HideTWBExt"/>
      </w:rPr>
      <w:t>&lt;NoPE&gt;</w:t>
    </w:r>
    <w:r w:rsidR="00B11CD2" w:rsidRPr="00B11CD2">
      <w:t>772.016</w:t>
    </w:r>
    <w:r w:rsidRPr="00202735">
      <w:rPr>
        <w:rStyle w:val="HideTWBExt"/>
      </w:rPr>
      <w:t>&lt;/NoPE&gt;&lt;Version&gt;</w:t>
    </w:r>
    <w:r w:rsidR="00202735" w:rsidRPr="00202735">
      <w:t>v</w:t>
    </w:r>
    <w:r w:rsidR="00B11CD2" w:rsidRPr="00B11CD2">
      <w:t>01-00</w:t>
    </w:r>
    <w:r w:rsidRPr="00202735">
      <w:rPr>
        <w:rStyle w:val="HideTWBExt"/>
      </w:rPr>
      <w:t>&lt;/Version&gt;</w:t>
    </w:r>
  </w:p>
  <w:p w:rsidR="00A71001" w:rsidRPr="00202735" w:rsidRDefault="00871ED8" w:rsidP="001742E9">
    <w:pPr>
      <w:pStyle w:val="EPFooter2"/>
      <w:tabs>
        <w:tab w:val="clear" w:pos="4535"/>
        <w:tab w:val="center" w:pos="4536"/>
      </w:tabs>
    </w:pPr>
    <w:r>
      <w:fldChar w:fldCharType="begin"/>
    </w:r>
    <w:r>
      <w:instrText xml:space="preserve"> DOCPROPERTY "&lt;Extension&gt;" </w:instrText>
    </w:r>
    <w:r>
      <w:fldChar w:fldCharType="separate"/>
    </w:r>
    <w:r>
      <w:t>CS</w:t>
    </w:r>
    <w:r>
      <w:fldChar w:fldCharType="end"/>
    </w:r>
    <w:r w:rsidR="00A71001" w:rsidRPr="00202735">
      <w:tab/>
    </w:r>
    <w:r w:rsidR="00B11CD2">
      <w:rPr>
        <w:b w:val="0"/>
        <w:i/>
        <w:color w:val="C0C0C0"/>
        <w:sz w:val="22"/>
        <w:szCs w:val="22"/>
      </w:rPr>
      <w:t>Jednotná v rozmanitosti</w:t>
    </w:r>
    <w:r w:rsidR="00A71001" w:rsidRPr="00202735">
      <w:tab/>
    </w:r>
    <w:r>
      <w:fldChar w:fldCharType="begin"/>
    </w:r>
    <w:r>
      <w:instrText xml:space="preserve"> DOCPROPERTY "&lt;Extension&gt;" </w:instrText>
    </w:r>
    <w:r>
      <w:fldChar w:fldCharType="separate"/>
    </w:r>
    <w:r>
      <w:t>CS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2735" w:rsidRPr="00202735" w:rsidRDefault="00202735">
      <w:r w:rsidRPr="00202735">
        <w:separator/>
      </w:r>
    </w:p>
  </w:footnote>
  <w:footnote w:type="continuationSeparator" w:id="0">
    <w:p w:rsidR="00202735" w:rsidRPr="00202735" w:rsidRDefault="00202735">
      <w:r w:rsidRPr="00202735">
        <w:continuationSeparator/>
      </w:r>
    </w:p>
  </w:footnote>
  <w:footnote w:id="1">
    <w:p w:rsidR="00B11CD2" w:rsidRDefault="00B11CD2">
      <w:pPr>
        <w:pStyle w:val="FootnoteText"/>
      </w:pPr>
      <w:r>
        <w:rPr>
          <w:rStyle w:val="FootnoteReference"/>
        </w:rPr>
        <w:footnoteRef/>
      </w:r>
      <w:r>
        <w:t xml:space="preserve"> Úř. věst. C, C/2024/668, 12.1.2024, ELI: </w:t>
      </w:r>
      <w:hyperlink r:id="rId1" w:history="1">
        <w:r>
          <w:rPr>
            <w:rStyle w:val="Hyperlink"/>
          </w:rPr>
          <w:t>https://eur-lex.europa.eu/eli/C/2024/668/oj</w:t>
        </w:r>
      </w:hyperlink>
      <w:r>
        <w:t>.</w:t>
      </w:r>
    </w:p>
  </w:footnote>
  <w:footnote w:id="2">
    <w:p w:rsidR="00B11CD2" w:rsidRDefault="00B11CD2">
      <w:pPr>
        <w:pStyle w:val="FootnoteText"/>
      </w:pPr>
      <w:r>
        <w:rPr>
          <w:rStyle w:val="FootnoteReference"/>
        </w:rPr>
        <w:footnoteRef/>
      </w:r>
      <w:r>
        <w:t xml:space="preserve"> Přijaté texty ke dni 24.4.2024, P10_TA(2024)0356.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CD2" w:rsidRDefault="00B11C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CD2" w:rsidRDefault="00B11C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CD2" w:rsidRDefault="00B11C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1READINGMNU" w:val=" 1"/>
    <w:docVar w:name="AUTHORMFPMNU" w:val=" 2"/>
    <w:docVar w:name="CJMNU" w:val="1"/>
    <w:docVar w:name="COMKEY" w:val="ECON"/>
    <w:docVar w:name="CONTRIBUTIONMNU" w:val=" 1"/>
    <w:docVar w:name="DDATE" w:val="1744063200000"/>
    <w:docVar w:name="DOCDT" w:val="1744063200000"/>
    <w:docVar w:name="DOCMNU" w:val=" 1"/>
    <w:docVar w:name="EPSTATMNU" w:val=" 5"/>
    <w:docVar w:name="INSTITUTIONSMNU" w:val=" 1"/>
    <w:docVar w:name="LastEditedSection" w:val=" 1"/>
    <w:docVar w:name="NVAR1" w:val="0"/>
    <w:docVar w:name="OTHERSTATMNU" w:val=" 4"/>
    <w:docVar w:name="PARLIAMENTSMNU" w:val=" 2"/>
    <w:docVar w:name="strDocTypeID" w:val="PR_COD_2app"/>
    <w:docVar w:name="strSubDir" w:val="1318"/>
    <w:docVar w:name="TXTAUTHOR" w:val="Irene Tinagli"/>
    <w:docVar w:name="TXTLANGUE" w:val="CS"/>
    <w:docVar w:name="TXTLANGUEMIN" w:val="cs"/>
    <w:docVar w:name="TXTNRC" w:val="0054/2025"/>
    <w:docVar w:name="TXTNRCOD" w:val="2023/0288"/>
    <w:docVar w:name="TXTNRCOUNC" w:val="17082/1/2024"/>
    <w:docVar w:name="TXTNRPE" w:val="772.016"/>
    <w:docVar w:name="TXTPEorAP" w:val="PE"/>
    <w:docVar w:name="TXTROUTE" w:val="PR\1318334CS.docx"/>
    <w:docVar w:name="TXTTITLE" w:val="o statistikách trhu práce Evropské unie týkajících se podniků a o zrušení nařízení Rady (ES) č. 530/1999 a nařízení Evropského parlamentu a Rady (ES) č. 450/2003 a (ES) č. 453/2008"/>
    <w:docVar w:name="TXTVERSION" w:val="01-00"/>
  </w:docVars>
  <w:rsids>
    <w:rsidRoot w:val="00202735"/>
    <w:rsid w:val="000220E6"/>
    <w:rsid w:val="000263F4"/>
    <w:rsid w:val="000352F9"/>
    <w:rsid w:val="00071D7E"/>
    <w:rsid w:val="00076114"/>
    <w:rsid w:val="000B55B4"/>
    <w:rsid w:val="000C00BA"/>
    <w:rsid w:val="000F5800"/>
    <w:rsid w:val="00106498"/>
    <w:rsid w:val="00115A46"/>
    <w:rsid w:val="00121F57"/>
    <w:rsid w:val="00135DB4"/>
    <w:rsid w:val="00145F6A"/>
    <w:rsid w:val="001742E9"/>
    <w:rsid w:val="001E7D60"/>
    <w:rsid w:val="001F74C8"/>
    <w:rsid w:val="00202735"/>
    <w:rsid w:val="002B4823"/>
    <w:rsid w:val="002D3607"/>
    <w:rsid w:val="00396EC8"/>
    <w:rsid w:val="003A7AA7"/>
    <w:rsid w:val="003B4DD8"/>
    <w:rsid w:val="00411B37"/>
    <w:rsid w:val="00481A55"/>
    <w:rsid w:val="004A107D"/>
    <w:rsid w:val="004B2B38"/>
    <w:rsid w:val="00507878"/>
    <w:rsid w:val="00522693"/>
    <w:rsid w:val="00574BBD"/>
    <w:rsid w:val="00696B79"/>
    <w:rsid w:val="006A12DF"/>
    <w:rsid w:val="00744DF3"/>
    <w:rsid w:val="00756B4B"/>
    <w:rsid w:val="007C23A6"/>
    <w:rsid w:val="007C77B4"/>
    <w:rsid w:val="007E41A5"/>
    <w:rsid w:val="0085215D"/>
    <w:rsid w:val="00871ED8"/>
    <w:rsid w:val="00872E8E"/>
    <w:rsid w:val="0092262A"/>
    <w:rsid w:val="00973AAF"/>
    <w:rsid w:val="009B3FB2"/>
    <w:rsid w:val="00A04886"/>
    <w:rsid w:val="00A11851"/>
    <w:rsid w:val="00A264FA"/>
    <w:rsid w:val="00A347A7"/>
    <w:rsid w:val="00A653B6"/>
    <w:rsid w:val="00A71001"/>
    <w:rsid w:val="00AB2BE6"/>
    <w:rsid w:val="00AB44E4"/>
    <w:rsid w:val="00B11CD2"/>
    <w:rsid w:val="00B30B85"/>
    <w:rsid w:val="00B328A0"/>
    <w:rsid w:val="00BD1DEF"/>
    <w:rsid w:val="00BF2B16"/>
    <w:rsid w:val="00C117E5"/>
    <w:rsid w:val="00C77873"/>
    <w:rsid w:val="00C83E85"/>
    <w:rsid w:val="00CC026D"/>
    <w:rsid w:val="00D0085C"/>
    <w:rsid w:val="00D019D4"/>
    <w:rsid w:val="00D01B24"/>
    <w:rsid w:val="00D03678"/>
    <w:rsid w:val="00D63387"/>
    <w:rsid w:val="00DC3868"/>
    <w:rsid w:val="00DE253F"/>
    <w:rsid w:val="00E00D94"/>
    <w:rsid w:val="00E220DA"/>
    <w:rsid w:val="00E30664"/>
    <w:rsid w:val="00E4310C"/>
    <w:rsid w:val="00E91F5F"/>
    <w:rsid w:val="00F23F13"/>
    <w:rsid w:val="00F3060C"/>
    <w:rsid w:val="00F90BF7"/>
    <w:rsid w:val="00F96417"/>
    <w:rsid w:val="00FB0188"/>
    <w:rsid w:val="00FE1371"/>
    <w:rsid w:val="00FE5DD1"/>
    <w:rsid w:val="00FF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BDFB4F"/>
  <w15:chartTrackingRefBased/>
  <w15:docId w15:val="{16F4F134-615C-487E-B426-B9F0C3D42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868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2262A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A347A7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96B79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0B55B4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FE137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B55B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AB44E4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1742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742E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1742E9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1742E9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96B79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96B79"/>
    <w:pPr>
      <w:jc w:val="right"/>
    </w:pPr>
  </w:style>
  <w:style w:type="paragraph" w:customStyle="1" w:styleId="EPFooter">
    <w:name w:val="EPFooter"/>
    <w:basedOn w:val="Normal"/>
    <w:rsid w:val="000B55B4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styleId="PageNumber">
    <w:name w:val="page number"/>
    <w:basedOn w:val="DefaultParagraphFont"/>
    <w:semiHidden/>
    <w:rsid w:val="009B3FB2"/>
  </w:style>
  <w:style w:type="character" w:customStyle="1" w:styleId="HeaderChar">
    <w:name w:val="Header Char"/>
    <w:basedOn w:val="DefaultParagraphFont"/>
    <w:link w:val="Header"/>
    <w:semiHidden/>
    <w:rsid w:val="00AB44E4"/>
    <w:rPr>
      <w:sz w:val="24"/>
    </w:rPr>
  </w:style>
  <w:style w:type="paragraph" w:customStyle="1" w:styleId="Normal12a">
    <w:name w:val="Normal12a"/>
    <w:basedOn w:val="Normal"/>
    <w:rsid w:val="00574BBD"/>
    <w:pPr>
      <w:spacing w:after="240"/>
    </w:pPr>
  </w:style>
  <w:style w:type="paragraph" w:customStyle="1" w:styleId="Lgendesigne">
    <w:name w:val="Légende signe"/>
    <w:basedOn w:val="Normal"/>
    <w:rsid w:val="00B11CD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11CD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11CD2"/>
    <w:rPr>
      <w:sz w:val="18"/>
    </w:rPr>
  </w:style>
  <w:style w:type="paragraph" w:styleId="FootnoteText">
    <w:name w:val="footnote text"/>
    <w:basedOn w:val="Normal"/>
    <w:link w:val="FootnoteTextChar"/>
    <w:rsid w:val="00B11CD2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B11CD2"/>
    <w:rPr>
      <w:lang w:val="cs-CZ"/>
    </w:rPr>
  </w:style>
  <w:style w:type="character" w:styleId="FootnoteReference">
    <w:name w:val="footnote reference"/>
    <w:basedOn w:val="DefaultParagraphFont"/>
    <w:rsid w:val="00B11CD2"/>
    <w:rPr>
      <w:vertAlign w:val="superscript"/>
    </w:rPr>
  </w:style>
  <w:style w:type="character" w:styleId="Hyperlink">
    <w:name w:val="Hyperlink"/>
    <w:basedOn w:val="DefaultParagraphFont"/>
    <w:rsid w:val="00B11CD2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B11CD2"/>
    <w:pPr>
      <w:spacing w:after="480"/>
    </w:pPr>
  </w:style>
  <w:style w:type="paragraph" w:customStyle="1" w:styleId="NormalBoldCenter">
    <w:name w:val="NormalBoldCenter"/>
    <w:basedOn w:val="Normal"/>
    <w:rsid w:val="00B11CD2"/>
    <w:pPr>
      <w:jc w:val="center"/>
    </w:pPr>
    <w:rPr>
      <w:b/>
    </w:rPr>
  </w:style>
  <w:style w:type="paragraph" w:customStyle="1" w:styleId="Footprint12b">
    <w:name w:val="Footprint12b"/>
    <w:basedOn w:val="Normal"/>
    <w:rsid w:val="00B11CD2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B11CD2"/>
    <w:rPr>
      <w:szCs w:val="24"/>
    </w:rPr>
  </w:style>
  <w:style w:type="paragraph" w:styleId="Footer">
    <w:name w:val="footer"/>
    <w:basedOn w:val="Normal"/>
    <w:link w:val="FooterChar"/>
    <w:semiHidden/>
    <w:rsid w:val="00A264F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A264FA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60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yperlink" Target="https://www.europarl.europa.eu/data-protect/index.d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4/66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7E134-81A0-4702-8624-547D51E18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749</Words>
  <Characters>4527</Characters>
  <Application>Microsoft Office Word</Application>
  <DocSecurity>0</DocSecurity>
  <Lines>141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PR_COD_2app</vt:lpstr>
    </vt:vector>
  </TitlesOfParts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PR_COD_2app</dc:title>
  <dc:subject/>
  <dc:creator>GOESSINGER SKLENAROVA Ruzena</dc:creator>
  <cp:keywords/>
  <dc:description/>
  <cp:lastModifiedBy>SODOMKOVA Renata</cp:lastModifiedBy>
  <cp:revision>2</cp:revision>
  <cp:lastPrinted>2004-11-04T09:41:00Z</cp:lastPrinted>
  <dcterms:created xsi:type="dcterms:W3CDTF">2025-04-23T09:25:00Z</dcterms:created>
  <dcterms:modified xsi:type="dcterms:W3CDTF">2025-04-23T09:25:00Z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10.0.1 Build [20250114]</vt:lpwstr>
  </property>
  <property fmtid="{D5CDD505-2E9C-101B-9397-08002B2CF9AE}" pid="4" name="LastEdited with">
    <vt:lpwstr>10.1.0 Build [20250401]</vt:lpwstr>
  </property>
  <property fmtid="{D5CDD505-2E9C-101B-9397-08002B2CF9AE}" pid="5" name="&lt;FdR&gt;">
    <vt:lpwstr>1318334</vt:lpwstr>
  </property>
  <property fmtid="{D5CDD505-2E9C-101B-9397-08002B2CF9AE}" pid="6" name="&lt;Type&gt;">
    <vt:lpwstr>PR</vt:lpwstr>
  </property>
  <property fmtid="{D5CDD505-2E9C-101B-9397-08002B2CF9AE}" pid="7" name="&lt;ModelCod&gt;">
    <vt:lpwstr>\\eiciLUXpr1\tdocep$\DocEP\DOCS\General\PR\PR_Leg\COD\COD_2nd\PR_COD_2app.dotx(07/06/2021 18:34:32)</vt:lpwstr>
  </property>
  <property fmtid="{D5CDD505-2E9C-101B-9397-08002B2CF9AE}" pid="8" name="&lt;ModelTra&gt;">
    <vt:lpwstr>\\eiciLUXpr1\tdocep$\DocEP\TRANSFIL\CS\PR_COD_2app.CS(16/01/2025 23:58:01)</vt:lpwstr>
  </property>
  <property fmtid="{D5CDD505-2E9C-101B-9397-08002B2CF9AE}" pid="9" name="&lt;Model&gt;">
    <vt:lpwstr>PR_COD_2app</vt:lpwstr>
  </property>
  <property fmtid="{D5CDD505-2E9C-101B-9397-08002B2CF9AE}" pid="10" name="FooterPath">
    <vt:lpwstr>PR\1318334CS.docx</vt:lpwstr>
  </property>
  <property fmtid="{D5CDD505-2E9C-101B-9397-08002B2CF9AE}" pid="11" name="PE number">
    <vt:lpwstr>772.016</vt:lpwstr>
  </property>
  <property fmtid="{D5CDD505-2E9C-101B-9397-08002B2CF9AE}" pid="12" name="Bookout">
    <vt:lpwstr>OK - 2025/04/23 11:24</vt:lpwstr>
  </property>
  <property fmtid="{D5CDD505-2E9C-101B-9397-08002B2CF9AE}" pid="13" name="SDLStudio">
    <vt:lpwstr/>
  </property>
</Properties>
</file>