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356F22" w:rsidRPr="00C831D3" w14:paraId="1F6CF60F" w14:textId="77777777" w:rsidTr="00C85D0F">
        <w:trPr>
          <w:trHeight w:hRule="exact" w:val="1418"/>
        </w:trPr>
        <w:tc>
          <w:tcPr>
            <w:tcW w:w="6804" w:type="dxa"/>
            <w:shd w:val="clear" w:color="auto" w:fill="auto"/>
            <w:vAlign w:val="center"/>
          </w:tcPr>
          <w:p w14:paraId="1ACCA682" w14:textId="4E363274" w:rsidR="00356F22" w:rsidRPr="00C831D3" w:rsidRDefault="00D830AD" w:rsidP="00C85D0F">
            <w:pPr>
              <w:pStyle w:val="EPName"/>
            </w:pPr>
            <w:r>
              <w:t>Evropský parlament</w:t>
            </w:r>
          </w:p>
          <w:p w14:paraId="381C92BB" w14:textId="52142960" w:rsidR="00356F22" w:rsidRPr="00C831D3" w:rsidRDefault="00C831D3" w:rsidP="00C85D0F">
            <w:pPr>
              <w:pStyle w:val="EPTerm"/>
            </w:pPr>
            <w:r>
              <w:t>2024-2029</w:t>
            </w:r>
          </w:p>
        </w:tc>
        <w:tc>
          <w:tcPr>
            <w:tcW w:w="2268" w:type="dxa"/>
            <w:shd w:val="clear" w:color="auto" w:fill="auto"/>
          </w:tcPr>
          <w:p w14:paraId="3B35F10B" w14:textId="77777777" w:rsidR="00356F22" w:rsidRPr="00C831D3" w:rsidRDefault="00356F22" w:rsidP="00C85D0F">
            <w:pPr>
              <w:pStyle w:val="EPLogo"/>
            </w:pPr>
            <w:r w:rsidRPr="00C831D3">
              <w:rPr>
                <w:noProof/>
                <w:lang w:val="en-GB" w:eastAsia="zh-TW"/>
              </w:rPr>
              <w:drawing>
                <wp:inline distT="0" distB="0" distL="0" distR="0" wp14:anchorId="4907D7B9" wp14:editId="4CEBBFB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22866BB" w14:textId="77777777" w:rsidR="00C71A3C" w:rsidRPr="00C831D3" w:rsidRDefault="00C71A3C" w:rsidP="00C71A3C">
      <w:pPr>
        <w:pStyle w:val="LineTop"/>
      </w:pPr>
    </w:p>
    <w:p w14:paraId="52F9E023" w14:textId="4E400B75" w:rsidR="00C71A3C" w:rsidRPr="00C831D3" w:rsidRDefault="00C71A3C" w:rsidP="00C71A3C">
      <w:pPr>
        <w:pStyle w:val="EPBody"/>
      </w:pPr>
      <w:r>
        <w:rPr>
          <w:rStyle w:val="HideTWBExt"/>
        </w:rPr>
        <w:t>&lt;</w:t>
      </w:r>
      <w:r>
        <w:rPr>
          <w:rStyle w:val="HideTWBExt"/>
          <w:i w:val="0"/>
        </w:rPr>
        <w:t>Commission</w:t>
      </w:r>
      <w:r>
        <w:rPr>
          <w:rStyle w:val="HideTWBExt"/>
        </w:rPr>
        <w:t>&gt;</w:t>
      </w:r>
      <w:r>
        <w:rPr>
          <w:rStyle w:val="HideTWBInt"/>
        </w:rPr>
        <w:t>{ECON}</w:t>
      </w:r>
      <w:r>
        <w:t>Hospodářský</w:t>
      </w:r>
      <w:r w:rsidR="00FB18DC">
        <w:t xml:space="preserve"> a </w:t>
      </w:r>
      <w:r>
        <w:t>měnový výbor</w:t>
      </w:r>
      <w:r>
        <w:rPr>
          <w:rStyle w:val="HideTWBExt"/>
        </w:rPr>
        <w:t>&lt;/</w:t>
      </w:r>
      <w:r>
        <w:rPr>
          <w:rStyle w:val="HideTWBExt"/>
          <w:i w:val="0"/>
        </w:rPr>
        <w:t>Commission</w:t>
      </w:r>
      <w:r>
        <w:rPr>
          <w:rStyle w:val="HideTWBExt"/>
        </w:rPr>
        <w:t>&gt;</w:t>
      </w:r>
    </w:p>
    <w:p w14:paraId="57186E23" w14:textId="77777777" w:rsidR="00C71A3C" w:rsidRPr="00C831D3" w:rsidRDefault="00C71A3C" w:rsidP="00C71A3C">
      <w:pPr>
        <w:pStyle w:val="LineBottom"/>
      </w:pPr>
    </w:p>
    <w:p w14:paraId="5F46233C" w14:textId="294A9101" w:rsidR="00ED0821" w:rsidRPr="00C831D3" w:rsidRDefault="00ED0821">
      <w:pPr>
        <w:pStyle w:val="CoverReference"/>
      </w:pPr>
      <w:r>
        <w:rPr>
          <w:rStyle w:val="HideTWBExt"/>
          <w:b w:val="0"/>
        </w:rPr>
        <w:t>&lt;RefProc&gt;</w:t>
      </w:r>
      <w:r>
        <w:t>2023/0158</w:t>
      </w:r>
      <w:r>
        <w:rPr>
          <w:rStyle w:val="HideTWBExt"/>
          <w:b w:val="0"/>
        </w:rPr>
        <w:t>&lt;/RefProc&gt;&lt;RefTypeProc&gt;</w:t>
      </w:r>
      <w:r>
        <w:t>(CNS)</w:t>
      </w:r>
      <w:r>
        <w:rPr>
          <w:rStyle w:val="HideTWBExt"/>
          <w:b w:val="0"/>
        </w:rPr>
        <w:t>&lt;/RefTypeProc&gt;</w:t>
      </w:r>
    </w:p>
    <w:p w14:paraId="20C28B91" w14:textId="4D35D376" w:rsidR="00ED0821" w:rsidRPr="00C831D3" w:rsidRDefault="00ED0821">
      <w:pPr>
        <w:pStyle w:val="CoverDate"/>
      </w:pPr>
      <w:r>
        <w:rPr>
          <w:rStyle w:val="HideTWBExt"/>
        </w:rPr>
        <w:t>&lt;Date&gt;</w:t>
      </w:r>
      <w:r>
        <w:rPr>
          <w:rStyle w:val="HideTWBInt"/>
        </w:rPr>
        <w:t>{13/06/2025}</w:t>
      </w:r>
      <w:r>
        <w:t>13.6.2025</w:t>
      </w:r>
      <w:r>
        <w:rPr>
          <w:rStyle w:val="HideTWBExt"/>
        </w:rPr>
        <w:t>&lt;/Date&gt;</w:t>
      </w:r>
    </w:p>
    <w:p w14:paraId="6270FA30" w14:textId="77777777" w:rsidR="00ED0821" w:rsidRPr="00C831D3" w:rsidRDefault="00ED0821">
      <w:pPr>
        <w:pStyle w:val="CoverDocType"/>
      </w:pPr>
      <w:r>
        <w:rPr>
          <w:rStyle w:val="HideTWBExt"/>
          <w:b w:val="0"/>
        </w:rPr>
        <w:t>&lt;RefProcLect&gt;</w:t>
      </w:r>
      <w:r>
        <w:t>*</w:t>
      </w:r>
      <w:r>
        <w:rPr>
          <w:rStyle w:val="HideTWBExt"/>
          <w:b w:val="0"/>
        </w:rPr>
        <w:t>&lt;/RefProcLect&gt;</w:t>
      </w:r>
    </w:p>
    <w:p w14:paraId="233AEC57" w14:textId="71740BC6" w:rsidR="00ED0821" w:rsidRPr="00C831D3" w:rsidRDefault="00ED0821">
      <w:pPr>
        <w:pStyle w:val="CoverDocType24a"/>
      </w:pPr>
      <w:r>
        <w:rPr>
          <w:rStyle w:val="HideTWBExt"/>
          <w:b w:val="0"/>
        </w:rPr>
        <w:t>&lt;TitreType&gt;</w:t>
      </w:r>
      <w:r>
        <w:t>NÁVRH ZPRÁVY</w:t>
      </w:r>
      <w:r>
        <w:rPr>
          <w:rStyle w:val="HideTWBExt"/>
          <w:b w:val="0"/>
        </w:rPr>
        <w:t>&lt;/TitreType&gt;</w:t>
      </w:r>
    </w:p>
    <w:p w14:paraId="26898479" w14:textId="7285BE58" w:rsidR="00ED0821" w:rsidRPr="00C831D3" w:rsidRDefault="00ED0821">
      <w:pPr>
        <w:pStyle w:val="CoverNormal"/>
      </w:pPr>
      <w:r>
        <w:rPr>
          <w:rStyle w:val="HideTWBExt"/>
        </w:rPr>
        <w:t>&lt;Titre&gt;</w:t>
      </w:r>
      <w:r>
        <w:t>o návrhu směrnice Rady, kterou se mění směrnice 2006/112/ES, pokud jde</w:t>
      </w:r>
      <w:r w:rsidR="00FB18DC">
        <w:t xml:space="preserve"> o </w:t>
      </w:r>
      <w:r>
        <w:t>pravidla DPH vztahující se na osoby povinné</w:t>
      </w:r>
      <w:r w:rsidR="00FB18DC">
        <w:t xml:space="preserve"> k </w:t>
      </w:r>
      <w:r>
        <w:t>dani, které usnadňují prodej na dálku</w:t>
      </w:r>
      <w:r w:rsidR="00FB18DC">
        <w:t xml:space="preserve"> u </w:t>
      </w:r>
      <w:r>
        <w:t>dováženého zboží,</w:t>
      </w:r>
      <w:r w:rsidR="00FB18DC">
        <w:t xml:space="preserve"> a o </w:t>
      </w:r>
      <w:r>
        <w:t>uplatňování zvláštního režimu pro prodej na dálku</w:t>
      </w:r>
      <w:r w:rsidR="00FB18DC">
        <w:t xml:space="preserve"> u </w:t>
      </w:r>
      <w:r>
        <w:t>zboží dovezeného ze třetích území nebo třetích zemí</w:t>
      </w:r>
      <w:r w:rsidR="00FB18DC">
        <w:t xml:space="preserve"> a </w:t>
      </w:r>
      <w:r>
        <w:t>zvláštního režimu pro přiznání</w:t>
      </w:r>
      <w:r w:rsidR="00FB18DC">
        <w:t xml:space="preserve"> a </w:t>
      </w:r>
      <w:r>
        <w:t>odvod DPH při dovozu</w:t>
      </w:r>
      <w:r>
        <w:rPr>
          <w:rStyle w:val="HideTWBExt"/>
        </w:rPr>
        <w:t>&lt;/Titre&gt;</w:t>
      </w:r>
    </w:p>
    <w:p w14:paraId="04ABD8A6" w14:textId="2D39F980" w:rsidR="00ED0821" w:rsidRPr="00C831D3" w:rsidRDefault="00ED0821">
      <w:pPr>
        <w:pStyle w:val="CoverNormal24a"/>
      </w:pPr>
      <w:r>
        <w:rPr>
          <w:rStyle w:val="HideTWBExt"/>
        </w:rPr>
        <w:t>&lt;DocRef&gt;</w:t>
      </w:r>
      <w:r>
        <w:t>(08710/2025 – C10</w:t>
      </w:r>
      <w:r>
        <w:noBreakHyphen/>
        <w:t>0084/2025 – 2023/0158(CNS))</w:t>
      </w:r>
      <w:r>
        <w:rPr>
          <w:rStyle w:val="HideTWBExt"/>
        </w:rPr>
        <w:t>&lt;/DocRef&gt;</w:t>
      </w:r>
    </w:p>
    <w:p w14:paraId="4FA2FEBE" w14:textId="2131F904" w:rsidR="00ED0821" w:rsidRPr="00C831D3" w:rsidRDefault="00ED0821">
      <w:pPr>
        <w:pStyle w:val="CoverNormal24a"/>
      </w:pPr>
      <w:r>
        <w:rPr>
          <w:rStyle w:val="HideTWBExt"/>
        </w:rPr>
        <w:t>&lt;Commission&gt;</w:t>
      </w:r>
      <w:r>
        <w:rPr>
          <w:rStyle w:val="HideTWBInt"/>
        </w:rPr>
        <w:t>{ECON}</w:t>
      </w:r>
      <w:r>
        <w:t>Hospodářský</w:t>
      </w:r>
      <w:r w:rsidR="00FB18DC">
        <w:t xml:space="preserve"> a </w:t>
      </w:r>
      <w:r>
        <w:t>měnový výbor</w:t>
      </w:r>
      <w:r>
        <w:rPr>
          <w:rStyle w:val="HideTWBExt"/>
        </w:rPr>
        <w:t>&lt;/Commission&gt;</w:t>
      </w:r>
    </w:p>
    <w:p w14:paraId="3B139FD5" w14:textId="6928F4EC" w:rsidR="00ED0821" w:rsidRPr="00C831D3" w:rsidRDefault="00C831D3">
      <w:pPr>
        <w:pStyle w:val="CoverNormal24a"/>
      </w:pPr>
      <w:r>
        <w:t xml:space="preserve">Zpravodaj: </w:t>
      </w:r>
      <w:r>
        <w:rPr>
          <w:rStyle w:val="HideTWBExt"/>
        </w:rPr>
        <w:t>&lt;Depute&gt;</w:t>
      </w:r>
      <w:r>
        <w:t>Ľudovít Ódor</w:t>
      </w:r>
      <w:r>
        <w:rPr>
          <w:rStyle w:val="HideTWBExt"/>
        </w:rPr>
        <w:t>&lt;/Depute&gt;</w:t>
      </w:r>
    </w:p>
    <w:p w14:paraId="13AD51D4" w14:textId="77777777" w:rsidR="00C831D3" w:rsidRPr="00C831D3" w:rsidRDefault="00C831D3" w:rsidP="00BE4EC7">
      <w:pPr>
        <w:pStyle w:val="CoverNormal"/>
      </w:pPr>
    </w:p>
    <w:p w14:paraId="6A01AF91" w14:textId="77777777" w:rsidR="00C831D3" w:rsidRPr="00C831D3" w:rsidRDefault="00C831D3" w:rsidP="00BE4EC7">
      <w:pPr>
        <w:pStyle w:val="CoverNormal"/>
      </w:pPr>
    </w:p>
    <w:p w14:paraId="7AE77BED" w14:textId="7B28DF0B" w:rsidR="00BE4EC7" w:rsidRPr="00C831D3" w:rsidRDefault="00C831D3" w:rsidP="00BE4EC7">
      <w:pPr>
        <w:pStyle w:val="CoverNormal"/>
      </w:pPr>
      <w:r>
        <w:t>(Opětovná konzultace – článek 86 jednacího řádu)</w:t>
      </w:r>
    </w:p>
    <w:p w14:paraId="247B35A0" w14:textId="77777777" w:rsidR="00C831D3" w:rsidRPr="00C831D3" w:rsidRDefault="00C831D3" w:rsidP="00894923"/>
    <w:p w14:paraId="51A755B9" w14:textId="463F7198" w:rsidR="00C831D3" w:rsidRPr="00C831D3" w:rsidRDefault="00ED0821" w:rsidP="00894923">
      <w:r>
        <w:br w:type="page"/>
      </w:r>
      <w:fldSimple w:instr=" TITLE  \* MERGEFORMAT ">
        <w:r w:rsidR="00FB18DC">
          <w:t>PR_CNS_LegAct_app</w:t>
        </w:r>
      </w:fldSimple>
    </w:p>
    <w:p w14:paraId="1B907C71" w14:textId="77777777" w:rsidR="00C831D3" w:rsidRPr="00C831D3" w:rsidRDefault="00C831D3" w:rsidP="00894923"/>
    <w:p w14:paraId="1102B38D" w14:textId="77777777" w:rsidR="00C831D3" w:rsidRPr="00C831D3" w:rsidRDefault="00C831D3"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C831D3" w:rsidRPr="00C831D3" w14:paraId="61EFF68B" w14:textId="77777777">
        <w:tc>
          <w:tcPr>
            <w:tcW w:w="5811" w:type="dxa"/>
          </w:tcPr>
          <w:p w14:paraId="2FAEDA0D" w14:textId="77777777" w:rsidR="00C831D3" w:rsidRPr="00C831D3" w:rsidRDefault="00C831D3" w:rsidP="00894923">
            <w:pPr>
              <w:pStyle w:val="Lgendetitre"/>
            </w:pPr>
            <w:r>
              <w:t>Vysvětlivky</w:t>
            </w:r>
          </w:p>
        </w:tc>
      </w:tr>
      <w:tr w:rsidR="00C831D3" w:rsidRPr="00C831D3" w14:paraId="7210FA52" w14:textId="77777777" w:rsidTr="00D60247">
        <w:trPr>
          <w:cantSplit/>
          <w:trHeight w:val="1807"/>
        </w:trPr>
        <w:tc>
          <w:tcPr>
            <w:tcW w:w="5811" w:type="dxa"/>
            <w:tcBorders>
              <w:bottom w:val="single" w:sz="4" w:space="0" w:color="auto"/>
            </w:tcBorders>
          </w:tcPr>
          <w:p w14:paraId="4DD219D2" w14:textId="77777777" w:rsidR="00C831D3" w:rsidRPr="00C831D3" w:rsidRDefault="00C831D3" w:rsidP="00291397">
            <w:pPr>
              <w:pStyle w:val="Lgendesigne"/>
            </w:pPr>
            <w:r>
              <w:tab/>
              <w:t>*</w:t>
            </w:r>
            <w:r>
              <w:tab/>
              <w:t>Postup konzultace</w:t>
            </w:r>
          </w:p>
          <w:p w14:paraId="103579A3" w14:textId="77777777" w:rsidR="00C831D3" w:rsidRPr="00C831D3" w:rsidRDefault="00C831D3" w:rsidP="00291397">
            <w:pPr>
              <w:pStyle w:val="Lgendesigne"/>
            </w:pPr>
            <w:r>
              <w:tab/>
              <w:t>***</w:t>
            </w:r>
            <w:r>
              <w:tab/>
              <w:t>Postup souhlasu</w:t>
            </w:r>
          </w:p>
          <w:p w14:paraId="6E882EB7" w14:textId="77777777" w:rsidR="00C831D3" w:rsidRPr="00C831D3" w:rsidRDefault="00C831D3" w:rsidP="00291397">
            <w:pPr>
              <w:pStyle w:val="Lgendesigne"/>
            </w:pPr>
            <w:r>
              <w:tab/>
              <w:t>***I</w:t>
            </w:r>
            <w:r>
              <w:tab/>
              <w:t>Řádný legislativní postup (první čtení)</w:t>
            </w:r>
          </w:p>
          <w:p w14:paraId="79750DC6" w14:textId="77777777" w:rsidR="00C831D3" w:rsidRPr="00C831D3" w:rsidRDefault="00C831D3" w:rsidP="00291397">
            <w:pPr>
              <w:pStyle w:val="Lgendesigne"/>
            </w:pPr>
            <w:r>
              <w:tab/>
              <w:t>***II</w:t>
            </w:r>
            <w:r>
              <w:tab/>
              <w:t>Řádný legislativní postup (druhé čtení)</w:t>
            </w:r>
          </w:p>
          <w:p w14:paraId="1A9E6955" w14:textId="77777777" w:rsidR="00C831D3" w:rsidRPr="00C831D3" w:rsidRDefault="00C831D3" w:rsidP="00291397">
            <w:pPr>
              <w:pStyle w:val="Lgendesigne"/>
            </w:pPr>
            <w:r>
              <w:tab/>
              <w:t>***III</w:t>
            </w:r>
            <w:r>
              <w:tab/>
              <w:t>Řádný legislativní postup (třetí čtení)</w:t>
            </w:r>
          </w:p>
          <w:p w14:paraId="4A3B93DB" w14:textId="77777777" w:rsidR="00C831D3" w:rsidRPr="00C831D3" w:rsidRDefault="00C831D3" w:rsidP="0069092A">
            <w:pPr>
              <w:pStyle w:val="Lgendestandard"/>
            </w:pPr>
          </w:p>
          <w:p w14:paraId="6AA41851" w14:textId="229FD3C0" w:rsidR="00C831D3" w:rsidRPr="00C831D3" w:rsidRDefault="00C831D3" w:rsidP="0069092A">
            <w:pPr>
              <w:pStyle w:val="Lgendestandard"/>
            </w:pPr>
            <w:r>
              <w:t>(Druh postupu závisí na právním základu navrženém</w:t>
            </w:r>
            <w:r w:rsidR="00FB18DC">
              <w:t xml:space="preserve"> v </w:t>
            </w:r>
            <w:r>
              <w:t>návrhu aktu.)</w:t>
            </w:r>
          </w:p>
          <w:p w14:paraId="3445BA83" w14:textId="77777777" w:rsidR="00C831D3" w:rsidRPr="00C831D3" w:rsidRDefault="00C831D3" w:rsidP="008F1BC6">
            <w:pPr>
              <w:pStyle w:val="Lgendestandard"/>
            </w:pPr>
          </w:p>
        </w:tc>
      </w:tr>
    </w:tbl>
    <w:p w14:paraId="1060079D" w14:textId="77777777" w:rsidR="00C831D3" w:rsidRPr="00C831D3" w:rsidRDefault="00C831D3" w:rsidP="00894923"/>
    <w:p w14:paraId="4F10D432" w14:textId="77777777" w:rsidR="00C831D3" w:rsidRPr="00C831D3" w:rsidRDefault="00C831D3" w:rsidP="00894923"/>
    <w:p w14:paraId="53A96AEA" w14:textId="77777777" w:rsidR="00C831D3" w:rsidRPr="00C831D3" w:rsidRDefault="00C831D3" w:rsidP="00894923"/>
    <w:p w14:paraId="25776A4D" w14:textId="77777777" w:rsidR="00C831D3" w:rsidRPr="00C831D3" w:rsidRDefault="00C831D3" w:rsidP="00291397"/>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C831D3" w:rsidRPr="00C831D3" w14:paraId="398227F9" w14:textId="77777777" w:rsidTr="00740116">
        <w:tc>
          <w:tcPr>
            <w:tcW w:w="5811" w:type="dxa"/>
          </w:tcPr>
          <w:p w14:paraId="7135D6E6" w14:textId="4063CEB7" w:rsidR="00C831D3" w:rsidRPr="00C831D3" w:rsidRDefault="00C831D3" w:rsidP="00740116">
            <w:pPr>
              <w:pStyle w:val="Lgendetitre"/>
            </w:pPr>
            <w:r>
              <w:t>Pozměňovací návrhy</w:t>
            </w:r>
            <w:r w:rsidR="00FB18DC">
              <w:t xml:space="preserve"> k </w:t>
            </w:r>
            <w:r>
              <w:t>návrhu aktu</w:t>
            </w:r>
          </w:p>
        </w:tc>
      </w:tr>
      <w:tr w:rsidR="00C831D3" w:rsidRPr="00C831D3" w14:paraId="2B9F4651" w14:textId="77777777" w:rsidTr="00D60247">
        <w:trPr>
          <w:trHeight w:val="4213"/>
        </w:trPr>
        <w:tc>
          <w:tcPr>
            <w:tcW w:w="5811" w:type="dxa"/>
          </w:tcPr>
          <w:p w14:paraId="51443D05" w14:textId="77777777" w:rsidR="00C831D3" w:rsidRPr="00C831D3" w:rsidRDefault="00C831D3" w:rsidP="00740116">
            <w:pPr>
              <w:pStyle w:val="Lgendestandard"/>
              <w:rPr>
                <w:szCs w:val="18"/>
              </w:rPr>
            </w:pPr>
            <w:r>
              <w:rPr>
                <w:b/>
              </w:rPr>
              <w:t>Pozměňovacích návrhy Parlamentu předložené ve dvou sloupcích</w:t>
            </w:r>
          </w:p>
          <w:p w14:paraId="41E5C02F" w14:textId="77777777" w:rsidR="00C831D3" w:rsidRPr="00C831D3" w:rsidRDefault="00C831D3" w:rsidP="00740116">
            <w:pPr>
              <w:pStyle w:val="Lgendestandard"/>
              <w:rPr>
                <w:szCs w:val="18"/>
              </w:rPr>
            </w:pPr>
          </w:p>
          <w:p w14:paraId="260A9CF9" w14:textId="72CE224E" w:rsidR="00C831D3" w:rsidRPr="00C831D3" w:rsidRDefault="00C831D3" w:rsidP="00740116">
            <w:pPr>
              <w:pStyle w:val="Lgendestandard"/>
              <w:rPr>
                <w:szCs w:val="18"/>
              </w:rPr>
            </w:pPr>
            <w:r>
              <w:t xml:space="preserve">Vypuštění textu je označeno </w:t>
            </w:r>
            <w:r>
              <w:rPr>
                <w:b/>
                <w:i/>
              </w:rPr>
              <w:t>tučnou kurzivou</w:t>
            </w:r>
            <w:r w:rsidR="00FB18DC">
              <w:rPr>
                <w:b/>
                <w:i/>
              </w:rPr>
              <w:t xml:space="preserve"> v </w:t>
            </w:r>
            <w:r>
              <w:t xml:space="preserve">levém sloupci. Nahrazení je označeno </w:t>
            </w:r>
            <w:r>
              <w:rPr>
                <w:b/>
                <w:i/>
              </w:rPr>
              <w:t>tučnou kurzivou</w:t>
            </w:r>
            <w:r w:rsidR="00FB18DC">
              <w:t xml:space="preserve"> v </w:t>
            </w:r>
            <w:r>
              <w:t xml:space="preserve">obou sloupcích. Nový text je označen </w:t>
            </w:r>
            <w:r>
              <w:rPr>
                <w:b/>
                <w:i/>
              </w:rPr>
              <w:t>tučnou kurzivou</w:t>
            </w:r>
            <w:r w:rsidR="00FB18DC">
              <w:t xml:space="preserve"> v </w:t>
            </w:r>
            <w:r>
              <w:t>pravém sloupci.</w:t>
            </w:r>
          </w:p>
          <w:p w14:paraId="0034C464" w14:textId="77777777" w:rsidR="00C831D3" w:rsidRPr="00C831D3" w:rsidRDefault="00C831D3" w:rsidP="00740116">
            <w:pPr>
              <w:pStyle w:val="Lgendestandard"/>
            </w:pPr>
          </w:p>
          <w:p w14:paraId="035EF232" w14:textId="4DA7E7D4" w:rsidR="00C831D3" w:rsidRPr="00C831D3" w:rsidRDefault="00C831D3" w:rsidP="00740116">
            <w:pPr>
              <w:pStyle w:val="Lgendestandard"/>
            </w:pPr>
            <w:r>
              <w:t>První</w:t>
            </w:r>
            <w:r w:rsidR="00FB18DC">
              <w:t xml:space="preserve"> a </w:t>
            </w:r>
            <w:r>
              <w:t>druhý řádek záhlaví každého pozměňovacího návrhu označují příslušnou část projednávaného návrhu aktu. Pokud se pozměňovací návrh týká existujícího aktu, který má být návrhem aktu pozměněn, je</w:t>
            </w:r>
            <w:r w:rsidR="00FB18DC">
              <w:t xml:space="preserve"> v </w:t>
            </w:r>
            <w:r>
              <w:t>záhlaví mimo to na třetím řádku uveden existující akt</w:t>
            </w:r>
            <w:r w:rsidR="00FB18DC">
              <w:t xml:space="preserve"> a </w:t>
            </w:r>
            <w:r>
              <w:t xml:space="preserve">na čtvrtém řádku ustanovení existujícího aktu, kterého se pozměňovací návrh týká. </w:t>
            </w:r>
          </w:p>
          <w:p w14:paraId="6C7E0EAD" w14:textId="77777777" w:rsidR="00C831D3" w:rsidRPr="00C831D3" w:rsidRDefault="00C831D3" w:rsidP="00740116">
            <w:pPr>
              <w:pStyle w:val="Lgendestandard"/>
            </w:pPr>
          </w:p>
          <w:p w14:paraId="3B05F8FF" w14:textId="61DA40DB" w:rsidR="00C831D3" w:rsidRPr="00C831D3" w:rsidRDefault="00C831D3" w:rsidP="00740116">
            <w:pPr>
              <w:pStyle w:val="Lgendestandard"/>
              <w:rPr>
                <w:b/>
                <w:szCs w:val="18"/>
              </w:rPr>
            </w:pPr>
            <w:r>
              <w:rPr>
                <w:b/>
              </w:rPr>
              <w:t>Pozměňovací návrhy Parlamentu</w:t>
            </w:r>
            <w:r w:rsidR="00FB18DC">
              <w:rPr>
                <w:b/>
              </w:rPr>
              <w:t xml:space="preserve"> v </w:t>
            </w:r>
            <w:r>
              <w:rPr>
                <w:b/>
              </w:rPr>
              <w:t>podobě konsolidovaného textu</w:t>
            </w:r>
          </w:p>
          <w:p w14:paraId="6F2E22C7" w14:textId="77777777" w:rsidR="00C831D3" w:rsidRPr="00C831D3" w:rsidRDefault="00C831D3" w:rsidP="00740116">
            <w:pPr>
              <w:pStyle w:val="Lgendestandard"/>
              <w:rPr>
                <w:szCs w:val="18"/>
              </w:rPr>
            </w:pPr>
          </w:p>
          <w:p w14:paraId="57F92BD2" w14:textId="707EE919" w:rsidR="00C831D3" w:rsidRPr="00C831D3" w:rsidRDefault="00C831D3" w:rsidP="00740116">
            <w:pPr>
              <w:pStyle w:val="Lgendestandard"/>
            </w:pPr>
            <w:r>
              <w:t xml:space="preserve">Nové části textu jsou označeny </w:t>
            </w:r>
            <w:r>
              <w:rPr>
                <w:b/>
                <w:i/>
              </w:rPr>
              <w:t>tučnou kurzivou</w:t>
            </w:r>
            <w:r>
              <w:t xml:space="preserve">. Vypuštěné části textu jsou označeny symbolem ▌nebo přeškrtnuty. Nahrazení se vyznačují tak, že nový text se označí </w:t>
            </w:r>
            <w:r>
              <w:rPr>
                <w:b/>
                <w:i/>
              </w:rPr>
              <w:t>tučnou kurzivou</w:t>
            </w:r>
            <w:r w:rsidR="00FB18DC">
              <w:t xml:space="preserve"> a </w:t>
            </w:r>
            <w:r>
              <w:t>nahrazený text se vymaže nebo přeškrtne. Výjimečně se neoznačují změny výlučně technické povahy, které provedly příslušné útvary za účelem vypracování konečného znění.</w:t>
            </w:r>
          </w:p>
          <w:p w14:paraId="0D12F720" w14:textId="77777777" w:rsidR="00C831D3" w:rsidRPr="00C831D3" w:rsidRDefault="00C831D3" w:rsidP="00740116">
            <w:pPr>
              <w:pStyle w:val="Lgendestandard"/>
            </w:pPr>
          </w:p>
        </w:tc>
      </w:tr>
    </w:tbl>
    <w:p w14:paraId="1859540A" w14:textId="77777777" w:rsidR="00C831D3" w:rsidRPr="00C831D3" w:rsidRDefault="00C831D3" w:rsidP="00291397"/>
    <w:p w14:paraId="35F9C978" w14:textId="77777777" w:rsidR="00C831D3" w:rsidRPr="00C831D3" w:rsidRDefault="00C831D3" w:rsidP="00291397"/>
    <w:p w14:paraId="1D8A333A" w14:textId="4AB2BF29" w:rsidR="00ED0821" w:rsidRPr="00C831D3" w:rsidRDefault="00ED0821" w:rsidP="004C4A0B">
      <w:pPr>
        <w:widowControl/>
        <w:tabs>
          <w:tab w:val="center" w:pos="4677"/>
        </w:tabs>
      </w:pPr>
    </w:p>
    <w:p w14:paraId="59DC02EC" w14:textId="028A5C5E" w:rsidR="00ED0821" w:rsidRPr="00C831D3" w:rsidRDefault="00ED0821">
      <w:pPr>
        <w:pStyle w:val="TOCHeading"/>
      </w:pPr>
      <w:r>
        <w:br w:type="page"/>
      </w:r>
      <w:r>
        <w:lastRenderedPageBreak/>
        <w:t>OBSAH</w:t>
      </w:r>
    </w:p>
    <w:p w14:paraId="6869032E" w14:textId="341945C3" w:rsidR="00ED0821" w:rsidRPr="00C831D3" w:rsidRDefault="00D830AD">
      <w:pPr>
        <w:pStyle w:val="TOCPage"/>
      </w:pPr>
      <w:r>
        <w:t>Strana</w:t>
      </w:r>
    </w:p>
    <w:p w14:paraId="48EA192B" w14:textId="4CCEF0E9" w:rsidR="00FB18DC" w:rsidRDefault="004C4A0B">
      <w:pPr>
        <w:pStyle w:val="TOC1"/>
        <w:tabs>
          <w:tab w:val="right" w:leader="dot" w:pos="9060"/>
        </w:tabs>
        <w:rPr>
          <w:rFonts w:asciiTheme="minorHAnsi" w:eastAsiaTheme="minorEastAsia" w:hAnsiTheme="minorHAnsi" w:cstheme="minorBidi"/>
          <w:noProof/>
          <w:sz w:val="22"/>
          <w:szCs w:val="22"/>
          <w:lang w:val="en-GB" w:eastAsia="zh-TW"/>
        </w:rPr>
      </w:pPr>
      <w:r w:rsidRPr="00C831D3">
        <w:rPr>
          <w:b/>
        </w:rPr>
        <w:fldChar w:fldCharType="begin"/>
      </w:r>
      <w:r w:rsidRPr="00C831D3">
        <w:rPr>
          <w:b/>
        </w:rPr>
        <w:instrText xml:space="preserve"> TOC \t "PageHeading</w:instrText>
      </w:r>
      <w:r w:rsidR="00FB18DC">
        <w:rPr>
          <w:b/>
        </w:rPr>
        <w:instrText>;</w:instrText>
      </w:r>
      <w:r w:rsidRPr="00C831D3">
        <w:rPr>
          <w:b/>
        </w:rPr>
        <w:instrText xml:space="preserve">1" </w:instrText>
      </w:r>
      <w:r w:rsidRPr="00C831D3">
        <w:rPr>
          <w:b/>
        </w:rPr>
        <w:fldChar w:fldCharType="separate"/>
      </w:r>
      <w:r w:rsidR="00FB18DC">
        <w:rPr>
          <w:noProof/>
        </w:rPr>
        <w:t>NÁVRH LEGISLATIVNÍHO USNESENÍ EVROPSKÉHO PARLAMENTU</w:t>
      </w:r>
      <w:r w:rsidR="00FB18DC">
        <w:rPr>
          <w:noProof/>
        </w:rPr>
        <w:tab/>
      </w:r>
      <w:r w:rsidR="00FB18DC">
        <w:rPr>
          <w:noProof/>
        </w:rPr>
        <w:fldChar w:fldCharType="begin"/>
      </w:r>
      <w:r w:rsidR="00FB18DC">
        <w:rPr>
          <w:noProof/>
        </w:rPr>
        <w:instrText xml:space="preserve"> PAGEREF _Toc202257277 \h </w:instrText>
      </w:r>
      <w:r w:rsidR="00FB18DC">
        <w:rPr>
          <w:noProof/>
        </w:rPr>
      </w:r>
      <w:r w:rsidR="00FB18DC">
        <w:rPr>
          <w:noProof/>
        </w:rPr>
        <w:fldChar w:fldCharType="separate"/>
      </w:r>
      <w:r w:rsidR="00FB18DC">
        <w:rPr>
          <w:noProof/>
        </w:rPr>
        <w:t>5</w:t>
      </w:r>
      <w:r w:rsidR="00FB18DC">
        <w:rPr>
          <w:noProof/>
        </w:rPr>
        <w:fldChar w:fldCharType="end"/>
      </w:r>
    </w:p>
    <w:p w14:paraId="57D46E05" w14:textId="38198C45" w:rsidR="00FB18DC" w:rsidRDefault="00FB18DC">
      <w:pPr>
        <w:pStyle w:val="TOC1"/>
        <w:tabs>
          <w:tab w:val="right" w:leader="dot" w:pos="9060"/>
        </w:tabs>
        <w:rPr>
          <w:rFonts w:asciiTheme="minorHAnsi" w:eastAsiaTheme="minorEastAsia" w:hAnsiTheme="minorHAnsi" w:cstheme="minorBidi"/>
          <w:noProof/>
          <w:sz w:val="22"/>
          <w:szCs w:val="22"/>
          <w:lang w:val="en-GB" w:eastAsia="zh-TW"/>
        </w:rPr>
      </w:pPr>
      <w:r>
        <w:rPr>
          <w:noProof/>
        </w:rPr>
        <w:t>VYSVĚTLUJÍCÍ PROHLÁŠENÍ</w:t>
      </w:r>
      <w:r>
        <w:rPr>
          <w:noProof/>
        </w:rPr>
        <w:tab/>
      </w:r>
      <w:r>
        <w:rPr>
          <w:noProof/>
        </w:rPr>
        <w:fldChar w:fldCharType="begin"/>
      </w:r>
      <w:r>
        <w:rPr>
          <w:noProof/>
        </w:rPr>
        <w:instrText xml:space="preserve"> PAGEREF _Toc202257278 \h </w:instrText>
      </w:r>
      <w:r>
        <w:rPr>
          <w:noProof/>
        </w:rPr>
      </w:r>
      <w:r>
        <w:rPr>
          <w:noProof/>
        </w:rPr>
        <w:fldChar w:fldCharType="separate"/>
      </w:r>
      <w:r>
        <w:rPr>
          <w:noProof/>
        </w:rPr>
        <w:t>6</w:t>
      </w:r>
      <w:r>
        <w:rPr>
          <w:noProof/>
        </w:rPr>
        <w:fldChar w:fldCharType="end"/>
      </w:r>
    </w:p>
    <w:p w14:paraId="20E3F49A" w14:textId="1EC00E1C" w:rsidR="001A06D8" w:rsidRPr="00C831D3" w:rsidRDefault="004C4A0B" w:rsidP="007B68B8">
      <w:r w:rsidRPr="00C831D3">
        <w:rPr>
          <w:b/>
        </w:rPr>
        <w:fldChar w:fldCharType="end"/>
      </w:r>
    </w:p>
    <w:p w14:paraId="642B6B1F" w14:textId="21A8D770" w:rsidR="00ED0821" w:rsidRPr="00C831D3" w:rsidRDefault="00ED0821">
      <w:pPr>
        <w:pStyle w:val="PageHeading"/>
      </w:pPr>
      <w:r>
        <w:br w:type="page"/>
      </w:r>
      <w:r>
        <w:br w:type="page"/>
      </w:r>
      <w:bookmarkStart w:id="0" w:name="_Toc202257277"/>
      <w:r>
        <w:t>NÁVRH LEGISLATIVNÍHO USNESENÍ EVROPSKÉHO PARLAMENTU</w:t>
      </w:r>
      <w:bookmarkEnd w:id="0"/>
    </w:p>
    <w:p w14:paraId="70B9606C" w14:textId="62662966" w:rsidR="00ED0821" w:rsidRPr="00C831D3" w:rsidRDefault="00C831D3">
      <w:pPr>
        <w:pStyle w:val="NormalBold"/>
      </w:pPr>
      <w:r>
        <w:t>o návrhu směrnice Rady, kterou se mění směrnice 2006/112/ES, pokud jde</w:t>
      </w:r>
      <w:r w:rsidR="00FB18DC">
        <w:t xml:space="preserve"> o </w:t>
      </w:r>
      <w:r>
        <w:t>pravidla DPH vztahující se na osoby povinné</w:t>
      </w:r>
      <w:r w:rsidR="00FB18DC">
        <w:t xml:space="preserve"> k </w:t>
      </w:r>
      <w:r>
        <w:t>dani, které usnadňují prodej na dálku</w:t>
      </w:r>
      <w:r w:rsidR="00FB18DC">
        <w:t xml:space="preserve"> u </w:t>
      </w:r>
      <w:r>
        <w:t>dováženého zboží,</w:t>
      </w:r>
      <w:r w:rsidR="00FB18DC">
        <w:t xml:space="preserve"> a o </w:t>
      </w:r>
      <w:r>
        <w:t>uplatňování zvláštního režimu pro prodej na dálku</w:t>
      </w:r>
      <w:r w:rsidR="00FB18DC">
        <w:t xml:space="preserve"> u </w:t>
      </w:r>
      <w:r>
        <w:t>zboží dovezeného ze třetích území nebo třetích zemí</w:t>
      </w:r>
      <w:r w:rsidR="00FB18DC">
        <w:t xml:space="preserve"> a </w:t>
      </w:r>
      <w:r>
        <w:t>zvláštního režimu pro přiznání</w:t>
      </w:r>
      <w:r w:rsidR="00FB18DC">
        <w:t xml:space="preserve"> a </w:t>
      </w:r>
      <w:r>
        <w:t>odvod DPH při dovozu</w:t>
      </w:r>
    </w:p>
    <w:p w14:paraId="12B4F91C" w14:textId="008F892E" w:rsidR="00ED0821" w:rsidRPr="00C831D3" w:rsidRDefault="00D830AD">
      <w:pPr>
        <w:pStyle w:val="NormalBold12a"/>
      </w:pPr>
      <w:r>
        <w:t>(08710/2025 – C10</w:t>
      </w:r>
      <w:r>
        <w:noBreakHyphen/>
        <w:t>0084/2025 – 2023/0158(CNS))</w:t>
      </w:r>
    </w:p>
    <w:p w14:paraId="43C573F9" w14:textId="7891063E" w:rsidR="00ED0821" w:rsidRPr="00C831D3" w:rsidRDefault="00D830AD" w:rsidP="007B68B8">
      <w:pPr>
        <w:pStyle w:val="NormalBold"/>
      </w:pPr>
      <w:r>
        <w:t>(Zvláštní legislativní postup –</w:t>
      </w:r>
      <w:bookmarkStart w:id="1" w:name="iStart"/>
      <w:bookmarkEnd w:id="1"/>
      <w:r>
        <w:t xml:space="preserve"> opětovná</w:t>
      </w:r>
      <w:bookmarkStart w:id="2" w:name="iEnd"/>
      <w:bookmarkEnd w:id="2"/>
      <w:r>
        <w:t xml:space="preserve"> konzultace)</w:t>
      </w:r>
    </w:p>
    <w:p w14:paraId="08FEF845" w14:textId="6D0480E7" w:rsidR="00ED0821" w:rsidRPr="00C831D3" w:rsidRDefault="00D830AD">
      <w:pPr>
        <w:pStyle w:val="EPComma"/>
      </w:pPr>
      <w:r>
        <w:rPr>
          <w:i/>
        </w:rPr>
        <w:t>Evropský parlament</w:t>
      </w:r>
      <w:r>
        <w:t>,</w:t>
      </w:r>
    </w:p>
    <w:p w14:paraId="4817AC87" w14:textId="77777777" w:rsidR="00C831D3" w:rsidRPr="00C831D3" w:rsidRDefault="00ED0821" w:rsidP="00C831D3">
      <w:pPr>
        <w:pStyle w:val="NormalHanging12a"/>
      </w:pPr>
      <w:r>
        <w:t>–</w:t>
      </w:r>
      <w:r>
        <w:tab/>
        <w:t>s ohledem na návrh Rady (08710/2025),</w:t>
      </w:r>
    </w:p>
    <w:p w14:paraId="4F429D65" w14:textId="77777777" w:rsidR="00C831D3" w:rsidRPr="00C831D3" w:rsidRDefault="00C831D3" w:rsidP="00C831D3">
      <w:pPr>
        <w:pStyle w:val="NormalHanging12a"/>
      </w:pPr>
      <w:r>
        <w:t>–</w:t>
      </w:r>
      <w:r>
        <w:tab/>
        <w:t>s ohledem na návrh Komise předložený Radě (COM(2023)0262),</w:t>
      </w:r>
    </w:p>
    <w:p w14:paraId="499D0A2D" w14:textId="77777777" w:rsidR="00C831D3" w:rsidRPr="00C831D3" w:rsidRDefault="00C831D3" w:rsidP="00C831D3">
      <w:pPr>
        <w:pStyle w:val="NormalHanging12a"/>
      </w:pPr>
      <w:r>
        <w:t>–</w:t>
      </w:r>
      <w:r>
        <w:tab/>
        <w:t>s ohledem na svůj postoj ze dne 22. listopadu 2023</w:t>
      </w:r>
      <w:r w:rsidRPr="00C831D3">
        <w:rPr>
          <w:rStyle w:val="FootnoteReference"/>
        </w:rPr>
        <w:footnoteReference w:id="1"/>
      </w:r>
      <w:r>
        <w:t>,</w:t>
      </w:r>
    </w:p>
    <w:p w14:paraId="289C3C10" w14:textId="59F23A67" w:rsidR="00C831D3" w:rsidRPr="00C831D3" w:rsidRDefault="00C831D3" w:rsidP="00C831D3">
      <w:pPr>
        <w:pStyle w:val="NormalHanging12a"/>
      </w:pPr>
      <w:r>
        <w:t>–</w:t>
      </w:r>
      <w:r>
        <w:tab/>
        <w:t>s ohledem na článek 113 Smlouvy</w:t>
      </w:r>
      <w:r w:rsidR="00FB18DC">
        <w:t xml:space="preserve"> o </w:t>
      </w:r>
      <w:r>
        <w:t>fungování Evropské unie, podle kterého Rada znovu konzultovala</w:t>
      </w:r>
      <w:r w:rsidR="00FB18DC">
        <w:t xml:space="preserve"> s </w:t>
      </w:r>
      <w:r>
        <w:t>Parlamentem (C10</w:t>
      </w:r>
      <w:r>
        <w:noBreakHyphen/>
        <w:t>0084/2025),</w:t>
      </w:r>
    </w:p>
    <w:p w14:paraId="0CB8F1E1" w14:textId="6F52036D" w:rsidR="00C831D3" w:rsidRPr="00C831D3" w:rsidRDefault="00C831D3" w:rsidP="00C831D3">
      <w:pPr>
        <w:pStyle w:val="NormalHanging12a"/>
      </w:pPr>
      <w:r>
        <w:t>–</w:t>
      </w:r>
      <w:r>
        <w:tab/>
        <w:t>s ohledem na článek 84</w:t>
      </w:r>
      <w:r w:rsidR="00FB18DC">
        <w:t xml:space="preserve"> a </w:t>
      </w:r>
      <w:r>
        <w:t>článek 86 jednacího řádu,</w:t>
      </w:r>
    </w:p>
    <w:p w14:paraId="2E2403D4" w14:textId="00DBBCEA" w:rsidR="00C831D3" w:rsidRPr="00C831D3" w:rsidRDefault="00C831D3" w:rsidP="00C831D3">
      <w:pPr>
        <w:pStyle w:val="NormalHanging12a"/>
      </w:pPr>
      <w:r>
        <w:t>–</w:t>
      </w:r>
      <w:r>
        <w:tab/>
        <w:t>s ohledem na zprávu Hospodářského</w:t>
      </w:r>
      <w:r w:rsidR="00FB18DC">
        <w:t xml:space="preserve"> a </w:t>
      </w:r>
      <w:r>
        <w:t>měnového výboru (A10</w:t>
      </w:r>
      <w:r>
        <w:noBreakHyphen/>
        <w:t>0000/2025),</w:t>
      </w:r>
    </w:p>
    <w:p w14:paraId="36B3B39C" w14:textId="77777777" w:rsidR="00C831D3" w:rsidRPr="00C831D3" w:rsidRDefault="00C831D3" w:rsidP="00C831D3">
      <w:pPr>
        <w:pStyle w:val="NormalHanging12a"/>
      </w:pPr>
      <w:r>
        <w:t>1.</w:t>
      </w:r>
      <w:r>
        <w:tab/>
        <w:t>schvaluje návrh Rady;</w:t>
      </w:r>
    </w:p>
    <w:p w14:paraId="26FE281D" w14:textId="7CAAE06F" w:rsidR="00C831D3" w:rsidRPr="00C831D3" w:rsidRDefault="00C831D3" w:rsidP="00C831D3">
      <w:pPr>
        <w:pStyle w:val="NormalHanging12a"/>
      </w:pPr>
      <w:r>
        <w:t>2.</w:t>
      </w:r>
      <w:r>
        <w:tab/>
        <w:t>vyzývá Radu, aby informovala Parlament, bude-li mít</w:t>
      </w:r>
      <w:r w:rsidR="00FB18DC">
        <w:t xml:space="preserve"> v </w:t>
      </w:r>
      <w:r>
        <w:t>úmyslu odchýlit se od znění schváleného Parlamentem;</w:t>
      </w:r>
    </w:p>
    <w:p w14:paraId="7F559C1A" w14:textId="01084E6C" w:rsidR="00C831D3" w:rsidRPr="00C831D3" w:rsidRDefault="00C831D3" w:rsidP="00C831D3">
      <w:pPr>
        <w:pStyle w:val="NormalHanging12a"/>
      </w:pPr>
      <w:r>
        <w:t>3.</w:t>
      </w:r>
      <w:r>
        <w:tab/>
        <w:t>vyzývá Radu, aby znovu konzultovala</w:t>
      </w:r>
      <w:r w:rsidR="00FB18DC">
        <w:t xml:space="preserve"> s </w:t>
      </w:r>
      <w:r>
        <w:t>Parlamentem, bude-li mít</w:t>
      </w:r>
      <w:r w:rsidR="00FB18DC">
        <w:t xml:space="preserve"> v </w:t>
      </w:r>
      <w:r>
        <w:t>úmyslu svůj návrh podstatně změnit;</w:t>
      </w:r>
    </w:p>
    <w:p w14:paraId="12527ACC" w14:textId="5E4D36D1" w:rsidR="00C831D3" w:rsidRPr="00C831D3" w:rsidRDefault="00C831D3" w:rsidP="00C831D3">
      <w:pPr>
        <w:pStyle w:val="NormalHanging12a"/>
      </w:pPr>
      <w:r>
        <w:t>4.</w:t>
      </w:r>
      <w:r>
        <w:tab/>
        <w:t>pověřuje svou předsedkyni, aby předala postoj Parlamentu Radě, Komisi, jakož</w:t>
      </w:r>
      <w:r w:rsidR="00FB18DC">
        <w:t xml:space="preserve"> i </w:t>
      </w:r>
      <w:r>
        <w:t>vnitrostátním parlamentům.</w:t>
      </w:r>
    </w:p>
    <w:p w14:paraId="013DA693" w14:textId="77777777" w:rsidR="00C831D3" w:rsidRPr="00C831D3" w:rsidRDefault="00C831D3" w:rsidP="00C831D3">
      <w:pPr>
        <w:sectPr w:rsidR="00C831D3" w:rsidRPr="00C831D3" w:rsidSect="00C831D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352C0D4D" w14:textId="77777777" w:rsidR="00C831D3" w:rsidRPr="00C831D3" w:rsidRDefault="00C831D3" w:rsidP="00C831D3">
      <w:pPr>
        <w:pStyle w:val="PageHeading"/>
      </w:pPr>
      <w:bookmarkStart w:id="3" w:name="_Toc200718656"/>
      <w:bookmarkStart w:id="4" w:name="_Toc202257278"/>
      <w:r>
        <w:t>VYSVĚTLUJÍCÍ PROHLÁŠENÍ</w:t>
      </w:r>
      <w:bookmarkEnd w:id="3"/>
      <w:bookmarkEnd w:id="4"/>
    </w:p>
    <w:p w14:paraId="760709C7" w14:textId="611C91FD" w:rsidR="00C831D3" w:rsidRPr="00C831D3" w:rsidRDefault="00C831D3" w:rsidP="00C831D3">
      <w:pPr>
        <w:spacing w:after="240"/>
      </w:pPr>
      <w:r>
        <w:t>Dne 8. prosince 2022 předložila Komise balíček týkající se „DPH</w:t>
      </w:r>
      <w:r w:rsidR="00FB18DC">
        <w:t xml:space="preserve"> v </w:t>
      </w:r>
      <w:r>
        <w:t>digitálním věku“ (ViDA), který obsahuje tři návrhy:</w:t>
      </w:r>
    </w:p>
    <w:p w14:paraId="070F1597" w14:textId="01DD12D0" w:rsidR="00C831D3" w:rsidRPr="00C831D3" w:rsidRDefault="00C831D3" w:rsidP="00C831D3">
      <w:pPr>
        <w:spacing w:after="120"/>
        <w:ind w:left="720" w:hanging="360"/>
      </w:pPr>
      <w:r>
        <w:rPr>
          <w:rFonts w:ascii="Symbol" w:hAnsi="Symbol"/>
        </w:rPr>
        <w:t></w:t>
      </w:r>
      <w:r>
        <w:rPr>
          <w:rFonts w:ascii="Symbol" w:hAnsi="Symbol"/>
        </w:rPr>
        <w:tab/>
      </w:r>
      <w:r>
        <w:t>návrh směrnice Rady, kterou se mění směrnice 2006/112/ES, pokud jde</w:t>
      </w:r>
      <w:r w:rsidR="00FB18DC">
        <w:t xml:space="preserve"> o </w:t>
      </w:r>
      <w:r>
        <w:t>pravidla DPH pro digitální věk,</w:t>
      </w:r>
    </w:p>
    <w:p w14:paraId="68BBE824" w14:textId="0BADFFED" w:rsidR="00C831D3" w:rsidRPr="00C831D3" w:rsidRDefault="00C831D3" w:rsidP="00C831D3">
      <w:pPr>
        <w:spacing w:after="120"/>
        <w:ind w:left="720" w:hanging="360"/>
      </w:pPr>
      <w:r>
        <w:rPr>
          <w:rFonts w:ascii="Symbol" w:hAnsi="Symbol"/>
        </w:rPr>
        <w:t></w:t>
      </w:r>
      <w:r>
        <w:rPr>
          <w:rFonts w:ascii="Symbol" w:hAnsi="Symbol"/>
        </w:rPr>
        <w:tab/>
      </w:r>
      <w:r>
        <w:t>návrh nařízení Rady, kterým se mění nařízení (EU) č. 904/2010, pokud jde</w:t>
      </w:r>
      <w:r w:rsidR="00FB18DC">
        <w:t xml:space="preserve"> o </w:t>
      </w:r>
      <w:r>
        <w:t>ujednání</w:t>
      </w:r>
      <w:r w:rsidR="00FB18DC">
        <w:t xml:space="preserve"> o </w:t>
      </w:r>
      <w:r>
        <w:t>správní spolupráci</w:t>
      </w:r>
      <w:r w:rsidR="00FB18DC">
        <w:t xml:space="preserve"> v </w:t>
      </w:r>
      <w:r>
        <w:t>oblasti DPH potřebná pro digitální věk,</w:t>
      </w:r>
    </w:p>
    <w:p w14:paraId="0BC5A651" w14:textId="1DECBDD7" w:rsidR="00C831D3" w:rsidRPr="00C831D3" w:rsidRDefault="00C831D3" w:rsidP="00C831D3">
      <w:pPr>
        <w:spacing w:after="240"/>
        <w:ind w:left="720" w:hanging="360"/>
      </w:pPr>
      <w:r>
        <w:rPr>
          <w:rFonts w:ascii="Symbol" w:hAnsi="Symbol"/>
        </w:rPr>
        <w:t></w:t>
      </w:r>
      <w:r>
        <w:rPr>
          <w:rFonts w:ascii="Symbol" w:hAnsi="Symbol"/>
        </w:rPr>
        <w:tab/>
      </w:r>
      <w:r>
        <w:t>návrh prováděcího nařízení Rady, kterým se mění prováděcí nařízení (EU) č. 282/2011, pokud jde</w:t>
      </w:r>
      <w:r w:rsidR="00FB18DC">
        <w:t xml:space="preserve"> o </w:t>
      </w:r>
      <w:r>
        <w:t>požadavky na informace</w:t>
      </w:r>
      <w:r w:rsidR="00FB18DC">
        <w:t xml:space="preserve"> u </w:t>
      </w:r>
      <w:r>
        <w:t>některých režimů DPH.</w:t>
      </w:r>
    </w:p>
    <w:p w14:paraId="388A20DB" w14:textId="3D8E75D1" w:rsidR="00C831D3" w:rsidRPr="00C831D3" w:rsidRDefault="00C831D3" w:rsidP="00C831D3">
      <w:pPr>
        <w:spacing w:after="240"/>
      </w:pPr>
      <w:r>
        <w:t>Balíček obsahuje akční plán, který zdůrazňuje, že je třeba uvažovat</w:t>
      </w:r>
      <w:r w:rsidR="00FB18DC">
        <w:t xml:space="preserve"> o </w:t>
      </w:r>
      <w:r>
        <w:t>tom, jakým způsobem lze využívat technologie</w:t>
      </w:r>
      <w:r w:rsidR="00FB18DC">
        <w:t xml:space="preserve"> v </w:t>
      </w:r>
      <w:r>
        <w:t>boji proti daňovým podvodům</w:t>
      </w:r>
      <w:r w:rsidR="00FB18DC">
        <w:t xml:space="preserve"> a </w:t>
      </w:r>
      <w:r>
        <w:t>jak by bylo možné přizpůsobit stávající pravidla</w:t>
      </w:r>
      <w:r w:rsidR="00FB18DC">
        <w:t xml:space="preserve"> v </w:t>
      </w:r>
      <w:r>
        <w:t>oblasti DPH</w:t>
      </w:r>
      <w:r w:rsidR="00FB18DC">
        <w:t xml:space="preserve"> v </w:t>
      </w:r>
      <w:r>
        <w:t>Evropské unii podnikání</w:t>
      </w:r>
      <w:r w:rsidR="00FB18DC">
        <w:t xml:space="preserve"> v </w:t>
      </w:r>
      <w:r>
        <w:t>digitálním věku. Tři navržené změny, které mají zajistit, aby DPH odpovídala digitálnímu věku, jsou:</w:t>
      </w:r>
    </w:p>
    <w:p w14:paraId="261B4A93" w14:textId="540C55CC" w:rsidR="00C831D3" w:rsidRPr="00C831D3" w:rsidRDefault="00C831D3" w:rsidP="00C831D3">
      <w:pPr>
        <w:spacing w:after="120"/>
      </w:pPr>
      <w:r>
        <w:t>i)</w:t>
      </w:r>
      <w:r>
        <w:tab/>
        <w:t>nový digitální systém podávání zpráv</w:t>
      </w:r>
      <w:r w:rsidR="00FB18DC">
        <w:t xml:space="preserve"> v </w:t>
      </w:r>
      <w:r>
        <w:t>reálném čase založený na elektronické fakturaci,</w:t>
      </w:r>
    </w:p>
    <w:p w14:paraId="0008BB27" w14:textId="77777777" w:rsidR="00C831D3" w:rsidRPr="00C831D3" w:rsidRDefault="00C831D3" w:rsidP="00C831D3">
      <w:pPr>
        <w:spacing w:after="120"/>
      </w:pPr>
      <w:r>
        <w:t>ii)</w:t>
      </w:r>
      <w:r>
        <w:tab/>
        <w:t>aktualizace pravidel DPH pro ekonomiku platforem a</w:t>
      </w:r>
    </w:p>
    <w:p w14:paraId="6A008129" w14:textId="71961D6F" w:rsidR="00C831D3" w:rsidRPr="00C831D3" w:rsidRDefault="00C831D3" w:rsidP="00C831D3">
      <w:pPr>
        <w:spacing w:after="240"/>
      </w:pPr>
      <w:r>
        <w:t>iii)</w:t>
      </w:r>
      <w:r>
        <w:tab/>
        <w:t>jednotná registrace</w:t>
      </w:r>
      <w:r w:rsidR="00FB18DC">
        <w:t xml:space="preserve"> k </w:t>
      </w:r>
      <w:r>
        <w:t>DPH pro podniky, které prodávají spotřebitelům</w:t>
      </w:r>
      <w:r w:rsidR="00FB18DC">
        <w:t xml:space="preserve"> v </w:t>
      </w:r>
      <w:r>
        <w:t>celé EU.</w:t>
      </w:r>
    </w:p>
    <w:p w14:paraId="3067F25D" w14:textId="4E61CDF9" w:rsidR="00C831D3" w:rsidRPr="00C831D3" w:rsidRDefault="00C831D3" w:rsidP="00C831D3">
      <w:pPr>
        <w:spacing w:after="240"/>
      </w:pPr>
      <w:r>
        <w:t>Evropský parlament byl ohledně těchto legislativních návrhů konzultován</w:t>
      </w:r>
      <w:r w:rsidR="00FB18DC">
        <w:t xml:space="preserve"> a </w:t>
      </w:r>
      <w:r>
        <w:t>dne 22. listopadu 2023</w:t>
      </w:r>
      <w:r w:rsidR="00FB18DC">
        <w:t xml:space="preserve"> k </w:t>
      </w:r>
      <w:r>
        <w:t>nim vydal stanovisko.</w:t>
      </w:r>
      <w:r w:rsidR="00FB18DC">
        <w:t xml:space="preserve"> V </w:t>
      </w:r>
      <w:r>
        <w:t>lednu 2025 byl Parlament znovu konzultován ohledně návrhu směrnice Rady, kterou se mění směrnice 2006/112/ES, pokud jde</w:t>
      </w:r>
      <w:r w:rsidR="00FB18DC">
        <w:t xml:space="preserve"> o </w:t>
      </w:r>
      <w:r>
        <w:t>pravidla DPH pro digitální věk. Tato opětovná konzultace souvisela</w:t>
      </w:r>
      <w:r w:rsidR="00FB18DC">
        <w:t xml:space="preserve"> s </w:t>
      </w:r>
      <w:r>
        <w:t>režimem domnělého dodavatele, který představoval významný sporný bod</w:t>
      </w:r>
      <w:r w:rsidR="00FB18DC">
        <w:t xml:space="preserve"> v </w:t>
      </w:r>
      <w:r>
        <w:t>Radě,</w:t>
      </w:r>
      <w:r w:rsidR="00FB18DC">
        <w:t xml:space="preserve"> v </w:t>
      </w:r>
      <w:r>
        <w:t xml:space="preserve">důsledku čehož bylo velmi obtížné dosáhnout konečného kompromisu (A10-0001/2025). </w:t>
      </w:r>
    </w:p>
    <w:p w14:paraId="1EC9B38D" w14:textId="23AD09E2" w:rsidR="00C831D3" w:rsidRPr="00C831D3" w:rsidRDefault="00C831D3" w:rsidP="00C831D3">
      <w:pPr>
        <w:spacing w:after="240"/>
      </w:pPr>
      <w:r>
        <w:t>Evropský parlament je nyní konzultován podruhé</w:t>
      </w:r>
      <w:r w:rsidR="00FB18DC">
        <w:t xml:space="preserve"> z </w:t>
      </w:r>
      <w:r>
        <w:t>následujícího důvodu.</w:t>
      </w:r>
    </w:p>
    <w:p w14:paraId="3AF9F2ED" w14:textId="13906CC3" w:rsidR="00C831D3" w:rsidRPr="00C831D3" w:rsidRDefault="00C831D3" w:rsidP="00C831D3">
      <w:pPr>
        <w:spacing w:after="240"/>
      </w:pPr>
      <w:r>
        <w:t>Původní balíček týkající se DPH</w:t>
      </w:r>
      <w:r w:rsidR="00FB18DC">
        <w:t xml:space="preserve"> v </w:t>
      </w:r>
      <w:r>
        <w:t>digitálním věku obsahoval návrh, aby bylo jedno správní místo pro dovoz povinné. Členské státy jej však odmítly. Alternativní návrh, který měl motivovat</w:t>
      </w:r>
      <w:r w:rsidR="00FB18DC">
        <w:t xml:space="preserve"> k </w:t>
      </w:r>
      <w:r>
        <w:t>používání jednoho správního místa pro dovoz tím, že dodavatelé</w:t>
      </w:r>
      <w:r w:rsidR="00FB18DC">
        <w:t xml:space="preserve"> a </w:t>
      </w:r>
      <w:r>
        <w:t>platformy budou při dovozu odvádět DPH, pokud toto správní místo nevyužijí, nebyl dostatečně propracovaný na to, aby bylo možné zahrnout ho do balíčku týkajícího se DPH</w:t>
      </w:r>
      <w:r w:rsidR="00FB18DC">
        <w:t xml:space="preserve"> v </w:t>
      </w:r>
      <w:r>
        <w:t>digitálním věku, který Rada přijala</w:t>
      </w:r>
      <w:r w:rsidR="00FB18DC">
        <w:t xml:space="preserve"> v </w:t>
      </w:r>
      <w:r>
        <w:t xml:space="preserve">březnu 2025. </w:t>
      </w:r>
    </w:p>
    <w:p w14:paraId="21E94B9C" w14:textId="6D42FA09" w:rsidR="00C831D3" w:rsidRPr="00C831D3" w:rsidRDefault="00C831D3" w:rsidP="00C831D3">
      <w:pPr>
        <w:spacing w:after="240"/>
      </w:pPr>
      <w:r>
        <w:t>V květnu 2023 vydala Komise balíček návrhů na reformu celního kodexu Unie, zejména na zrušení prahové hodnoty pro osvobození od cla</w:t>
      </w:r>
      <w:r w:rsidR="00FB18DC">
        <w:t xml:space="preserve"> a </w:t>
      </w:r>
      <w:r>
        <w:t>DPH při dovozu zboží</w:t>
      </w:r>
      <w:r w:rsidR="00FB18DC">
        <w:t xml:space="preserve"> s </w:t>
      </w:r>
      <w:r>
        <w:t xml:space="preserve">hodnotou nižší než 150 EUR. </w:t>
      </w:r>
    </w:p>
    <w:p w14:paraId="0E066D87" w14:textId="6FD66EB6" w:rsidR="00C831D3" w:rsidRPr="00C831D3" w:rsidRDefault="00C831D3" w:rsidP="00C831D3">
      <w:pPr>
        <w:spacing w:after="240"/>
      </w:pPr>
      <w:r>
        <w:t>V létě 2024 byla do návrhů Komise na reformu celního kodexu Unie doplněna ustanovení, která mají motivovat</w:t>
      </w:r>
      <w:r w:rsidR="00FB18DC">
        <w:t xml:space="preserve"> k </w:t>
      </w:r>
      <w:r>
        <w:t>využívání jednoho správního místa,</w:t>
      </w:r>
      <w:r w:rsidR="00FB18DC">
        <w:t xml:space="preserve"> a </w:t>
      </w:r>
      <w:r>
        <w:t>to vzhledem</w:t>
      </w:r>
      <w:r w:rsidR="00FB18DC">
        <w:t xml:space="preserve"> k </w:t>
      </w:r>
      <w:r>
        <w:t>jejich souvislosti</w:t>
      </w:r>
      <w:r w:rsidR="00FB18DC">
        <w:t xml:space="preserve"> s </w:t>
      </w:r>
      <w:r>
        <w:t>celními předpisy. Polské předsednictví se zasazovalo</w:t>
      </w:r>
      <w:r w:rsidR="00FB18DC">
        <w:t xml:space="preserve"> o </w:t>
      </w:r>
      <w:r>
        <w:t>oddělení těchto ustanovení na podporu využívání jednoho správního místa pro dovoz, která považovalo za dostatečně propracovaná, od návrhu týkajícího se cel</w:t>
      </w:r>
      <w:r w:rsidR="00FB18DC">
        <w:t xml:space="preserve"> a o </w:t>
      </w:r>
      <w:r>
        <w:t>dosažení samostatné dohody</w:t>
      </w:r>
      <w:r w:rsidR="00FB18DC">
        <w:t xml:space="preserve"> o </w:t>
      </w:r>
      <w:r>
        <w:t>nich.</w:t>
      </w:r>
      <w:r w:rsidR="00FB18DC">
        <w:t xml:space="preserve"> S </w:t>
      </w:r>
      <w:r>
        <w:t>tím delegace souhlasily.</w:t>
      </w:r>
    </w:p>
    <w:p w14:paraId="27A47CF5" w14:textId="41A4E6CC" w:rsidR="00C831D3" w:rsidRPr="00C831D3" w:rsidRDefault="00C831D3" w:rsidP="00C831D3">
      <w:pPr>
        <w:spacing w:after="240"/>
      </w:pPr>
      <w:r>
        <w:t>Na zasedání Rady pro hospodářské</w:t>
      </w:r>
      <w:r w:rsidR="00FB18DC">
        <w:t xml:space="preserve"> a </w:t>
      </w:r>
      <w:r>
        <w:t>finanční věci (ECOFIN) dne 13. května 2025 se Rada dohodla, že do směrnice</w:t>
      </w:r>
      <w:r w:rsidR="00FB18DC">
        <w:t xml:space="preserve"> o </w:t>
      </w:r>
      <w:r>
        <w:t>DPH začlení ustanovení na podporu využívání jednoho správního místa pro dovoz, na základě kterých jsou dodavatelé</w:t>
      </w:r>
      <w:r w:rsidR="00FB18DC">
        <w:t xml:space="preserve"> a </w:t>
      </w:r>
      <w:r>
        <w:t>platformy</w:t>
      </w:r>
      <w:r w:rsidR="00FB18DC">
        <w:t xml:space="preserve"> v </w:t>
      </w:r>
      <w:r>
        <w:t>případě nevyužití tohoto správního místa povinni odvádět DPH při dovozu.</w:t>
      </w:r>
    </w:p>
    <w:p w14:paraId="6C5A7D39" w14:textId="6166C172" w:rsidR="00C831D3" w:rsidRPr="00C831D3" w:rsidRDefault="00C831D3" w:rsidP="00C831D3">
      <w:pPr>
        <w:spacing w:after="240"/>
      </w:pPr>
      <w:r>
        <w:t>Ve svém stanovisku ze dne 22. listopadu 2023 se Evropský parlament vyslovil pro to, aby jedno správní místo pro dovoz fungovalo transparentně</w:t>
      </w:r>
      <w:r w:rsidR="00FB18DC">
        <w:t xml:space="preserve"> a </w:t>
      </w:r>
      <w:r>
        <w:t>bezpečně. Kromě toho rovněž zdůraznil, že jednotný přístup</w:t>
      </w:r>
      <w:r w:rsidR="00FB18DC">
        <w:t xml:space="preserve"> k </w:t>
      </w:r>
      <w:r>
        <w:t>jednomu správnímu místu pro dovoz na jedné straně</w:t>
      </w:r>
      <w:r w:rsidR="00FB18DC">
        <w:t xml:space="preserve"> </w:t>
      </w:r>
      <w:r w:rsidR="00FB18DC">
        <w:br/>
      </w:r>
      <w:bookmarkStart w:id="5" w:name="_GoBack"/>
      <w:bookmarkEnd w:id="5"/>
      <w:r w:rsidR="00FB18DC">
        <w:t>a k </w:t>
      </w:r>
      <w:r>
        <w:t>celním předpisům</w:t>
      </w:r>
      <w:r w:rsidR="00FB18DC">
        <w:t xml:space="preserve"> a </w:t>
      </w:r>
      <w:r>
        <w:t>praxi na straně druhé by pomohl odstranit nesrovnalosti, chyby</w:t>
      </w:r>
      <w:r w:rsidR="00FB18DC">
        <w:t xml:space="preserve"> a </w:t>
      </w:r>
      <w:r>
        <w:t>dvojí zdanění. Evropský parlament dále upozornil, že je třeba omezit administrativní zátěž malých</w:t>
      </w:r>
      <w:r w:rsidR="00FB18DC">
        <w:t xml:space="preserve"> a </w:t>
      </w:r>
      <w:r>
        <w:t>středních podniků. Požádal rovněž</w:t>
      </w:r>
      <w:r w:rsidR="00FB18DC">
        <w:t xml:space="preserve"> o </w:t>
      </w:r>
      <w:r>
        <w:t>posouzení výhod</w:t>
      </w:r>
      <w:r w:rsidR="00FB18DC">
        <w:t xml:space="preserve"> a </w:t>
      </w:r>
      <w:r>
        <w:t xml:space="preserve">nevýhod povinného zavedení jednoho správního místa pro dovoz. </w:t>
      </w:r>
    </w:p>
    <w:p w14:paraId="6682D2B7" w14:textId="77777777" w:rsidR="00C831D3" w:rsidRPr="00C831D3" w:rsidRDefault="00C831D3" w:rsidP="00C831D3">
      <w:pPr>
        <w:spacing w:after="240"/>
      </w:pPr>
      <w:r>
        <w:t>S ohledem na výše uvedené se proto zpravodaj domnívá, že vhodným postupem pro tuto opětovnou konzultaci je zjednodušený postup bez pozměňovacích návrhů.</w:t>
      </w:r>
    </w:p>
    <w:p w14:paraId="7B88C559" w14:textId="43DA9C9C" w:rsidR="002B1B1D" w:rsidRPr="00C831D3" w:rsidRDefault="002B1B1D" w:rsidP="00C831D3">
      <w:pPr>
        <w:pStyle w:val="NormalHanging12a"/>
      </w:pPr>
    </w:p>
    <w:sectPr w:rsidR="002B1B1D" w:rsidRPr="00C831D3" w:rsidSect="00C831D3">
      <w:footerReference w:type="first" r:id="rId15"/>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6E923F" w14:textId="77777777" w:rsidR="00D830AD" w:rsidRPr="00C831D3" w:rsidRDefault="00D830AD">
      <w:r w:rsidRPr="00C831D3">
        <w:separator/>
      </w:r>
    </w:p>
  </w:endnote>
  <w:endnote w:type="continuationSeparator" w:id="0">
    <w:p w14:paraId="6AADF0BB" w14:textId="77777777" w:rsidR="00D830AD" w:rsidRPr="00C831D3" w:rsidRDefault="00D830AD">
      <w:r w:rsidRPr="00C831D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DokChampa">
    <w:altName w:val="Leelawadee UI"/>
    <w:charset w:val="00"/>
    <w:family w:val="swiss"/>
    <w:pitch w:val="variable"/>
    <w:sig w:usb0="00000000"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CFB269" w14:textId="577A12A7" w:rsidR="00C831D3" w:rsidRPr="00C831D3" w:rsidRDefault="00C831D3" w:rsidP="00C831D3">
    <w:pPr>
      <w:pStyle w:val="EPFooter"/>
    </w:pPr>
    <w:r w:rsidRPr="00C831D3">
      <w:t>PE</w:t>
    </w:r>
    <w:r w:rsidRPr="00C831D3">
      <w:rPr>
        <w:rStyle w:val="HideTWBExt"/>
      </w:rPr>
      <w:t>&lt;NoPE&gt;</w:t>
    </w:r>
    <w:r w:rsidRPr="00C831D3">
      <w:t>774.445</w:t>
    </w:r>
    <w:r w:rsidRPr="00C831D3">
      <w:rPr>
        <w:rStyle w:val="HideTWBExt"/>
      </w:rPr>
      <w:t>&lt;/NoPE&gt;&lt;Version&gt;</w:t>
    </w:r>
    <w:r w:rsidRPr="00C831D3">
      <w:t>v01-00</w:t>
    </w:r>
    <w:r w:rsidRPr="00C831D3">
      <w:rPr>
        <w:rStyle w:val="HideTWBExt"/>
      </w:rPr>
      <w:t>&lt;/Version&gt;</w:t>
    </w:r>
    <w:r w:rsidRPr="00C831D3">
      <w:tab/>
    </w:r>
    <w:r w:rsidRPr="00C831D3">
      <w:fldChar w:fldCharType="begin"/>
    </w:r>
    <w:r w:rsidRPr="00C831D3">
      <w:instrText xml:space="preserve"> PAGE  \* MERGEFORMAT </w:instrText>
    </w:r>
    <w:r w:rsidRPr="00C831D3">
      <w:fldChar w:fldCharType="separate"/>
    </w:r>
    <w:r w:rsidR="00FB18DC">
      <w:rPr>
        <w:noProof/>
      </w:rPr>
      <w:t>6</w:t>
    </w:r>
    <w:r w:rsidRPr="00C831D3">
      <w:fldChar w:fldCharType="end"/>
    </w:r>
    <w:r w:rsidRPr="00C831D3">
      <w:t>/</w:t>
    </w:r>
    <w:fldSimple w:instr=" NUMPAGES  \* MERGEFORMAT ">
      <w:r w:rsidR="00FB18DC">
        <w:rPr>
          <w:noProof/>
        </w:rPr>
        <w:t>7</w:t>
      </w:r>
    </w:fldSimple>
    <w:r w:rsidRPr="00C831D3">
      <w:tab/>
    </w:r>
    <w:r w:rsidRPr="00C831D3">
      <w:rPr>
        <w:rStyle w:val="HideTWBExt"/>
      </w:rPr>
      <w:t>&lt;PathFdR&gt;</w:t>
    </w:r>
    <w:r w:rsidRPr="00C831D3">
      <w:t>PR\1322849CS.docx</w:t>
    </w:r>
    <w:r w:rsidRPr="00C831D3">
      <w:rPr>
        <w:rStyle w:val="HideTWBExt"/>
      </w:rPr>
      <w:t>&lt;/PathFdR&gt;</w:t>
    </w:r>
  </w:p>
  <w:p w14:paraId="3E721999" w14:textId="47A99117" w:rsidR="00C831D3" w:rsidRPr="00C831D3" w:rsidRDefault="00C831D3" w:rsidP="00C831D3">
    <w:pPr>
      <w:pStyle w:val="EPFooter2"/>
    </w:pPr>
    <w:r w:rsidRPr="00C831D3">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2FB91C" w14:textId="7EF41145" w:rsidR="00C831D3" w:rsidRPr="00C831D3" w:rsidRDefault="00C831D3" w:rsidP="00C831D3">
    <w:pPr>
      <w:pStyle w:val="EPFooter"/>
    </w:pPr>
    <w:r w:rsidRPr="00C831D3">
      <w:rPr>
        <w:rStyle w:val="HideTWBExt"/>
      </w:rPr>
      <w:t>&lt;PathFdR&gt;</w:t>
    </w:r>
    <w:r w:rsidRPr="00C831D3">
      <w:t>PR\1322849CS.docx</w:t>
    </w:r>
    <w:r w:rsidRPr="00C831D3">
      <w:rPr>
        <w:rStyle w:val="HideTWBExt"/>
      </w:rPr>
      <w:t>&lt;/PathFdR&gt;</w:t>
    </w:r>
    <w:r w:rsidRPr="00C831D3">
      <w:tab/>
    </w:r>
    <w:r w:rsidRPr="00C831D3">
      <w:fldChar w:fldCharType="begin"/>
    </w:r>
    <w:r w:rsidRPr="00C831D3">
      <w:instrText xml:space="preserve"> PAGE  \* MERGEFORMAT </w:instrText>
    </w:r>
    <w:r w:rsidRPr="00C831D3">
      <w:fldChar w:fldCharType="separate"/>
    </w:r>
    <w:r w:rsidR="00FB18DC">
      <w:rPr>
        <w:noProof/>
      </w:rPr>
      <w:t>7</w:t>
    </w:r>
    <w:r w:rsidRPr="00C831D3">
      <w:fldChar w:fldCharType="end"/>
    </w:r>
    <w:r w:rsidRPr="00C831D3">
      <w:t>/</w:t>
    </w:r>
    <w:fldSimple w:instr=" NUMPAGES  \* MERGEFORMAT ">
      <w:r w:rsidR="00FB18DC">
        <w:rPr>
          <w:noProof/>
        </w:rPr>
        <w:t>7</w:t>
      </w:r>
    </w:fldSimple>
    <w:r w:rsidRPr="00C831D3">
      <w:tab/>
      <w:t>PE</w:t>
    </w:r>
    <w:r w:rsidRPr="00C831D3">
      <w:rPr>
        <w:rStyle w:val="HideTWBExt"/>
      </w:rPr>
      <w:t>&lt;NoPE&gt;</w:t>
    </w:r>
    <w:r w:rsidRPr="00C831D3">
      <w:t>774.445</w:t>
    </w:r>
    <w:r w:rsidRPr="00C831D3">
      <w:rPr>
        <w:rStyle w:val="HideTWBExt"/>
      </w:rPr>
      <w:t>&lt;/NoPE&gt;&lt;Version&gt;</w:t>
    </w:r>
    <w:r w:rsidRPr="00C831D3">
      <w:t>v01-00</w:t>
    </w:r>
    <w:r w:rsidRPr="00C831D3">
      <w:rPr>
        <w:rStyle w:val="HideTWBExt"/>
      </w:rPr>
      <w:t>&lt;/Version&gt;</w:t>
    </w:r>
  </w:p>
  <w:p w14:paraId="1727A7AF" w14:textId="070ADAD5" w:rsidR="00C831D3" w:rsidRPr="00C831D3" w:rsidRDefault="00C831D3" w:rsidP="00C831D3">
    <w:pPr>
      <w:pStyle w:val="EPFooter2"/>
    </w:pPr>
    <w:r w:rsidRPr="00C831D3">
      <w:tab/>
    </w:r>
    <w:r w:rsidRPr="00C831D3">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ADFC31" w14:textId="77777777" w:rsidR="00C831D3" w:rsidRPr="00C831D3" w:rsidRDefault="00C831D3" w:rsidP="00C831D3">
    <w:pPr>
      <w:pStyle w:val="EPFooter"/>
    </w:pPr>
    <w:r w:rsidRPr="00C831D3">
      <w:rPr>
        <w:rStyle w:val="HideTWBExt"/>
      </w:rPr>
      <w:t>&lt;PathFdR&gt;</w:t>
    </w:r>
    <w:r w:rsidRPr="00C831D3">
      <w:t>PR\1322849CS.docx</w:t>
    </w:r>
    <w:r w:rsidRPr="00C831D3">
      <w:rPr>
        <w:rStyle w:val="HideTWBExt"/>
      </w:rPr>
      <w:t>&lt;/PathFdR&gt;</w:t>
    </w:r>
    <w:r w:rsidRPr="00C831D3">
      <w:tab/>
    </w:r>
    <w:r w:rsidRPr="00C831D3">
      <w:tab/>
      <w:t>PE</w:t>
    </w:r>
    <w:r w:rsidRPr="00C831D3">
      <w:rPr>
        <w:rStyle w:val="HideTWBExt"/>
      </w:rPr>
      <w:t>&lt;NoPE&gt;</w:t>
    </w:r>
    <w:r w:rsidRPr="00C831D3">
      <w:t>774.445</w:t>
    </w:r>
    <w:r w:rsidRPr="00C831D3">
      <w:rPr>
        <w:rStyle w:val="HideTWBExt"/>
      </w:rPr>
      <w:t>&lt;/NoPE&gt;&lt;Version&gt;</w:t>
    </w:r>
    <w:r w:rsidRPr="00C831D3">
      <w:t>v01-00</w:t>
    </w:r>
    <w:r w:rsidRPr="00C831D3">
      <w:rPr>
        <w:rStyle w:val="HideTWBExt"/>
      </w:rPr>
      <w:t>&lt;/Version&gt;</w:t>
    </w:r>
  </w:p>
  <w:p w14:paraId="340EF957" w14:textId="172F4791" w:rsidR="00C831D3" w:rsidRPr="00C831D3" w:rsidRDefault="00C831D3" w:rsidP="00C831D3">
    <w:pPr>
      <w:pStyle w:val="EPFooter2"/>
    </w:pPr>
    <w:r w:rsidRPr="00C831D3">
      <w:t>CS</w:t>
    </w:r>
    <w:r w:rsidRPr="00C831D3">
      <w:tab/>
    </w:r>
    <w:r w:rsidRPr="00C831D3">
      <w:rPr>
        <w:b w:val="0"/>
        <w:i/>
        <w:color w:val="C0C0C0"/>
        <w:sz w:val="22"/>
      </w:rPr>
      <w:t>Jednotná v rozmanitosti</w:t>
    </w:r>
    <w:r w:rsidRPr="00C831D3">
      <w:tab/>
      <w:t>CS</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D9B8CE" w14:textId="19A6C90B" w:rsidR="002F7000" w:rsidRPr="00C831D3" w:rsidRDefault="002F7000" w:rsidP="005C0789">
    <w:pPr>
      <w:pStyle w:val="EPFooter"/>
    </w:pPr>
    <w:r w:rsidRPr="00C831D3">
      <w:rPr>
        <w:rStyle w:val="HideTWBExt"/>
      </w:rPr>
      <w:t>&lt;PathFdR&gt;</w:t>
    </w:r>
    <w:r w:rsidR="00C831D3" w:rsidRPr="00C831D3">
      <w:rPr>
        <w:color w:val="auto"/>
      </w:rPr>
      <w:t>PR\1322849CS.docx</w:t>
    </w:r>
    <w:r w:rsidRPr="00C831D3">
      <w:rPr>
        <w:rStyle w:val="HideTWBExt"/>
      </w:rPr>
      <w:t>&lt;/PathFdR&gt;</w:t>
    </w:r>
    <w:r w:rsidRPr="00C831D3">
      <w:tab/>
    </w:r>
    <w:r w:rsidRPr="00C831D3">
      <w:tab/>
      <w:t>PE</w:t>
    </w:r>
    <w:r w:rsidRPr="00C831D3">
      <w:rPr>
        <w:rStyle w:val="HideTWBExt"/>
      </w:rPr>
      <w:t>&lt;NoPE&gt;</w:t>
    </w:r>
    <w:r w:rsidR="00C831D3" w:rsidRPr="00C831D3">
      <w:rPr>
        <w:color w:val="auto"/>
      </w:rPr>
      <w:t>774.445</w:t>
    </w:r>
    <w:r w:rsidRPr="00C831D3">
      <w:rPr>
        <w:rStyle w:val="HideTWBExt"/>
      </w:rPr>
      <w:t>&lt;/NoPE&gt;&lt;Version&gt;</w:t>
    </w:r>
    <w:r w:rsidR="00D830AD" w:rsidRPr="00C831D3">
      <w:t>v</w:t>
    </w:r>
    <w:r w:rsidR="00C831D3" w:rsidRPr="00C831D3">
      <w:rPr>
        <w:color w:val="auto"/>
      </w:rPr>
      <w:t>01-00</w:t>
    </w:r>
    <w:r w:rsidRPr="00C831D3">
      <w:rPr>
        <w:rStyle w:val="HideTWBExt"/>
      </w:rPr>
      <w:t>&lt;/Version&gt;</w:t>
    </w:r>
  </w:p>
  <w:p w14:paraId="0D93AA4E" w14:textId="6F2C8D7B" w:rsidR="002F7000" w:rsidRPr="00C831D3" w:rsidRDefault="00FB18DC" w:rsidP="00C71A3C">
    <w:pPr>
      <w:pStyle w:val="EPFooter2"/>
      <w:tabs>
        <w:tab w:val="clear" w:pos="4535"/>
        <w:tab w:val="center" w:pos="4536"/>
      </w:tabs>
    </w:pPr>
    <w:r>
      <w:fldChar w:fldCharType="begin"/>
    </w:r>
    <w:r>
      <w:instrText xml:space="preserve"> DOC</w:instrText>
    </w:r>
    <w:r>
      <w:instrText xml:space="preserve">PROPERTY "&lt;Extension&gt;" </w:instrText>
    </w:r>
    <w:r>
      <w:fldChar w:fldCharType="separate"/>
    </w:r>
    <w:r>
      <w:t>CS</w:t>
    </w:r>
    <w:r>
      <w:fldChar w:fldCharType="end"/>
    </w:r>
    <w:r w:rsidR="002F7000" w:rsidRPr="00C831D3">
      <w:tab/>
    </w:r>
    <w:r w:rsidR="00C831D3" w:rsidRPr="00C831D3">
      <w:rPr>
        <w:b w:val="0"/>
        <w:i/>
        <w:color w:val="C0C0C0"/>
        <w:sz w:val="22"/>
        <w:szCs w:val="22"/>
      </w:rPr>
      <w:t>Jednotná v rozmanitosti</w:t>
    </w:r>
    <w:r w:rsidR="002F7000" w:rsidRPr="00C831D3">
      <w:tab/>
    </w:r>
    <w:r>
      <w:fldChar w:fldCharType="begin"/>
    </w:r>
    <w:r>
      <w:instrText xml:space="preserve"> DOCPROPERTY "&lt;Extension&gt;" </w:instrText>
    </w:r>
    <w:r>
      <w:fldChar w:fldCharType="separate"/>
    </w:r>
    <w:r>
      <w:t>CS</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FEF1B1" w14:textId="77777777" w:rsidR="00D830AD" w:rsidRPr="00C831D3" w:rsidRDefault="00D830AD">
      <w:r w:rsidRPr="00C831D3">
        <w:separator/>
      </w:r>
    </w:p>
  </w:footnote>
  <w:footnote w:type="continuationSeparator" w:id="0">
    <w:p w14:paraId="3DCA9409" w14:textId="77777777" w:rsidR="00D830AD" w:rsidRPr="00C831D3" w:rsidRDefault="00D830AD">
      <w:r w:rsidRPr="00C831D3">
        <w:continuationSeparator/>
      </w:r>
    </w:p>
  </w:footnote>
  <w:footnote w:id="1">
    <w:p w14:paraId="34B6D641" w14:textId="77777777" w:rsidR="00C831D3" w:rsidRPr="00C831D3" w:rsidRDefault="00C831D3" w:rsidP="00C831D3">
      <w:pPr>
        <w:pStyle w:val="FootnoteText"/>
      </w:pPr>
      <w:r>
        <w:rPr>
          <w:rStyle w:val="FootnoteReference"/>
        </w:rPr>
        <w:footnoteRef/>
      </w:r>
      <w:r>
        <w:t xml:space="preserve"> Úř. věst. C, C/2024/4246, 24.7.2024, ELI: http://data.europa.eu/eli/C/2024/4246/oj.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6BBAB4" w14:textId="77777777" w:rsidR="00A32A89" w:rsidRDefault="00A32A8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0B2B7D" w14:textId="77777777" w:rsidR="00A32A89" w:rsidRDefault="00A32A8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13B4AA" w14:textId="77777777" w:rsidR="00A32A89" w:rsidRDefault="00A32A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5"/>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RTFEUMNU" w:val=" 1"/>
    <w:docVar w:name="AUTHORMNU" w:val=" 1"/>
    <w:docVar w:name="COMKEY" w:val="ECON"/>
    <w:docVar w:name="DDATE" w:val="13/06/2025"/>
    <w:docVar w:name="DOCDT" w:val="13/06/2025"/>
    <w:docVar w:name="DOCMNU" w:val=" 2"/>
    <w:docVar w:name="LastEditedSection" w:val=" 1"/>
    <w:docVar w:name="strDocTypeID" w:val="PR_CNS_LegAct_app"/>
    <w:docVar w:name="strSubDir" w:val="1322"/>
    <w:docVar w:name="TITLEMNU" w:val=" 2"/>
    <w:docVar w:name="TXTLANGUE" w:val="CS"/>
    <w:docVar w:name="TXTLANGUEMIN" w:val="cs"/>
    <w:docVar w:name="TXTNRC" w:val="0084/2025"/>
    <w:docVar w:name="TXTNRCNS" w:val="2023/0158"/>
    <w:docVar w:name="TXTNRCOUNC" w:val="08710/2025"/>
    <w:docVar w:name="TXTNRPE" w:val="774.445"/>
    <w:docVar w:name="TXTPE" w:val="774.445"/>
    <w:docVar w:name="TXTPEorAP" w:val="PE"/>
    <w:docVar w:name="TXTROUTE" w:val="PR\1322849CS.docx"/>
    <w:docVar w:name="TXTTITLE" w:val="on the draft Council directive amending Directive 2006/112/EC as regards VAT rules relating to taxable persons who facilitate distance sales of imported goods and the application of the special scheme for distance sales of goods imported from third territories or third countries and special arrangements for declaration and payment of import VAT"/>
    <w:docVar w:name="TXTVERSION" w:val="01-00"/>
  </w:docVars>
  <w:rsids>
    <w:rsidRoot w:val="00D830AD"/>
    <w:rsid w:val="000032F8"/>
    <w:rsid w:val="00056EA7"/>
    <w:rsid w:val="000753AB"/>
    <w:rsid w:val="000C7D46"/>
    <w:rsid w:val="000E1B0C"/>
    <w:rsid w:val="00104AEE"/>
    <w:rsid w:val="001157F2"/>
    <w:rsid w:val="001907B9"/>
    <w:rsid w:val="001A06D8"/>
    <w:rsid w:val="001E5A80"/>
    <w:rsid w:val="0027008F"/>
    <w:rsid w:val="002817C0"/>
    <w:rsid w:val="002B0E9D"/>
    <w:rsid w:val="002B1B1D"/>
    <w:rsid w:val="002B272A"/>
    <w:rsid w:val="002D6A8E"/>
    <w:rsid w:val="002E5810"/>
    <w:rsid w:val="002F0FC4"/>
    <w:rsid w:val="002F7000"/>
    <w:rsid w:val="00302A66"/>
    <w:rsid w:val="00356F22"/>
    <w:rsid w:val="00385C3B"/>
    <w:rsid w:val="00470D5E"/>
    <w:rsid w:val="00487BC1"/>
    <w:rsid w:val="004C4A0B"/>
    <w:rsid w:val="004D7B3B"/>
    <w:rsid w:val="004F549A"/>
    <w:rsid w:val="0050486E"/>
    <w:rsid w:val="005048AD"/>
    <w:rsid w:val="00543B7B"/>
    <w:rsid w:val="00566C5B"/>
    <w:rsid w:val="005C0789"/>
    <w:rsid w:val="005F4E2B"/>
    <w:rsid w:val="00681C69"/>
    <w:rsid w:val="006860EE"/>
    <w:rsid w:val="006C3928"/>
    <w:rsid w:val="006D7DDB"/>
    <w:rsid w:val="00796EB5"/>
    <w:rsid w:val="007B68B8"/>
    <w:rsid w:val="007D611D"/>
    <w:rsid w:val="00865B2B"/>
    <w:rsid w:val="00874129"/>
    <w:rsid w:val="008E1C2D"/>
    <w:rsid w:val="008E22DF"/>
    <w:rsid w:val="00911DF1"/>
    <w:rsid w:val="00972620"/>
    <w:rsid w:val="009C7A06"/>
    <w:rsid w:val="009D0C99"/>
    <w:rsid w:val="00A11805"/>
    <w:rsid w:val="00A32023"/>
    <w:rsid w:val="00A32A89"/>
    <w:rsid w:val="00A43E6A"/>
    <w:rsid w:val="00A64B09"/>
    <w:rsid w:val="00AD26AD"/>
    <w:rsid w:val="00AF7573"/>
    <w:rsid w:val="00B37926"/>
    <w:rsid w:val="00B37B16"/>
    <w:rsid w:val="00B73E19"/>
    <w:rsid w:val="00B8590D"/>
    <w:rsid w:val="00B8794C"/>
    <w:rsid w:val="00BB2027"/>
    <w:rsid w:val="00BD28D4"/>
    <w:rsid w:val="00BE4EC7"/>
    <w:rsid w:val="00C22C1C"/>
    <w:rsid w:val="00C54859"/>
    <w:rsid w:val="00C71A3C"/>
    <w:rsid w:val="00C82EBC"/>
    <w:rsid w:val="00C831D3"/>
    <w:rsid w:val="00C95F4F"/>
    <w:rsid w:val="00D33288"/>
    <w:rsid w:val="00D4037E"/>
    <w:rsid w:val="00D830AD"/>
    <w:rsid w:val="00DC3DED"/>
    <w:rsid w:val="00E45E53"/>
    <w:rsid w:val="00E822D6"/>
    <w:rsid w:val="00E97119"/>
    <w:rsid w:val="00ED0609"/>
    <w:rsid w:val="00ED0821"/>
    <w:rsid w:val="00F10FED"/>
    <w:rsid w:val="00F4597B"/>
    <w:rsid w:val="00F803E3"/>
    <w:rsid w:val="00F924C1"/>
    <w:rsid w:val="00F978D3"/>
    <w:rsid w:val="00FB18DC"/>
    <w:rsid w:val="00FC479A"/>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0C2A89"/>
  <w15:chartTrackingRefBased/>
  <w15:docId w15:val="{A15EDA4C-DE9F-4814-A567-42C445C8B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03E3"/>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7B68B8"/>
    <w:pPr>
      <w:spacing w:before="480" w:after="240"/>
    </w:pPr>
  </w:style>
  <w:style w:type="paragraph" w:styleId="TOC1">
    <w:name w:val="toc 1"/>
    <w:basedOn w:val="Normal"/>
    <w:next w:val="Normal"/>
    <w:autoRedefine/>
    <w:uiPriority w:val="39"/>
    <w:rsid w:val="00470D5E"/>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4C4A0B"/>
    <w:pPr>
      <w:spacing w:before="80" w:after="80"/>
    </w:pPr>
    <w:rPr>
      <w:rFonts w:ascii="Arial Narrow" w:hAnsi="Arial Narrow" w:cs="Arial"/>
      <w:b/>
      <w:sz w:val="32"/>
      <w:szCs w:val="22"/>
    </w:rPr>
  </w:style>
  <w:style w:type="paragraph" w:customStyle="1" w:styleId="CoverNormal24a">
    <w:name w:val="CoverNormal24a"/>
    <w:basedOn w:val="Normal"/>
    <w:rsid w:val="005C0789"/>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4F549A"/>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5C0789"/>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4597B"/>
    <w:pPr>
      <w:tabs>
        <w:tab w:val="center" w:pos="4513"/>
        <w:tab w:val="right" w:pos="9026"/>
      </w:tabs>
    </w:pPr>
  </w:style>
  <w:style w:type="table" w:styleId="TableGrid">
    <w:name w:val="Table Grid"/>
    <w:basedOn w:val="TableNormal"/>
    <w:rsid w:val="00C71A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71A3C"/>
    <w:pPr>
      <w:jc w:val="center"/>
    </w:pPr>
    <w:rPr>
      <w:rFonts w:ascii="Arial" w:hAnsi="Arial" w:cs="Arial"/>
      <w:i/>
      <w:sz w:val="22"/>
      <w:szCs w:val="22"/>
    </w:rPr>
  </w:style>
  <w:style w:type="paragraph" w:customStyle="1" w:styleId="LineTop">
    <w:name w:val="LineTop"/>
    <w:basedOn w:val="Normal"/>
    <w:next w:val="Normal"/>
    <w:rsid w:val="00C71A3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71A3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4C4A0B"/>
    <w:pPr>
      <w:spacing w:after="80"/>
    </w:pPr>
    <w:rPr>
      <w:rFonts w:ascii="Arial" w:hAnsi="Arial" w:cs="Arial"/>
      <w:sz w:val="20"/>
      <w:szCs w:val="22"/>
    </w:rPr>
  </w:style>
  <w:style w:type="paragraph" w:customStyle="1" w:styleId="EPLogo">
    <w:name w:val="EPLogo"/>
    <w:basedOn w:val="Normal"/>
    <w:qFormat/>
    <w:rsid w:val="004C4A0B"/>
    <w:pPr>
      <w:jc w:val="right"/>
    </w:pPr>
  </w:style>
  <w:style w:type="paragraph" w:customStyle="1" w:styleId="EPFooter">
    <w:name w:val="EPFooter"/>
    <w:basedOn w:val="Normal"/>
    <w:rsid w:val="005C0789"/>
    <w:pPr>
      <w:tabs>
        <w:tab w:val="center" w:pos="4535"/>
        <w:tab w:val="right" w:pos="9071"/>
      </w:tabs>
      <w:spacing w:before="240" w:after="240"/>
    </w:pPr>
    <w:rPr>
      <w:color w:val="010000"/>
      <w:sz w:val="22"/>
    </w:rPr>
  </w:style>
  <w:style w:type="character" w:styleId="PageNumber">
    <w:name w:val="page number"/>
    <w:basedOn w:val="DefaultParagraphFont"/>
    <w:semiHidden/>
    <w:rsid w:val="00865B2B"/>
  </w:style>
  <w:style w:type="character" w:customStyle="1" w:styleId="HeaderChar">
    <w:name w:val="Header Char"/>
    <w:basedOn w:val="DefaultParagraphFont"/>
    <w:link w:val="Header"/>
    <w:semiHidden/>
    <w:rsid w:val="00F4597B"/>
    <w:rPr>
      <w:sz w:val="24"/>
    </w:rPr>
  </w:style>
  <w:style w:type="paragraph" w:customStyle="1" w:styleId="Lgendesigne">
    <w:name w:val="Légende signe"/>
    <w:basedOn w:val="Normal"/>
    <w:rsid w:val="00C831D3"/>
    <w:pPr>
      <w:tabs>
        <w:tab w:val="right" w:pos="454"/>
        <w:tab w:val="left" w:pos="737"/>
      </w:tabs>
      <w:ind w:left="737" w:hanging="737"/>
    </w:pPr>
    <w:rPr>
      <w:snapToGrid w:val="0"/>
      <w:sz w:val="18"/>
      <w:lang w:eastAsia="en-US"/>
    </w:rPr>
  </w:style>
  <w:style w:type="paragraph" w:customStyle="1" w:styleId="Lgendetitre">
    <w:name w:val="Légende titre"/>
    <w:basedOn w:val="Normal"/>
    <w:rsid w:val="00C831D3"/>
    <w:pPr>
      <w:spacing w:before="240" w:after="240"/>
    </w:pPr>
    <w:rPr>
      <w:b/>
      <w:i/>
      <w:snapToGrid w:val="0"/>
      <w:lang w:eastAsia="en-US"/>
    </w:rPr>
  </w:style>
  <w:style w:type="paragraph" w:customStyle="1" w:styleId="Lgendestandard">
    <w:name w:val="Légende standard"/>
    <w:basedOn w:val="Normal"/>
    <w:rsid w:val="00C831D3"/>
    <w:rPr>
      <w:sz w:val="18"/>
    </w:rPr>
  </w:style>
  <w:style w:type="paragraph" w:styleId="FootnoteText">
    <w:name w:val="footnote text"/>
    <w:basedOn w:val="Normal"/>
    <w:link w:val="FootnoteTextChar"/>
    <w:rsid w:val="00C831D3"/>
    <w:rPr>
      <w:sz w:val="20"/>
    </w:rPr>
  </w:style>
  <w:style w:type="character" w:customStyle="1" w:styleId="FootnoteTextChar">
    <w:name w:val="Footnote Text Char"/>
    <w:basedOn w:val="DefaultParagraphFont"/>
    <w:link w:val="FootnoteText"/>
    <w:rsid w:val="00C831D3"/>
  </w:style>
  <w:style w:type="character" w:styleId="FootnoteReference">
    <w:name w:val="footnote reference"/>
    <w:basedOn w:val="DefaultParagraphFont"/>
    <w:uiPriority w:val="99"/>
    <w:rsid w:val="00C831D3"/>
    <w:rPr>
      <w:vertAlign w:val="superscript"/>
    </w:rPr>
  </w:style>
  <w:style w:type="paragraph" w:styleId="Footer">
    <w:name w:val="footer"/>
    <w:basedOn w:val="Normal"/>
    <w:link w:val="FooterChar"/>
    <w:semiHidden/>
    <w:rsid w:val="00C831D3"/>
    <w:pPr>
      <w:tabs>
        <w:tab w:val="center" w:pos="4513"/>
        <w:tab w:val="right" w:pos="9026"/>
      </w:tabs>
    </w:pPr>
  </w:style>
  <w:style w:type="character" w:customStyle="1" w:styleId="FooterChar">
    <w:name w:val="Footer Char"/>
    <w:basedOn w:val="DefaultParagraphFont"/>
    <w:link w:val="Footer"/>
    <w:semiHidden/>
    <w:rsid w:val="00C831D3"/>
    <w:rPr>
      <w:sz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496B86-771C-4BC6-BE51-E60EBE50E7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1093</Words>
  <Characters>6335</Characters>
  <Application>Microsoft Office Word</Application>
  <DocSecurity>0</DocSecurity>
  <Lines>158</Lines>
  <Paragraphs>76</Paragraphs>
  <ScaleCrop>false</ScaleCrop>
  <HeadingPairs>
    <vt:vector size="2" baseType="variant">
      <vt:variant>
        <vt:lpstr>Title</vt:lpstr>
      </vt:variant>
      <vt:variant>
        <vt:i4>1</vt:i4>
      </vt:variant>
    </vt:vector>
  </HeadingPairs>
  <TitlesOfParts>
    <vt:vector size="1" baseType="lpstr">
      <vt:lpstr>PR_CNS_LegAct_app</vt:lpstr>
    </vt:vector>
  </TitlesOfParts>
  <Company/>
  <LinksUpToDate>false</LinksUpToDate>
  <CharactersWithSpaces>7352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PR_CNS_LegAct_app</dc:title>
  <dc:subject/>
  <dc:creator>SMAKALOVA Sona</dc:creator>
  <cp:keywords/>
  <dc:description/>
  <cp:lastModifiedBy>VIDROVA Kamila</cp:lastModifiedBy>
  <cp:revision>2</cp:revision>
  <cp:lastPrinted>2004-11-04T10:10:00Z</cp:lastPrinted>
  <dcterms:created xsi:type="dcterms:W3CDTF">2025-07-01T08:14:00Z</dcterms:created>
  <dcterms:modified xsi:type="dcterms:W3CDTF">2025-07-01T08:14:00Z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10.1.2 Build [20250601]</vt:lpwstr>
  </property>
  <property fmtid="{D5CDD505-2E9C-101B-9397-08002B2CF9AE}" pid="4" name="LastEdited with">
    <vt:lpwstr>10.1.2 Build [20250615]</vt:lpwstr>
  </property>
  <property fmtid="{D5CDD505-2E9C-101B-9397-08002B2CF9AE}" pid="5" name="&lt;FdR&gt;">
    <vt:lpwstr>1322849</vt:lpwstr>
  </property>
  <property fmtid="{D5CDD505-2E9C-101B-9397-08002B2CF9AE}" pid="6" name="&lt;Type&gt;">
    <vt:lpwstr>PR</vt:lpwstr>
  </property>
  <property fmtid="{D5CDD505-2E9C-101B-9397-08002B2CF9AE}" pid="7" name="&lt;ModelCod&gt;">
    <vt:lpwstr>\\eiciLUXpr1\pdocep$\DocEP\DOCS\General\PR\PR_Leg\CNS\CNS_LegAct\PR_CNS_LegAct_app.dotx(24/09/2024 09:47:01)</vt:lpwstr>
  </property>
  <property fmtid="{D5CDD505-2E9C-101B-9397-08002B2CF9AE}" pid="8" name="&lt;ModelTra&gt;">
    <vt:lpwstr>\\eiciLUXpr1\pdocep$\DocEP\TRANSFIL\CS\PR_CNS_LegAct_app.CS(07/10/2024 11:31:00)</vt:lpwstr>
  </property>
  <property fmtid="{D5CDD505-2E9C-101B-9397-08002B2CF9AE}" pid="9" name="&lt;Model&gt;">
    <vt:lpwstr>PR_CNS_LegAct_app</vt:lpwstr>
  </property>
  <property fmtid="{D5CDD505-2E9C-101B-9397-08002B2CF9AE}" pid="10" name="FooterPath">
    <vt:lpwstr>PR\1322849CS.docx</vt:lpwstr>
  </property>
  <property fmtid="{D5CDD505-2E9C-101B-9397-08002B2CF9AE}" pid="11" name="PE number">
    <vt:lpwstr>774.445</vt:lpwstr>
  </property>
  <property fmtid="{D5CDD505-2E9C-101B-9397-08002B2CF9AE}" pid="12" name="Bookout">
    <vt:lpwstr>OK - 2025/07/01 10:14</vt:lpwstr>
  </property>
  <property fmtid="{D5CDD505-2E9C-101B-9397-08002B2CF9AE}" pid="13" name="SDLStudio">
    <vt:lpwstr/>
  </property>
</Properties>
</file>