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{ECON}</w:t>
      </w:r>
      <w:r>
        <w:t>Talous- ja raha-asioiden valiokunta</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{03/10/2025}</w:t>
      </w:r>
      <w:r>
        <w:t>3.10.2025</w:t>
      </w:r>
      <w:r>
        <w:rPr>
          <w:rStyle w:val="HideTWBExt"/>
        </w:rPr>
        <w:t>&lt;/Date&gt;</w:t>
      </w:r>
    </w:p>
    <w:p>
      <w:pPr>
        <w:pStyle w:val="CoverDocType"/>
      </w:pPr>
      <w:r>
        <w:rPr>
          <w:rStyle w:val="HideTWBExt"/>
        </w:rPr>
        <w:t>&lt;RefProcLect&gt;</w:t>
      </w:r>
      <w:r>
        <w:t>***I</w:t>
      </w:r>
      <w:r>
        <w:rPr>
          <w:rStyle w:val="HideTWBExt"/>
        </w:rPr>
        <w:t>&lt;/RefProcLect&gt;</w:t>
      </w:r>
    </w:p>
    <w:p>
      <w:pPr>
        <w:pStyle w:val="CoverDocType24a"/>
      </w:pPr>
      <w:r>
        <w:rPr>
          <w:rStyle w:val="HideTWBExt"/>
        </w:rPr>
        <w:t>&lt;TitreType&gt;</w:t>
      </w:r>
      <w:r>
        <w:t>MIETINTÖLUONNOS</w:t>
      </w:r>
      <w:r>
        <w:rPr>
          <w:rStyle w:val="HideTWBExt"/>
        </w:rPr>
        <w:t>&lt;/TitreType&gt;</w:t>
      </w:r>
    </w:p>
    <w:p>
      <w:pPr>
        <w:pStyle w:val="CoverNormal"/>
      </w:pPr>
      <w:r>
        <w:rPr>
          <w:rStyle w:val="HideTWBExt"/>
        </w:rPr>
        <w:t>&lt;Titre&gt;</w:t>
      </w:r>
      <w:r>
        <w:t>ehdotuksesta Euroopan parlamentin ja neuvoston asetukseksi liikekiinteistöjä koskevista muista kuin rahoitustilastoista</w:t>
      </w:r>
      <w:r>
        <w:rPr>
          <w:rStyle w:val="HideTWBExt"/>
        </w:rPr>
        <w:t>&lt;/Titre&gt;</w:t>
      </w:r>
    </w:p>
    <w:p>
      <w:pPr>
        <w:pStyle w:val="CoverNormal24a"/>
      </w:pPr>
      <w:r>
        <w:rPr>
          <w:rStyle w:val="HideTWBExt"/>
        </w:rPr>
        <w:t>&lt;DocRef&gt;</w:t>
      </w:r>
      <w:r>
        <w:t>(COM(2025)0100 – C10-0046/2025 – 2025/0052(COD))</w:t>
      </w:r>
      <w:r>
        <w:rPr>
          <w:rStyle w:val="HideTWBExt"/>
        </w:rPr>
        <w:t>&lt;/DocRef&gt;</w:t>
      </w:r>
    </w:p>
    <w:p>
      <w:pPr>
        <w:pStyle w:val="CoverNormal24a"/>
      </w:pPr>
      <w:r>
        <w:rPr>
          <w:rStyle w:val="HideTWBExt"/>
        </w:rPr>
        <w:t>&lt;Commission&gt;</w:t>
      </w:r>
      <w:r>
        <w:rPr>
          <w:rStyle w:val="HideTWBInt"/>
        </w:rPr>
        <w:t>{ECON}</w:t>
      </w:r>
      <w:r>
        <w:t>Talous- ja raha-asioiden valiokunta</w:t>
      </w:r>
      <w:r>
        <w:rPr>
          <w:rStyle w:val="HideTWBExt"/>
        </w:rPr>
        <w:t>&lt;/Commission&gt;</w:t>
      </w:r>
    </w:p>
    <w:p>
      <w:pPr>
        <w:pStyle w:val="CoverNormal24a"/>
      </w:pPr>
      <w:r>
        <w:t>Esittelijä</w:t>
      </w:r>
      <w:r>
        <w:t xml:space="preserve">: </w:t>
      </w:r>
      <w:r>
        <w:rPr>
          <w:rStyle w:val="HideTWBExt"/>
        </w:rPr>
        <w:t>&lt;Depute&gt;</w:t>
      </w:r>
      <w:r>
        <w:t>Aurore Lalucq</w:t>
      </w:r>
      <w:r>
        <w:rPr>
          <w:rStyle w:val="HideTWBExt"/>
        </w:rPr>
        <w:t>&lt;/Depute&gt;</w:t>
      </w:r>
    </w:p>
    <w:p>
      <w:r>
        <w:br w:type="page"/>
      </w:r>
      <w:r>
        <w:t>PR_COD_1amCom</w:t>
      </w:r>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Menettelyjen symbolit</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ign"/>
            </w:pPr>
            <w:r>
              <w:tab/>
            </w:r>
            <w:r>
              <w:t>*</w:t>
            </w:r>
            <w:r>
              <w:tab/>
            </w:r>
            <w:r>
              <w:t>Kuulemismenettely</w:t>
            </w:r>
          </w:p>
          <w:p>
            <w:pPr>
              <w:pStyle w:val="LegendSign"/>
            </w:pPr>
            <w:r>
              <w:tab/>
            </w:r>
            <w:r>
              <w:t>***</w:t>
            </w:r>
            <w:r>
              <w:tab/>
            </w:r>
            <w:r>
              <w:t>Hyväksyntämenettely</w:t>
            </w:r>
          </w:p>
          <w:p>
            <w:pPr>
              <w:pStyle w:val="LegendSign"/>
            </w:pPr>
            <w:r>
              <w:tab/>
            </w:r>
            <w:r>
              <w:t>***I</w:t>
            </w:r>
            <w:r>
              <w:tab/>
            </w:r>
            <w:r>
              <w:t>Tavallinen lainsäätämisjärjestys (ensimmäinen käsittely)</w:t>
            </w:r>
          </w:p>
          <w:p>
            <w:pPr>
              <w:pStyle w:val="LegendSign"/>
            </w:pPr>
            <w:r>
              <w:tab/>
            </w:r>
            <w:r>
              <w:t>***II</w:t>
            </w:r>
            <w:r>
              <w:tab/>
            </w:r>
            <w:r>
              <w:t>Tavallinen lainsäätämisjärjestys (toinen käsittely)</w:t>
            </w:r>
          </w:p>
          <w:p>
            <w:pPr>
              <w:pStyle w:val="LegendSign"/>
            </w:pPr>
            <w:r>
              <w:tab/>
            </w:r>
            <w:r>
              <w:t>***III</w:t>
            </w:r>
            <w:r>
              <w:tab/>
            </w:r>
            <w:r>
              <w:t>Tavallinen lainsäätämisjärjestys (kolmas käsittely)</w:t>
            </w:r>
            <w:r>
              <w:cr/>
            </w:r>
          </w:p>
          <w:p>
            <w:pPr>
              <w:pStyle w:val="LegendStandard"/>
            </w:pPr>
            <w:r>
              <w:t>(Menettely määräytyy säädösesityksessä ehdotetun oikeusperustan mukaan.)</w:t>
            </w:r>
            <w:r>
              <w:cr/>
            </w:r>
          </w:p>
        </w:tc>
      </w:tr>
    </w:tbl>
    <w:p/>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Tarkistukset säädösesitykseen</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tandard"/>
            </w:pPr>
            <w:r>
              <w:rPr>
                <w:b/>
              </w:rPr>
              <w:t>Palstoina esitettävät parlamentin tarkistukset</w:t>
            </w:r>
            <w:r>
              <w:cr/>
            </w:r>
          </w:p>
          <w:p>
            <w:pPr>
              <w:pStyle w:val="LegendStandard"/>
            </w:pPr>
            <w:r>
              <w:t xml:space="preserve">Poistettava teksti merkitään vasempaan palstaan </w:t>
            </w:r>
            <w:r>
              <w:rPr>
                <w:b/>
                <w:i/>
              </w:rPr>
              <w:t>lihavoidulla kursiivilla</w:t>
            </w:r>
            <w:r>
              <w:t xml:space="preserve">. Tekstiä korvattaessa muutosmerkinnät tehdään molempiin palstoihin </w:t>
            </w:r>
            <w:r>
              <w:rPr>
                <w:b/>
                <w:i/>
              </w:rPr>
              <w:t>lihavoidulla kursiivilla</w:t>
            </w:r>
            <w:r>
              <w:t xml:space="preserve">. Uusi teksti merkitään oikeaan palstaan </w:t>
            </w:r>
            <w:r>
              <w:rPr>
                <w:b/>
                <w:i/>
              </w:rPr>
              <w:t>lihavoidulla kursiivilla</w:t>
            </w:r>
            <w:r>
              <w:t>.</w:t>
            </w:r>
            <w:r>
              <w:cr/>
            </w:r>
          </w:p>
          <w:p>
            <w:pPr>
              <w:pStyle w:val="LegendStandard"/>
            </w:pPr>
            <w:r>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r>
              <w:cr/>
            </w:r>
          </w:p>
          <w:p>
            <w:pPr>
              <w:pStyle w:val="LegendStandard"/>
            </w:pPr>
            <w:r>
              <w:rPr>
                <w:b/>
              </w:rPr>
              <w:t>Konsolidoituna tekstinä esitettävät parlamentin tarkistukset</w:t>
            </w:r>
            <w:r>
              <w:cr/>
            </w:r>
          </w:p>
          <w:p>
            <w:pPr>
              <w:pStyle w:val="LegendStandard"/>
            </w:pPr>
            <w:r>
              <w:t xml:space="preserve">Uusi teksti merkitään </w:t>
            </w:r>
            <w:r>
              <w:rPr>
                <w:b/>
                <w:i/>
              </w:rPr>
              <w:t>lihavoidulla kursiivilla</w:t>
            </w:r>
            <w:r>
              <w:t xml:space="preserve">. Poistettava teksti merkitään symbolilla ▌tai yliviivauksella. Tekstiä korvattaessa muutosmerkinnät tehdään siten, että uusi teksti merkitään </w:t>
            </w:r>
            <w:r>
              <w:rPr>
                <w:b/>
                <w:i/>
              </w:rPr>
              <w:t>lihavoidulla kursiivilla</w:t>
            </w:r>
            <w:r>
              <w:t xml:space="preserve"> ja korvattava teksti poistetaan tai viivataan yli.</w:t>
            </w:r>
            <w:r>
              <w:br/>
            </w:r>
            <w:r>
              <w:t>Parlamentin yksiköiden tekemiä lopullisen tekstin teknisiä muutoksia ei merkitä.</w:t>
            </w:r>
            <w:r>
              <w:cr/>
            </w:r>
          </w:p>
        </w:tc>
      </w:tr>
    </w:tbl>
    <w:p/>
    <w:p/>
    <w:p/>
    <w:p>
      <w:r>
        <w:br w:type="page"/>
      </w:r>
    </w:p>
    <w:p>
      <w:pPr>
        <w:pStyle w:val="TOCHeading"/>
      </w:pPr>
      <w:r>
        <w:t>SISÄLTÖ</w:t>
      </w:r>
    </w:p>
    <w:p>
      <w:pPr>
        <w:pStyle w:val="TOCPage"/>
      </w:pPr>
      <w:r>
        <w:t>Sivu</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LUONNOS EUROOPAN PARLAMENTIN LAINSÄÄDÄNTÖPÄÄTÖSLAUSELMAKSI</w:t>
      </w:r>
      <w:r>
        <w:tab/>
      </w:r>
      <w:r>
        <w:fldChar w:fldCharType="begin"/>
      </w:r>
      <w:r>
        <w:instrText xml:space="preserve"> PAGEREF _Toc256000000 \h </w:instrText>
      </w:r>
      <w:r>
        <w:fldChar w:fldCharType="separate"/>
      </w:r>
      <w:r>
        <w:t>5</w:t>
      </w:r>
      <w:r>
        <w:fldChar w:fldCharType="end"/>
      </w:r>
    </w:p>
    <w:p>
      <w:pPr>
        <w:pStyle w:val="TOC1"/>
        <w:tabs>
          <w:tab w:val="right" w:leader="dot" w:pos="9065"/>
        </w:tabs>
        <w:rPr>
          <w:rFonts w:ascii="Calibri" w:hAnsi="Calibri"/>
          <w:noProof/>
          <w:sz w:val="22"/>
        </w:rPr>
      </w:pPr>
      <w:r>
        <w:t>PERUSTELUT</w:t>
      </w:r>
      <w:r>
        <w:tab/>
      </w:r>
      <w:r>
        <w:fldChar w:fldCharType="begin"/>
      </w:r>
      <w:r>
        <w:instrText xml:space="preserve"> PAGEREF _Toc256000001 \h </w:instrText>
      </w:r>
      <w:r>
        <w:fldChar w:fldCharType="separate"/>
      </w:r>
      <w:r>
        <w:t>13</w:t>
      </w:r>
      <w:r>
        <w:fldChar w:fldCharType="end"/>
      </w:r>
    </w:p>
    <w:p>
      <w:pPr>
        <w:pStyle w:val="TOC1"/>
      </w:pPr>
      <w:r>
        <w:fldChar w:fldCharType="end"/>
      </w:r>
    </w:p>
    <w:p>
      <w:r>
        <w:br w:type="page"/>
      </w:r>
    </w:p>
    <w:p>
      <w:r>
        <w:br w:type="page"/>
      </w:r>
    </w:p>
    <w:p>
      <w:pPr>
        <w:pStyle w:val="PageHeading"/>
      </w:pPr>
      <w:bookmarkStart w:id="0" w:name="_Toc256000000"/>
      <w:r>
        <w:t>LUONNOS EUROOPAN PARLAMENTIN LAINSÄÄDÄNTÖPÄÄTÖSLAUSELMAKSI</w:t>
      </w:r>
      <w:bookmarkEnd w:id="0"/>
    </w:p>
    <w:p>
      <w:pPr>
        <w:pStyle w:val="NormalBold"/>
      </w:pPr>
      <w:r>
        <w:t>ehdotuksesta Euroopan parlamentin ja neuvoston asetukseksi liikekiinteistöjä koskevista muista kuin rahoitustilastoista</w:t>
      </w:r>
    </w:p>
    <w:p>
      <w:pPr>
        <w:pStyle w:val="NormalBold"/>
      </w:pPr>
    </w:p>
    <w:p>
      <w:pPr>
        <w:pStyle w:val="NormalBold12a"/>
      </w:pPr>
      <w:r>
        <w:t>(</w:t>
      </w:r>
      <w:r>
        <w:t>COM(2025)0100</w:t>
      </w:r>
      <w:r>
        <w:t xml:space="preserve"> – </w:t>
      </w:r>
      <w:r>
        <w:t>C10-0046/2025</w:t>
      </w:r>
      <w:r>
        <w:t xml:space="preserve"> – </w:t>
      </w:r>
      <w:r>
        <w:t>2025/0052(COD)</w:t>
      </w:r>
      <w:r>
        <w:t>)</w:t>
      </w:r>
    </w:p>
    <w:p>
      <w:pPr>
        <w:pStyle w:val="NormalBold12a"/>
      </w:pPr>
      <w:r>
        <w:t>(</w:t>
      </w:r>
      <w:r>
        <w:t>Tavallinen lainsäätämisjärjestys: ensimmäinen käsittely</w:t>
      </w:r>
      <w:r>
        <w:t>)</w:t>
      </w:r>
    </w:p>
    <w:p>
      <w:pPr>
        <w:pStyle w:val="Normal12"/>
      </w:pPr>
      <w:r>
        <w:rPr>
          <w:i/>
        </w:rPr>
        <w:t>Euroopan parlamentti</w:t>
      </w:r>
      <w:r>
        <w:t>, joka</w:t>
      </w:r>
    </w:p>
    <w:p>
      <w:pPr>
        <w:pStyle w:val="NormalHanging"/>
      </w:pPr>
      <w:r>
        <w:t>–</w:t>
      </w:r>
      <w:r>
        <w:tab/>
      </w:r>
      <w:r>
        <w:t>ottaa huomioon komission ehdotuksen Euroopan parlamentille ja neuvostolle (COM(2025)0100),</w:t>
      </w:r>
    </w:p>
    <w:p>
      <w:pPr>
        <w:pStyle w:val="NormalHanging"/>
      </w:pPr>
      <w:r>
        <w:t>–</w:t>
      </w:r>
      <w:r>
        <w:tab/>
      </w:r>
      <w:r>
        <w:t>ottaa huomioon Euroopan unionin toiminnasta tehdyn sopimuksen 294 artiklan 2 kohdan ja 338 artiklan 1 kohdan, joiden mukaisesti komissio on antanut ehdotuksen Euroopan parlamentille (C10-0046/2025),</w:t>
      </w:r>
    </w:p>
    <w:p>
      <w:pPr>
        <w:pStyle w:val="NormalHanging"/>
      </w:pPr>
      <w:r>
        <w:t>–</w:t>
      </w:r>
      <w:r>
        <w:tab/>
      </w:r>
      <w:r>
        <w:t>ottaa huomioon Euroopan unionin toiminnasta tehdyn sopimuksen 294 artiklan 3 kohdan,</w:t>
      </w:r>
    </w:p>
    <w:p>
      <w:pPr>
        <w:pStyle w:val="NormalHanging"/>
      </w:pPr>
      <w:r>
        <w:t>–</w:t>
      </w:r>
      <w:r>
        <w:tab/>
      </w:r>
      <w:r>
        <w:t>ottaa huomioon Euroopan keskuspankin 2. syyskuuta 2025 antaman lausunnon</w:t>
      </w:r>
      <w:r>
        <w:rPr>
          <w:rStyle w:val="FootnoteReference"/>
        </w:rPr>
        <w:footnoteReference w:customMarkFollows="1" w:id="2"/>
        <w:t xml:space="preserve">1</w:t>
      </w:r>
      <w:r>
        <w:t>,</w:t>
      </w:r>
    </w:p>
    <w:p>
      <w:pPr>
        <w:pStyle w:val="NormalHanging"/>
      </w:pPr>
      <w:r>
        <w:t>–</w:t>
      </w:r>
      <w:r>
        <w:tab/>
      </w:r>
      <w:r>
        <w:t>ottaa huomioon työjärjestyksen 60 artiklan,</w:t>
      </w:r>
    </w:p>
    <w:p>
      <w:pPr>
        <w:pStyle w:val="NormalHanging"/>
      </w:pPr>
      <w:r>
        <w:t>–</w:t>
      </w:r>
      <w:r>
        <w:tab/>
      </w:r>
      <w:r>
        <w:t>ottaa huomioon talous- ja raha-asioiden valiokunnan mietinnön (A10-0000/2025),</w:t>
      </w:r>
    </w:p>
    <w:p>
      <w:pPr>
        <w:pStyle w:val="NormalHanging12a"/>
      </w:pPr>
      <w:r>
        <w:t>1.</w:t>
      </w:r>
      <w:r>
        <w:tab/>
      </w:r>
      <w:r>
        <w:t>vahvistaa jäljempänä esitetyn ensimmäisen käsittelyn kannan;</w:t>
      </w:r>
    </w:p>
    <w:p>
      <w:pPr>
        <w:pStyle w:val="NormalHanging12a"/>
      </w:pPr>
      <w:r>
        <w:t>2.</w:t>
      </w:r>
      <w:r>
        <w:tab/>
      </w:r>
      <w:r>
        <w:t>pyytää komissiota antamaan asian uudelleen Euroopan parlamentin käsiteltäväksi, jos se korvaa ehdotuksensa, muuttaa sitä huomattavasti tai aikoo muuttaa sitä huomattavasti;</w:t>
      </w:r>
    </w:p>
    <w:p>
      <w:pPr>
        <w:pStyle w:val="NormalHanging12a"/>
      </w:pPr>
      <w:r>
        <w:t>3.</w:t>
      </w:r>
      <w:r>
        <w:tab/>
      </w:r>
      <w:r>
        <w:t>kehottaa puhemiestä välittämään parlamentin kannan neuvostolle ja komissiolle sekä kansallisille parlamenteille.</w:t>
      </w:r>
    </w:p>
    <w:p>
      <w:r>
        <w:br w:type="page"/>
      </w:r>
    </w:p>
    <w:p>
      <w:pPr>
        <w:pStyle w:val="AmNumberTabs"/>
      </w:pP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ottaa huomioon Euroopan keskuspankin lausunnon</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EUVL C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Jos tarvitaan uusia tietovaatimuksia tai parannuksia tämän asetuksen kattamiin tietokokonaisuuksiin, olisi käynnistettävä </w:t>
            </w:r>
            <w:r>
              <w:rPr>
                <w:b/>
                <w:i/>
              </w:rPr>
              <w:t>pilottitutkimuksia</w:t>
            </w:r>
            <w:r>
              <w:t xml:space="preserve">. Jäsenvaltioiden olisi voitava toteuttaa </w:t>
            </w:r>
            <w:r>
              <w:rPr>
                <w:b/>
                <w:i/>
              </w:rPr>
              <w:t>nämä</w:t>
            </w:r>
            <w:r>
              <w:t xml:space="preserve"> pilottitutkimukset vapaaehtoiselta pohjalta, ja samalla olisi varmistettava maiden edustavuus </w:t>
            </w:r>
            <w:r>
              <w:rPr>
                <w:b/>
                <w:i/>
              </w:rPr>
              <w:t>EU:n</w:t>
            </w:r>
            <w:r>
              <w:t xml:space="preserve"> tasolla.</w:t>
            </w:r>
          </w:p>
        </w:tc>
        <w:tc>
          <w:tcPr>
            <w:tcW w:w="4876" w:type="dxa"/>
            <w:tcBorders>
              <w:top w:val="nil"/>
              <w:left w:val="nil"/>
              <w:bottom w:val="nil"/>
              <w:right w:val="nil"/>
            </w:tcBorders>
          </w:tcPr>
          <w:p>
            <w:pPr>
              <w:pStyle w:val="Normal6a"/>
            </w:pPr>
            <w:r>
              <w:t>(14)</w:t>
            </w:r>
            <w:r>
              <w:tab/>
            </w:r>
            <w:r>
              <w:t xml:space="preserve">Jos tarvitaan uusia tietovaatimuksia tai parannuksia tämän asetuksen kattamiin tietokokonaisuuksiin </w:t>
            </w:r>
            <w:r>
              <w:rPr>
                <w:b/>
                <w:i/>
              </w:rPr>
              <w:t>liikekiinteistöalan riskien tehokkaan valvonnan helpottamiseksi, pilottitutkimukset, joita jäsenvaltiot toteuttavat tyhjillään olevien kiinteistöjen määrästä ja vuokratuotoista</w:t>
            </w:r>
            <w:r>
              <w:t xml:space="preserve">, olisi käynnistettävä </w:t>
            </w:r>
            <w:r>
              <w:rPr>
                <w:b/>
                <w:i/>
              </w:rPr>
              <w:t>ennen 1 päivänä tammikuuta 2028</w:t>
            </w:r>
            <w:r>
              <w:t xml:space="preserve">. Jäsenvaltioiden olisi voitava toteuttaa </w:t>
            </w:r>
            <w:r>
              <w:rPr>
                <w:b/>
                <w:i/>
              </w:rPr>
              <w:t>muut</w:t>
            </w:r>
            <w:r>
              <w:t xml:space="preserve"> pilottitutkimukset vapaaehtoiselta pohjalta, ja samalla olisi varmistettava maiden edustavuus </w:t>
            </w:r>
            <w:r>
              <w:rPr>
                <w:b/>
                <w:i/>
              </w:rPr>
              <w:t>unionin</w:t>
            </w:r>
            <w:r>
              <w:t xml:space="preserve"> tasolla. </w:t>
            </w:r>
            <w:r>
              <w:rPr>
                <w:b/>
                <w:i/>
              </w:rPr>
              <w:t>Pilottitutkimuksissa olisi asetettava etusijalle tiedot, jotka liittyvät lyhytaikaisiin vuokramajoituspalveluihin ja niiden vaikutuksiin liikekiinteistöihin.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14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Monivuotinen rahoituskehys 2028–2034 kattaa sisämarkkina- ja tulliohjelman, joka on väline, josta rahoitetaan Euroopan tilastoja tukevia toimia. Ohjelmassa mainitaan nimenomaisesti, että yksi sen tavoitteista on virallisten Euroopan tilastojen kehittäminen, tuottaminen ja levittäminen, joihin kuuluvat liikekiinteistöjä koskevat muut kuin rahoitustilastot.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Jotta voidaan ottaa huomioon talouden ja tekniikan kehitys, komissiolle olisi siirrettävä valta hyväksyä säädösvallan siirron nojalla annettavia delegoituja säädöksiä Euroopan unionin toiminnasta tehdyn sopimuksen 290 artiklan mukaisesti liitteessä I vahvistettujen muuttujien luettelon muuttamiseksi.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Pr>
                <w:vertAlign w:val="superscript"/>
              </w:rPr>
              <w:t>8</w:t>
            </w:r>
            <w: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pPr>
              <w:pStyle w:val="Normal6a"/>
            </w:pPr>
            <w:r>
              <w:t>(16)</w:t>
            </w:r>
            <w:r>
              <w:tab/>
            </w:r>
            <w:r>
              <w:t>Jotta voidaan ottaa huomioon talouden ja tekniikan kehitys, komissiolle olisi siirrettävä valta hyväksyä säädösvallan siirron nojalla annettavia delegoituja säädöksiä Euroopan unionin toiminnasta tehdyn sopimuksen 290 artiklan mukaisesti liitteessä I vahvistettujen muuttujien luettelon muuttamiseksi.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w:t>
            </w:r>
            <w:r>
              <w:rPr>
                <w:vertAlign w:val="superscript"/>
              </w:rPr>
              <w:t>8</w:t>
            </w:r>
            <w:r>
              <w:t xml:space="preserve"> ).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w:t>
            </w:r>
            <w:r>
              <w:rPr>
                <w:b/>
                <w:i/>
              </w:rPr>
              <w:t>Komissio olisi kuultava Euroopan keskuspankkia valmistellessaan näitä delegoituja säädöksiä.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EUVL L 123, 12.5.2016, s. 1.</w:t>
            </w:r>
          </w:p>
        </w:tc>
        <w:tc>
          <w:tcPr>
            <w:tcW w:w="4876" w:type="dxa"/>
            <w:tcBorders>
              <w:top w:val="nil"/>
              <w:left w:val="nil"/>
              <w:bottom w:val="nil"/>
              <w:right w:val="nil"/>
            </w:tcBorders>
          </w:tcPr>
          <w:p>
            <w:pPr>
              <w:pStyle w:val="Normal6a"/>
            </w:pPr>
            <w:r>
              <w:rPr>
                <w:vertAlign w:val="superscript"/>
              </w:rPr>
              <w:t>8</w:t>
            </w:r>
            <w:r>
              <w:t xml:space="preserve"> </w:t>
            </w:r>
            <w:r>
              <w:t>EUVL L 123, 12.5.2016,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Jos tämän asetuksen tai tämän asetuksen nojalla annettujen täytäntöönpanosäädösten soveltaminen edellyttää merkittäviä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kolmeksi</w:t>
            </w:r>
            <w:r>
              <w:t xml:space="preserve"> vuodeksi. Komission olisi tuettava asianomaisia jäsenvaltioita toimissa, joilla pyritään toteuttamaan niiden tilastojärjestelmiin mukautukset, joita vaaditaan, jotta poikkeuksista voidaan luopua mahdollisimman pian.</w:t>
            </w:r>
          </w:p>
        </w:tc>
        <w:tc>
          <w:tcPr>
            <w:tcW w:w="4876" w:type="dxa"/>
            <w:tcBorders>
              <w:top w:val="nil"/>
              <w:left w:val="nil"/>
              <w:bottom w:val="nil"/>
              <w:right w:val="nil"/>
            </w:tcBorders>
          </w:tcPr>
          <w:p>
            <w:pPr>
              <w:pStyle w:val="Normal6a"/>
            </w:pPr>
            <w:r>
              <w:t>(18)</w:t>
            </w:r>
            <w:r>
              <w:tab/>
            </w:r>
            <w:r>
              <w:t xml:space="preserve">Jos tämän asetuksen tai tämän asetuksen nojalla annettujen täytäntöönpanosäädösten soveltaminen edellyttää merkittäviä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kahdeksi</w:t>
            </w:r>
            <w:r>
              <w:t xml:space="preserve"> vuodeksi. Komission olisi tuettava asianomaisia jäsenvaltioita toimissa, joilla pyritään toteuttamaan niiden tilastojärjestelmiin mukautukset, joita vaaditaan, jotta poikkeuksista voidaan luopua mahdollisimman pian.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ja toimitettava komissiolle (Eurostatille) </w:t>
            </w:r>
            <w:r>
              <w:rPr>
                <w:b/>
                <w:i/>
              </w:rPr>
              <w:t>neljännesvuosittain</w:t>
            </w:r>
            <w:r>
              <w:t xml:space="preserve"> kunkin 1 kohdassa tarkoitetun muuttujan kannalta merkitykselliset tiedot.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(Ks. asetus (EU) 2019/2152, liite II)</w:t>
      </w:r>
    </w:p>
    <w:p>
      <w:pPr>
        <w:pStyle w:val="AmJustTitle"/>
      </w:pPr>
      <w:r>
        <w:rPr>
          <w:rStyle w:val="HideTWBExt"/>
        </w:rPr>
        <w:t>&lt;TitreJust&gt;</w:t>
      </w:r>
      <w:r>
        <w:t>Perustelu</w:t>
      </w:r>
      <w:r>
        <w:rPr>
          <w:rStyle w:val="HideTWBExt"/>
        </w:rPr>
        <w:t>&lt;/TitreJust&gt;</w:t>
      </w:r>
    </w:p>
    <w:p>
      <w:pPr>
        <w:pStyle w:val="AmJustText"/>
      </w:pPr>
      <w:r>
        <w:t>Euroopan yritystilastoasetuksessa (asetus (EU) 2019/2152) kiinteistötilastoja oli sisällytetty lyhyen aikavälin yritystilastoihin. Kuten liitteessä II mainitaan, kiinteistötilastot ilmoitettiin neljännesvuosittain tai valinnaisesti kuukausittain.</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Komissio (Eurostat) käynnistää ennen 1 päivää tammikuuta 2028 pilottitutkimuksia liikekiinteistöalan tyhjillään olevien kiinteistöjen määrästä ja vuokratuotoista, ja jäsenvaltiot toteuttavat 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Jos komissio (Eurostat) toteaa, että tämän asetuksen soveltamisalaan kuuluviin tietokokonaisuuksiin tarvitaan uusia tietovaatimuksia tai parannuksia, se voi ennen uutta tiedonkeruuta käynnistää pilottitutkimuksia, joita jäsenvaltiot toteuttavat vapaaehtoisuuden pohjalta.</w:t>
            </w:r>
          </w:p>
        </w:tc>
        <w:tc>
          <w:tcPr>
            <w:tcW w:w="4876" w:type="dxa"/>
            <w:tcBorders>
              <w:top w:val="nil"/>
              <w:left w:val="nil"/>
              <w:bottom w:val="nil"/>
              <w:right w:val="nil"/>
            </w:tcBorders>
          </w:tcPr>
          <w:p>
            <w:pPr>
              <w:pStyle w:val="Normal6a"/>
            </w:pPr>
            <w:r>
              <w:t>1.</w:t>
            </w:r>
            <w:r>
              <w:tab/>
            </w:r>
            <w:r>
              <w:t xml:space="preserve">Jos komissio (Eurostat) toteaa, että tämän asetuksen soveltamisalaan kuuluviin tietokokonaisuuksiin tarvitaan uusia tietovaatimuksia tai parannuksia, se voi ennen uutta tiedonkeruuta käynnistää pilottitutkimuksia, joita jäsenvaltiot toteuttavat vapaaehtoisuuden pohjalta. </w:t>
            </w:r>
            <w:r>
              <w:rPr>
                <w:b/>
                <w:i/>
              </w:rPr>
              <w:t>Pilottitutkimuksiin voi kuulua muun muassa seuraavia aiheita: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lyhytaikaiset vuokramajoituspalvelut ja niiden vaikutus liikekiinteistöihin;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keskeiset ja muut kuin keskeiset sijainnit ja niiden vaikutus vuokratuottoon;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yksityisen vuokra-asuntosektorin ja sosiaalisen asuntotarjonnan välinen 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asumiseen tarkoitettujen liikekiinteistöjen ja muiden liikekiinteistöjen välinen 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Borders>
              <w:top w:val="nil"/>
              <w:left w:val="nil"/>
              <w:bottom w:val="nil"/>
              <w:right w:val="nil"/>
            </w:tcBorders>
          </w:tcPr>
          <w:p>
            <w:pPr>
              <w:pStyle w:val="Normal6a"/>
            </w:pPr>
            <w:r>
              <w:t>4.</w:t>
            </w:r>
            <w:r>
              <w:tab/>
            </w:r>
            <w:r>
              <w:t xml:space="preserve">Ennen kuin komissio hyväksyy delegoidun säädöksen, se kuulee kunkin jäsenvaltion nimeämiä asiantuntijoita paremmasta lainsäädännöstä 13 päivänä huhtikuuta 2016 tehdyssä toimielinten välisessä sopimuksessa vahvistettujen periaatteiden mukaisesti. </w:t>
            </w:r>
            <w:r>
              <w:rPr>
                <w:b/>
                <w:i/>
              </w:rPr>
              <w:t>Komissio kuulee Euroopan keskuspankkia hyvissä ajoin kaikista delegoiduista säädöksistä ja täytäntöönpanosäädöksistä, jotka kuuluvat tämän toimivaltaan.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11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kolmeksi</w:t>
            </w:r>
            <w:r>
              <w:t xml:space="preserve"> vuodeksi.</w:t>
            </w:r>
          </w:p>
        </w:tc>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kahdeksi</w:t>
            </w:r>
            <w:r>
              <w:t xml:space="preserve"> vuodeksi.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w:t>
            </w:r>
            <w:r>
              <w:rPr>
                <w:b/>
                <w:i/>
              </w:rPr>
              <w:t>1</w:t>
            </w:r>
            <w:r>
              <w:t xml:space="preserve"> päivästä </w:t>
            </w:r>
            <w:r>
              <w:rPr>
                <w:b/>
                <w:i/>
              </w:rPr>
              <w:t>tammikuuta</w:t>
            </w:r>
            <w:r>
              <w:t xml:space="preserve"> 2026.</w:t>
            </w:r>
          </w:p>
        </w:tc>
        <w:tc>
          <w:tcPr>
            <w:tcW w:w="4876" w:type="dxa"/>
            <w:tcBorders>
              <w:top w:val="nil"/>
              <w:left w:val="nil"/>
              <w:bottom w:val="nil"/>
              <w:right w:val="nil"/>
            </w:tcBorders>
          </w:tcPr>
          <w:p>
            <w:pPr>
              <w:pStyle w:val="Normal6a"/>
            </w:pPr>
            <w:r>
              <w:t xml:space="preserve">Sitä sovelletaan </w:t>
            </w:r>
            <w:r>
              <w:rPr>
                <w:b/>
                <w:i/>
              </w:rPr>
              <w:t>30</w:t>
            </w:r>
            <w:r>
              <w:t xml:space="preserve"> päivästä </w:t>
            </w:r>
            <w:r>
              <w:rPr>
                <w:b/>
                <w:i/>
              </w:rPr>
              <w:t>kesäkuuta</w:t>
            </w:r>
            <w:r>
              <w:t xml:space="preserv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erReference w:type="even" r:id="rId6"/>
          <w:footerReference w:type="default" r:id="rId7"/>
          <w:footerReference w:type="first" r:id="rId8"/>
          <w:pgSz w:w="11909" w:h="16834"/>
          <w:pgMar w:top="1134" w:right="1417" w:bottom="1417" w:left="1417" w:header="1134" w:footer="567"/>
          <w:cols w:space="720"/>
          <w:titlePg/>
        </w:sectPr>
      </w:pPr>
    </w:p>
    <w:p>
      <w:pPr>
        <w:pStyle w:val="PageHeading"/>
      </w:pPr>
      <w:bookmarkStart w:id="1" w:name="_Toc256000001"/>
      <w:r>
        <w:t>PERUSTELUT</w:t>
      </w:r>
      <w:bookmarkEnd w:id="1"/>
    </w:p>
    <w:p>
      <w:pPr>
        <w:pStyle w:val="Normal12"/>
      </w:pPr>
      <w:r>
        <w:t>Esittelijä suhtautuu myönteisesti komission ehdotukseen asetukseksi liikekiinteistöjä koskevista muista kuin rahoitustilastoista, jotta voidaan paikata puute liikekiinteistöjä koskevasta tilastotiedosta, jota tarvitaan makrotason vakauden varmistamiseen ja järjestelmäriskien valvontaa varten.</w:t>
      </w:r>
    </w:p>
    <w:p>
      <w:pPr>
        <w:pStyle w:val="Normal12"/>
      </w:pPr>
      <w:r>
        <w:t>Kiinteistömarkkinoiden kehitys voi vaikuttaa rahoitusjärjestelmän vakauteen ja talouteen ylipäänsä. Kiinteistöjä koskevien muiden kuin rahoitustilastojen virallisia lähteitä on tällä hetkellä saatavilla vähän, minkä vuoksi poliittisten päättäjien on vaikea arvioida rahoitusvakauteen mahdollisesti kohdistuvia riskejä, koska suurin osa tiedosta on peräisin yksityisiltä toimijoilta. Esittelijä tukee makrotason vakauden valvonnan kannalta keskeisten luotettavien liikekiinteistöjä koskevien muiden kuin rahoitustilastojen kehittämistä ja tuottamista.</w:t>
      </w:r>
    </w:p>
    <w:p>
      <w:pPr>
        <w:pStyle w:val="Normal12"/>
      </w:pPr>
      <w:r>
        <w:t>Esittelijä ymmärtää, että näiden markkinoiden monimutkaisuus tekee tiettyjen indikaattoreiden keräämisestä haastavaa, mutta katsoo, että jäsenvaltioiden olisi tehtävä vuokratuottoindeksejä ja tyhjillään olevien kiinteistöjen määrää koskevia pilottitutkimuksia, jotta voidaan luoda ympäristö uusien tietolähteiden ja menetelmien testaamiselle ja mahdollistaa tiedon laadun parannuksien tarkka arviointi. Esittelijä pitää myös tärkeänä kuulla Euroopan keskuspankkia (EIP), kun hyväksytään delegoituja säädöksiä ja täytäntöönpanosäädöksiä ja kun säädökset kuuluvat EKP:n toimivaltaan. Tämän asetuksen vaiheittainen mutta tehokas soveltaminen jäsenvaltioiden kansallisissa tilastolaitoksissa parantaisi näiden tilastojen tuottamista.</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13</w:t>
    </w:r>
    <w:r>
      <w:fldChar w:fldCharType="end"/>
    </w:r>
    <w:r>
      <w:tab/>
    </w:r>
    <w:r>
      <w:rPr>
        <w:rStyle w:val="HideTWBExt"/>
      </w:rPr>
      <w:t>&lt;PathFdR&gt;</w:t>
    </w:r>
    <w:r>
      <w:t>PR\1328972FI.docx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PR\1328972FI.docx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13</w:t>
    </w:r>
    <w:r>
      <w:fldChar w:fldCharType="end"/>
    </w:r>
    <w:r>
      <w:tab/>
    </w:r>
    <w:r>
      <w:t>PE</w:t>
    </w:r>
    <w:r>
      <w:rPr>
        <w:rStyle w:val="HideTWBExt"/>
      </w:rPr>
      <w:t>&lt;NoPE&gt;</w:t>
    </w:r>
    <w:r>
      <w:t>778.148</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PR\1328972FI.docx</w:t>
    </w:r>
    <w:r>
      <w:rPr>
        <w:rStyle w:val="HideTWBExt"/>
      </w:rPr>
      <w:t>&lt;/PathFdR&gt;</w:t>
    </w:r>
    <w:r>
      <w:tab/>
    </w:r>
    <w:r>
      <w:tab/>
    </w:r>
    <w:r>
      <w:t>PE</w:t>
    </w:r>
    <w:r>
      <w:rPr>
        <w:rStyle w:val="HideTWBExt"/>
      </w:rPr>
      <w:t>&lt;NoPE&gt;</w:t>
    </w:r>
    <w:r>
      <w:t>778.148</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https://www.ecb.europa.eu/pub/pdf/legal/con_2025_25_TWD.en.pdf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val="0"/>
      <w:spacing w:after="120"/>
    </w:pPr>
  </w:style>
  <w:style w:type="paragraph" w:customStyle="1" w:styleId="AmJustText">
    <w:name w:val="AmJustText"/>
    <w:basedOn w:val="Normal"/>
    <w:pPr>
      <w:widowControl w:val="0"/>
      <w:spacing w:after="240"/>
    </w:pPr>
    <w:rPr>
      <w:i/>
    </w:r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NormalBold12b">
    <w:name w:val="NormalBold12b"/>
    <w:basedOn w:val="Normal"/>
    <w:pPr>
      <w:widowControl w:val="0"/>
      <w:spacing w:before="240"/>
    </w:pPr>
    <w:rPr>
      <w:b/>
    </w:rPr>
  </w:style>
  <w:style w:type="paragraph" w:customStyle="1" w:styleId="AmOrLang">
    <w:name w:val="AmOrLang"/>
    <w:basedOn w:val="Normal"/>
    <w:pPr>
      <w:widowControl w:val="0"/>
      <w:spacing w:before="240" w:after="240"/>
      <w:jc w:val="right"/>
    </w:pPr>
  </w:style>
  <w:style w:type="paragraph" w:customStyle="1" w:styleId="NormalBold12a">
    <w:name w:val="NormalBold12a"/>
    <w:basedOn w:val="Normal"/>
    <w:pPr>
      <w:widowControl w:val="0"/>
      <w:spacing w:after="240"/>
    </w:pPr>
    <w:rPr>
      <w:b/>
    </w:rPr>
  </w:style>
  <w:style w:type="paragraph" w:customStyle="1" w:styleId="CoverDocType">
    <w:name w:val="CoverDocType"/>
    <w:basedOn w:val="Normal"/>
    <w:pPr>
      <w:widowControl w:val="0"/>
      <w:ind w:left="1418"/>
    </w:pPr>
    <w:rPr>
      <w:rFonts w:ascii="Arial" w:hAnsi="Arial"/>
      <w:b/>
      <w:sz w:val="48"/>
    </w:rPr>
  </w:style>
  <w:style w:type="paragraph" w:customStyle="1" w:styleId="TOCPage">
    <w:name w:val="TOC Page"/>
    <w:basedOn w:val="Normal"/>
    <w:pPr>
      <w:keepNext/>
      <w:widowControl w:val="0"/>
      <w:spacing w:after="240"/>
      <w:jc w:val="right"/>
    </w:pPr>
    <w:rPr>
      <w:rFonts w:ascii="Arial" w:hAnsi="Arial"/>
      <w:b/>
    </w:rPr>
  </w:style>
  <w:style w:type="paragraph" w:customStyle="1" w:styleId="PageHeading">
    <w:name w:val="PageHeading"/>
    <w:basedOn w:val="Normal"/>
    <w:pPr>
      <w:keepNext/>
      <w:widowControl w:val="0"/>
      <w:spacing w:after="480"/>
      <w:jc w:val="center"/>
    </w:pPr>
    <w:rPr>
      <w:rFonts w:ascii="Arial" w:eastAsia="Arial" w:hAnsi="Arial" w:cs="Arial"/>
      <w:b/>
    </w:rPr>
  </w:style>
  <w:style w:type="paragraph" w:customStyle="1" w:styleId="EPComma">
    <w:name w:val="EPComma"/>
    <w:basedOn w:val="Normal"/>
    <w:pPr>
      <w:widowControl w:val="0"/>
      <w:spacing w:before="480" w:after="240"/>
    </w:pPr>
  </w:style>
  <w:style w:type="paragraph" w:customStyle="1" w:styleId="NormalBold">
    <w:name w:val="NormalBold"/>
    <w:basedOn w:val="Normal"/>
    <w:pPr>
      <w:widowControl w:val="0"/>
    </w:pPr>
    <w:rPr>
      <w:b/>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hAnsi="Arial"/>
      <w:b/>
    </w:r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Date">
    <w:name w:val="CoverDate"/>
    <w:basedOn w:val="Normal"/>
    <w:pPr>
      <w:widowControl w:val="0"/>
      <w:spacing w:before="240" w:after="1200"/>
    </w:pPr>
  </w:style>
  <w:style w:type="paragraph" w:customStyle="1" w:styleId="NormalHanging12a">
    <w:name w:val="NormalHanging12a"/>
    <w:basedOn w:val="Normal"/>
    <w:pPr>
      <w:widowControl w:val="0"/>
      <w:overflowPunct/>
      <w:spacing w:after="240"/>
      <w:ind w:left="566" w:hanging="566"/>
    </w:p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hAnsi="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hAnsi="Arial"/>
      <w:sz w:val="16"/>
    </w:rPr>
  </w:style>
  <w:style w:type="paragraph" w:customStyle="1" w:styleId="LegendSign">
    <w:name w:val="LegendSign"/>
    <w:basedOn w:val="Normal"/>
    <w:pPr>
      <w:widowControl w:val="0"/>
      <w:tabs>
        <w:tab w:val="right" w:pos="454"/>
        <w:tab w:val="left" w:pos="736"/>
      </w:tabs>
      <w:overflowPunct/>
      <w:ind w:left="736" w:hanging="736"/>
    </w:pPr>
    <w:rPr>
      <w:sz w:val="18"/>
    </w:rPr>
  </w:style>
  <w:style w:type="paragraph" w:customStyle="1" w:styleId="LegendStandard">
    <w:name w:val="LegendStandard"/>
    <w:basedOn w:val="LegendSign"/>
    <w:pPr>
      <w:widowControl w:val="0"/>
      <w:ind w:left="0" w:firstLine="0"/>
    </w:pPr>
  </w:style>
  <w:style w:type="paragraph" w:customStyle="1" w:styleId="LegendTitle">
    <w:name w:val="LegendTitle"/>
    <w:basedOn w:val="Normal"/>
    <w:pPr>
      <w:widowControl w:val="0"/>
      <w:spacing w:before="240" w:after="240"/>
    </w:pPr>
    <w:rPr>
      <w:b/>
      <w:i/>
    </w:rPr>
  </w:style>
  <w:style w:type="paragraph" w:styleId="TOC1">
    <w:name w:val="toc 1"/>
    <w:basedOn w:val="Normal12b"/>
    <w:next w:val="Normal12b"/>
    <w:autoRedefine/>
    <w:rsid w:val="00805BCE"/>
    <w:pPr>
      <w:widowControl w:val="0"/>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val="0"/>
      <w:spacing w:before="240"/>
    </w:pPr>
  </w:style>
  <w:style w:type="paragraph" w:customStyle="1" w:styleId="PMissingStyle">
    <w:name w:val="P_MissingStyle"/>
    <w:basedOn w:val="Normal"/>
    <w:pPr>
      <w:widowControl w:val="0"/>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val="0"/>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val="0"/>
      <w:ind w:left="2268"/>
    </w:pPr>
  </w:style>
  <w:style w:type="paragraph" w:customStyle="1" w:styleId="NormalHanging12a5">
    <w:name w:val="NormalHanging12a5"/>
    <w:basedOn w:val="NormalHanging12a4"/>
    <w:pPr>
      <w:widowControl w:val="0"/>
      <w:ind w:left="2692"/>
    </w:pPr>
  </w:style>
  <w:style w:type="paragraph" w:customStyle="1" w:styleId="NormalHanging12a6">
    <w:name w:val="NormalHanging12a6"/>
    <w:basedOn w:val="NormalHanging12a5"/>
    <w:pPr>
      <w:widowControl w:val="0"/>
      <w:ind w:left="3118"/>
    </w:pPr>
  </w:style>
  <w:style w:type="paragraph" w:customStyle="1" w:styleId="NormalHanging12a7">
    <w:name w:val="NormalHanging12a7"/>
    <w:basedOn w:val="NormalHanging12a6"/>
    <w:pPr>
      <w:widowControl w:val="0"/>
      <w:ind w:left="3544"/>
    </w:p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val="0"/>
      <w:ind w:left="1416"/>
    </w:pPr>
  </w:style>
  <w:style w:type="paragraph" w:customStyle="1" w:styleId="NormalHanging12a3">
    <w:name w:val="NormalHanging12a3"/>
    <w:basedOn w:val="NormalHanging12a2"/>
    <w:pPr>
      <w:widowControl w:val="0"/>
      <w:ind w:left="1842"/>
    </w:p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Center12a">
    <w:name w:val="NormalCenter12a"/>
    <w:basedOn w:val="Normal"/>
    <w:pPr>
      <w:widowControl w:val="0"/>
      <w:spacing w:after="240"/>
      <w:jc w:val="center"/>
    </w:p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12a">
    <w:name w:val="Normal12a"/>
    <w:basedOn w:val="Normal"/>
    <w:pPr>
      <w:widowControl w:val="0"/>
      <w:spacing w:after="240"/>
    </w:pPr>
  </w:style>
  <w:style w:type="paragraph" w:customStyle="1" w:styleId="PageHeadingNotTOC">
    <w:name w:val="PageHeadingNotTOC"/>
    <w:basedOn w:val="Normal"/>
    <w:pPr>
      <w:keepNext/>
      <w:widowControl w:val="0"/>
      <w:spacing w:after="480"/>
      <w:jc w:val="center"/>
    </w:pPr>
    <w:rPr>
      <w:rFonts w:ascii="Arial" w:eastAsia="Arial" w:hAnsi="Arial" w:cs="Arial"/>
      <w:b/>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12BoldUnderline">
    <w:name w:val="Normal12BoldUnderline"/>
    <w:basedOn w:val="Normal"/>
    <w:pPr>
      <w:widowControl w:val="0"/>
      <w:spacing w:before="480"/>
    </w:pPr>
    <w:rPr>
      <w:b/>
      <w:u w:val="single"/>
    </w:rPr>
  </w:style>
  <w:style w:type="paragraph" w:customStyle="1" w:styleId="Normal12Bullet2">
    <w:name w:val="Normal12Bullet2"/>
    <w:basedOn w:val="Normal"/>
    <w:pPr>
      <w:widowControl w:val="0"/>
      <w:numPr>
        <w:numId w:val="2"/>
      </w:numPr>
    </w:pPr>
  </w:style>
  <w:style w:type="paragraph" w:customStyle="1" w:styleId="NormalHangingJustified">
    <w:name w:val="NormalHangingJustified"/>
    <w:basedOn w:val="Normal"/>
    <w:pPr>
      <w:widowControl w:val="0"/>
      <w:overflowPunct/>
      <w:spacing w:after="240"/>
      <w:ind w:left="714" w:hanging="356"/>
      <w:jc w:val="both"/>
    </w:p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1481</Words>
  <Characters>12527</Characters>
  <Application>Microsoft Office Word</Application>
  <DocSecurity>0</DocSecurity>
  <Lines>1</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1328972</vt:lpwstr>
  </property>
  <property fmtid="{D5CDD505-2E9C-101B-9397-08002B2CF9AE}" pid="4" name="&lt;Model&gt;">
    <vt:lpwstr>PR_COD_1amCom</vt:lpwstr>
  </property>
  <property fmtid="{D5CDD505-2E9C-101B-9397-08002B2CF9AE}" pid="5" name="&lt;Type&gt;">
    <vt:lpwstr>PR</vt:lpwstr>
  </property>
  <property fmtid="{D5CDD505-2E9C-101B-9397-08002B2CF9AE}" pid="6" name="dmxml.render.id">
    <vt:lpwstr>264042</vt:lpwstr>
  </property>
  <property fmtid="{D5CDD505-2E9C-101B-9397-08002B2CF9AE}" pid="7" name="dmxml.render.traceId">
    <vt:lpwstr>68f0e23ff6b1acf7d77767bfa8c33c00</vt:lpwstr>
  </property>
  <property fmtid="{D5CDD505-2E9C-101B-9397-08002B2CF9AE}" pid="8" name="FooterPath">
    <vt:lpwstr>PR\1328972FI.doc</vt:lpwstr>
  </property>
  <property fmtid="{D5CDD505-2E9C-101B-9397-08002B2CF9AE}" pid="9" name="PE Number">
    <vt:lpwstr>778.148</vt:lpwstr>
  </property>
  <property fmtid="{D5CDD505-2E9C-101B-9397-08002B2CF9AE}" pid="10" name="UID">
    <vt:lpwstr>eu.europa.europarl-DIN1-2025-0000181455_01.08-fi-01.00_text-xml</vt:lpwstr>
  </property>
</Properties>
</file>