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169BA" w:rsidRPr="001416EB" w14:paraId="5FB54225" w14:textId="77777777" w:rsidTr="00C85D0F">
        <w:trPr>
          <w:trHeight w:hRule="exact" w:val="1418"/>
        </w:trPr>
        <w:tc>
          <w:tcPr>
            <w:tcW w:w="6804" w:type="dxa"/>
            <w:shd w:val="clear" w:color="auto" w:fill="auto"/>
            <w:vAlign w:val="center"/>
          </w:tcPr>
          <w:p w14:paraId="4609F91E" w14:textId="77777777" w:rsidR="00E350C6" w:rsidRPr="001416EB" w:rsidRDefault="002A63D2" w:rsidP="00C85D0F">
            <w:pPr>
              <w:pStyle w:val="EPName"/>
            </w:pPr>
            <w:r w:rsidRPr="001416EB">
              <w:t>Europa-Parlamentet</w:t>
            </w:r>
          </w:p>
          <w:p w14:paraId="07A6D6BC" w14:textId="77777777" w:rsidR="00E350C6" w:rsidRPr="001416EB" w:rsidRDefault="002A63D2" w:rsidP="00C85D0F">
            <w:pPr>
              <w:pStyle w:val="EPTerm"/>
            </w:pPr>
            <w:r w:rsidRPr="001416EB">
              <w:t>2024-2029</w:t>
            </w:r>
          </w:p>
        </w:tc>
        <w:tc>
          <w:tcPr>
            <w:tcW w:w="2268" w:type="dxa"/>
            <w:shd w:val="clear" w:color="auto" w:fill="auto"/>
          </w:tcPr>
          <w:p w14:paraId="26888DD1" w14:textId="77777777" w:rsidR="00E350C6" w:rsidRPr="001416EB" w:rsidRDefault="002A63D2" w:rsidP="00C85D0F">
            <w:pPr>
              <w:pStyle w:val="EPLogo"/>
            </w:pPr>
            <w:r w:rsidRPr="001416EB">
              <w:rPr>
                <w:noProof/>
              </w:rPr>
              <w:drawing>
                <wp:inline distT="0" distB="0" distL="0" distR="0" wp14:anchorId="6C80AF00" wp14:editId="1FC695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7B780A0" w14:textId="77777777" w:rsidR="00B779E2" w:rsidRPr="001416EB" w:rsidRDefault="00B779E2" w:rsidP="00B779E2">
      <w:pPr>
        <w:pStyle w:val="LineTop"/>
      </w:pPr>
    </w:p>
    <w:p w14:paraId="65CE4547" w14:textId="77777777" w:rsidR="00B779E2" w:rsidRPr="001416EB" w:rsidRDefault="002A63D2" w:rsidP="00B779E2">
      <w:pPr>
        <w:pStyle w:val="EPBody"/>
      </w:pPr>
      <w:r w:rsidRPr="001416EB">
        <w:rPr>
          <w:rStyle w:val="HideTWBExt"/>
        </w:rPr>
        <w:t>&lt;</w:t>
      </w:r>
      <w:r w:rsidRPr="001416EB">
        <w:rPr>
          <w:rStyle w:val="HideTWBExt"/>
          <w:i w:val="0"/>
        </w:rPr>
        <w:t>Commission</w:t>
      </w:r>
      <w:r w:rsidRPr="001416EB">
        <w:rPr>
          <w:rStyle w:val="HideTWBExt"/>
        </w:rPr>
        <w:t>&gt;</w:t>
      </w:r>
      <w:r w:rsidRPr="001416EB">
        <w:rPr>
          <w:rStyle w:val="HideTWBInt"/>
          <w:i w:val="0"/>
          <w:color w:val="auto"/>
        </w:rPr>
        <w:t>{ECON}</w:t>
      </w:r>
      <w:r w:rsidRPr="001416EB">
        <w:t>Økonomi- og Valutaudvalget</w:t>
      </w:r>
      <w:r w:rsidRPr="001416EB">
        <w:rPr>
          <w:rStyle w:val="HideTWBExt"/>
        </w:rPr>
        <w:t>&lt;/</w:t>
      </w:r>
      <w:r w:rsidRPr="001416EB">
        <w:rPr>
          <w:rStyle w:val="HideTWBExt"/>
          <w:i w:val="0"/>
        </w:rPr>
        <w:t>Commission</w:t>
      </w:r>
      <w:r w:rsidRPr="001416EB">
        <w:rPr>
          <w:rStyle w:val="HideTWBExt"/>
        </w:rPr>
        <w:t>&gt;</w:t>
      </w:r>
    </w:p>
    <w:p w14:paraId="354495C0" w14:textId="77777777" w:rsidR="00B779E2" w:rsidRPr="001416EB" w:rsidRDefault="00B779E2" w:rsidP="00B779E2">
      <w:pPr>
        <w:pStyle w:val="LineBottom"/>
      </w:pPr>
    </w:p>
    <w:p w14:paraId="2331C23D" w14:textId="77777777" w:rsidR="004151B3" w:rsidRPr="001416EB" w:rsidRDefault="002A63D2">
      <w:pPr>
        <w:pStyle w:val="CoverReference"/>
      </w:pPr>
      <w:r w:rsidRPr="001416EB">
        <w:rPr>
          <w:rStyle w:val="HideTWBExt"/>
          <w:b w:val="0"/>
        </w:rPr>
        <w:t>&lt;RefProc&gt;</w:t>
      </w:r>
      <w:r w:rsidRPr="001416EB">
        <w:t>2026/0802</w:t>
      </w:r>
      <w:r w:rsidRPr="001416EB">
        <w:rPr>
          <w:rStyle w:val="HideTWBExt"/>
          <w:b w:val="0"/>
        </w:rPr>
        <w:t>&lt;/RefProc&gt;&lt;RefTypeProc&gt;</w:t>
      </w:r>
      <w:r w:rsidRPr="001416EB">
        <w:t>(NLE)</w:t>
      </w:r>
      <w:r w:rsidRPr="001416EB">
        <w:rPr>
          <w:rStyle w:val="HideTWBExt"/>
        </w:rPr>
        <w:t>&lt;/</w:t>
      </w:r>
      <w:r w:rsidRPr="001416EB">
        <w:rPr>
          <w:rStyle w:val="HideTWBExt"/>
          <w:b w:val="0"/>
        </w:rPr>
        <w:t>RefTypeProc</w:t>
      </w:r>
      <w:r w:rsidRPr="001416EB">
        <w:rPr>
          <w:rStyle w:val="HideTWBExt"/>
        </w:rPr>
        <w:t>&gt;</w:t>
      </w:r>
    </w:p>
    <w:p w14:paraId="46F56FAF" w14:textId="77777777" w:rsidR="004151B3" w:rsidRPr="001416EB" w:rsidRDefault="002A63D2">
      <w:pPr>
        <w:pStyle w:val="CoverDate"/>
      </w:pPr>
      <w:r w:rsidRPr="001416EB">
        <w:rPr>
          <w:rStyle w:val="HideTWBExt"/>
        </w:rPr>
        <w:t>&lt;Date&gt;</w:t>
      </w:r>
      <w:r w:rsidRPr="001416EB">
        <w:rPr>
          <w:rStyle w:val="HideTWBInt"/>
          <w:color w:val="auto"/>
        </w:rPr>
        <w:t>{16/02/2026}</w:t>
      </w:r>
      <w:r w:rsidRPr="001416EB">
        <w:t>16.2.2026</w:t>
      </w:r>
      <w:r w:rsidRPr="001416EB">
        <w:rPr>
          <w:rStyle w:val="HideTWBExt"/>
        </w:rPr>
        <w:t>&lt;/Date&gt;</w:t>
      </w:r>
    </w:p>
    <w:p w14:paraId="50CA5807" w14:textId="77777777" w:rsidR="004151B3" w:rsidRPr="001416EB" w:rsidRDefault="002A63D2">
      <w:pPr>
        <w:pStyle w:val="CoverDocType24a"/>
      </w:pPr>
      <w:r w:rsidRPr="001416EB">
        <w:rPr>
          <w:rStyle w:val="HideTWBExt"/>
          <w:b w:val="0"/>
        </w:rPr>
        <w:t>&lt;TitreType&gt;</w:t>
      </w:r>
      <w:r w:rsidRPr="001416EB">
        <w:t>UDKAST TIL BETÆNKNING</w:t>
      </w:r>
      <w:r w:rsidRPr="001416EB">
        <w:rPr>
          <w:rStyle w:val="HideTWBExt"/>
          <w:b w:val="0"/>
        </w:rPr>
        <w:t>&lt;/TitreType&gt;</w:t>
      </w:r>
    </w:p>
    <w:p w14:paraId="7D9FDB02" w14:textId="77777777" w:rsidR="004151B3" w:rsidRPr="001416EB" w:rsidRDefault="002A63D2">
      <w:pPr>
        <w:pStyle w:val="CoverNormal"/>
      </w:pPr>
      <w:r w:rsidRPr="001416EB">
        <w:rPr>
          <w:rStyle w:val="HideTWBExt"/>
        </w:rPr>
        <w:t>&lt;Titre&gt;</w:t>
      </w:r>
      <w:r w:rsidRPr="001416EB">
        <w:t xml:space="preserve">om </w:t>
      </w:r>
      <w:r w:rsidRPr="001416EB">
        <w:t>forslag om udpegelse af formanden for Den Europæiske Banktilsynsmyndighed</w:t>
      </w:r>
      <w:r w:rsidRPr="001416EB">
        <w:rPr>
          <w:rStyle w:val="HideTWBExt"/>
        </w:rPr>
        <w:t>&lt;/Titre&gt;</w:t>
      </w:r>
    </w:p>
    <w:p w14:paraId="78A1CD17" w14:textId="77777777" w:rsidR="000D67D8" w:rsidRPr="001416EB" w:rsidRDefault="002A63D2" w:rsidP="000D67D8">
      <w:pPr>
        <w:pStyle w:val="CoverNormal24a"/>
      </w:pPr>
      <w:r w:rsidRPr="001416EB">
        <w:rPr>
          <w:rStyle w:val="HideTWBExt"/>
        </w:rPr>
        <w:t>&lt;DocRef&gt;</w:t>
      </w:r>
      <w:r w:rsidRPr="001416EB">
        <w:t>(N10-0004/2026 – C10</w:t>
      </w:r>
      <w:r w:rsidRPr="001416EB">
        <w:noBreakHyphen/>
        <w:t>0020/2026 – 2026/0802(NLE))</w:t>
      </w:r>
      <w:r w:rsidRPr="001416EB">
        <w:rPr>
          <w:rStyle w:val="HideTWBExt"/>
        </w:rPr>
        <w:t>&lt;/DocRef&gt;</w:t>
      </w:r>
    </w:p>
    <w:p w14:paraId="7245E4D0" w14:textId="77777777" w:rsidR="004151B3" w:rsidRPr="001416EB" w:rsidRDefault="002A63D2" w:rsidP="000D67D8">
      <w:pPr>
        <w:pStyle w:val="CoverNormal24a"/>
      </w:pPr>
      <w:r w:rsidRPr="001416EB">
        <w:rPr>
          <w:rStyle w:val="HideTWBExt"/>
        </w:rPr>
        <w:t>&lt;Commission&gt;</w:t>
      </w:r>
      <w:r w:rsidRPr="001416EB">
        <w:rPr>
          <w:rStyle w:val="HideTWBInt"/>
          <w:i/>
          <w:color w:val="auto"/>
        </w:rPr>
        <w:t>{ECON}</w:t>
      </w:r>
      <w:r w:rsidRPr="001416EB">
        <w:t>Økonomi- og Valutaudvalget</w:t>
      </w:r>
      <w:r w:rsidRPr="001416EB">
        <w:rPr>
          <w:rStyle w:val="HideTWBExt"/>
        </w:rPr>
        <w:t>&lt;/Commission&gt;</w:t>
      </w:r>
    </w:p>
    <w:p w14:paraId="7E67EA55" w14:textId="77777777" w:rsidR="004151B3" w:rsidRPr="001416EB" w:rsidRDefault="002A63D2">
      <w:pPr>
        <w:pStyle w:val="CoverNormal24a"/>
      </w:pPr>
      <w:r w:rsidRPr="001416EB">
        <w:t xml:space="preserve">Ordfører: </w:t>
      </w:r>
      <w:r w:rsidRPr="001416EB">
        <w:rPr>
          <w:rStyle w:val="HideTWBExt"/>
        </w:rPr>
        <w:t>&lt;Depute&gt;</w:t>
      </w:r>
      <w:r w:rsidRPr="001416EB">
        <w:t>Aurore Lalucq</w:t>
      </w:r>
      <w:r w:rsidRPr="001416EB">
        <w:rPr>
          <w:rStyle w:val="HideTWBExt"/>
        </w:rPr>
        <w:t>&lt;/Depute&gt;</w:t>
      </w:r>
    </w:p>
    <w:p w14:paraId="7395B8EF" w14:textId="77777777" w:rsidR="00576119" w:rsidRPr="001416EB" w:rsidRDefault="00576119" w:rsidP="00576119">
      <w:pPr>
        <w:pStyle w:val="CoverNormal"/>
      </w:pPr>
    </w:p>
    <w:p w14:paraId="51E4A4FB" w14:textId="77777777" w:rsidR="004151B3" w:rsidRPr="001416EB" w:rsidRDefault="002A63D2" w:rsidP="00E531A8">
      <w:pPr>
        <w:widowControl/>
        <w:tabs>
          <w:tab w:val="center" w:pos="4677"/>
        </w:tabs>
      </w:pPr>
      <w:r w:rsidRPr="001416EB">
        <w:br w:type="page"/>
      </w:r>
      <w:r w:rsidRPr="001416EB">
        <w:lastRenderedPageBreak/>
        <w:t>PR_NLE_EconGov</w:t>
      </w:r>
    </w:p>
    <w:p w14:paraId="4B9A0A46" w14:textId="77777777" w:rsidR="004151B3" w:rsidRPr="001416EB" w:rsidRDefault="002A63D2">
      <w:pPr>
        <w:pStyle w:val="TOCHeading"/>
      </w:pPr>
      <w:r w:rsidRPr="001416EB">
        <w:t>INDHOLD</w:t>
      </w:r>
    </w:p>
    <w:p w14:paraId="6F88F824" w14:textId="77777777" w:rsidR="004151B3" w:rsidRPr="001416EB" w:rsidRDefault="002A63D2">
      <w:pPr>
        <w:pStyle w:val="TOCPage"/>
      </w:pPr>
      <w:r w:rsidRPr="001416EB">
        <w:t>Side</w:t>
      </w:r>
    </w:p>
    <w:p w14:paraId="61B249DE" w14:textId="6C0FFEA1" w:rsidR="002A63D2" w:rsidRDefault="002A63D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416EB">
        <w:fldChar w:fldCharType="begin"/>
      </w:r>
      <w:r w:rsidRPr="001416EB">
        <w:instrText xml:space="preserve"> TOC \t "PageHeading</w:instrText>
      </w:r>
      <w:r w:rsidR="00A033D2" w:rsidRPr="001416EB">
        <w:instrText>;</w:instrText>
      </w:r>
      <w:r w:rsidRPr="001416EB">
        <w:instrText xml:space="preserve">1" </w:instrText>
      </w:r>
      <w:r w:rsidRPr="001416EB">
        <w:fldChar w:fldCharType="separate"/>
      </w:r>
      <w:r>
        <w:rPr>
          <w:noProof/>
        </w:rPr>
        <w:t>FORSLAG TIL EUROPA-PARLAMENTETS AFGØRELSE</w:t>
      </w:r>
      <w:r>
        <w:rPr>
          <w:noProof/>
        </w:rPr>
        <w:tab/>
      </w:r>
      <w:r>
        <w:rPr>
          <w:noProof/>
        </w:rPr>
        <w:fldChar w:fldCharType="begin"/>
      </w:r>
      <w:r>
        <w:rPr>
          <w:noProof/>
        </w:rPr>
        <w:instrText xml:space="preserve"> PAGEREF _Toc223421978 \h </w:instrText>
      </w:r>
      <w:r>
        <w:rPr>
          <w:noProof/>
        </w:rPr>
      </w:r>
      <w:r>
        <w:rPr>
          <w:noProof/>
        </w:rPr>
        <w:fldChar w:fldCharType="separate"/>
      </w:r>
      <w:r>
        <w:rPr>
          <w:noProof/>
        </w:rPr>
        <w:t>3</w:t>
      </w:r>
      <w:r>
        <w:rPr>
          <w:noProof/>
        </w:rPr>
        <w:fldChar w:fldCharType="end"/>
      </w:r>
    </w:p>
    <w:p w14:paraId="0FC8BED7" w14:textId="205C29F3" w:rsidR="002A63D2" w:rsidRDefault="002A63D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_Toc223421979 \h </w:instrText>
      </w:r>
      <w:r>
        <w:rPr>
          <w:noProof/>
        </w:rPr>
      </w:r>
      <w:r>
        <w:rPr>
          <w:noProof/>
        </w:rPr>
        <w:fldChar w:fldCharType="separate"/>
      </w:r>
      <w:r>
        <w:rPr>
          <w:noProof/>
        </w:rPr>
        <w:t>5</w:t>
      </w:r>
      <w:r>
        <w:rPr>
          <w:noProof/>
        </w:rPr>
        <w:fldChar w:fldCharType="end"/>
      </w:r>
    </w:p>
    <w:p w14:paraId="234DF4E1" w14:textId="508E90AC" w:rsidR="002A63D2" w:rsidRDefault="002A63D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_Toc223421980 \h </w:instrText>
      </w:r>
      <w:r>
        <w:rPr>
          <w:noProof/>
        </w:rPr>
      </w:r>
      <w:r>
        <w:rPr>
          <w:noProof/>
        </w:rPr>
        <w:fldChar w:fldCharType="separate"/>
      </w:r>
      <w:r>
        <w:rPr>
          <w:noProof/>
        </w:rPr>
        <w:t>6</w:t>
      </w:r>
      <w:r>
        <w:rPr>
          <w:noProof/>
        </w:rPr>
        <w:fldChar w:fldCharType="end"/>
      </w:r>
    </w:p>
    <w:p w14:paraId="196F3E42" w14:textId="00B82D1D" w:rsidR="00C87B6B" w:rsidRPr="001416EB" w:rsidRDefault="002A63D2" w:rsidP="003C0977">
      <w:r w:rsidRPr="001416EB">
        <w:fldChar w:fldCharType="end"/>
      </w:r>
    </w:p>
    <w:p w14:paraId="5BB43461" w14:textId="77777777" w:rsidR="004151B3" w:rsidRPr="001416EB" w:rsidRDefault="002A63D2">
      <w:pPr>
        <w:pStyle w:val="PageHeading"/>
      </w:pPr>
      <w:r w:rsidRPr="001416EB">
        <w:br w:type="page"/>
      </w:r>
      <w:bookmarkStart w:id="0" w:name="_Toc223421978"/>
      <w:r w:rsidRPr="001416EB">
        <w:lastRenderedPageBreak/>
        <w:t>FORSLAG TIL EUROPA-PARLAMENTETS AFGØRELSE</w:t>
      </w:r>
      <w:bookmarkEnd w:id="0"/>
    </w:p>
    <w:p w14:paraId="2B4A553E" w14:textId="77777777" w:rsidR="004151B3" w:rsidRPr="001416EB" w:rsidRDefault="002A63D2">
      <w:pPr>
        <w:pStyle w:val="NormalBold"/>
      </w:pPr>
      <w:r w:rsidRPr="001416EB">
        <w:t>om forslag om udpegelse af formanden for Den Europæiske Banktilsynsmyndighed</w:t>
      </w:r>
    </w:p>
    <w:p w14:paraId="5DB4E37E" w14:textId="77777777" w:rsidR="004151B3" w:rsidRPr="001416EB" w:rsidRDefault="002A63D2">
      <w:pPr>
        <w:pStyle w:val="NormalBold12a"/>
      </w:pPr>
      <w:r w:rsidRPr="001416EB">
        <w:t>(N10-0004/2026 – C10</w:t>
      </w:r>
      <w:r w:rsidRPr="001416EB">
        <w:noBreakHyphen/>
        <w:t>0020/2026 – 2026/0802(NLE))</w:t>
      </w:r>
    </w:p>
    <w:p w14:paraId="7F884CE9" w14:textId="77777777" w:rsidR="007619E9" w:rsidRPr="001416EB" w:rsidRDefault="002A63D2" w:rsidP="00B45BCE">
      <w:pPr>
        <w:pStyle w:val="NormalBold"/>
      </w:pPr>
      <w:r w:rsidRPr="001416EB">
        <w:t>(Godkendelse)</w:t>
      </w:r>
    </w:p>
    <w:p w14:paraId="2AFB7551" w14:textId="77777777" w:rsidR="004151B3" w:rsidRPr="001416EB" w:rsidRDefault="002A63D2">
      <w:pPr>
        <w:pStyle w:val="EPComma"/>
      </w:pPr>
      <w:r w:rsidRPr="001416EB">
        <w:rPr>
          <w:i/>
          <w:iCs/>
        </w:rPr>
        <w:t>Europa-Parlamentet,</w:t>
      </w:r>
    </w:p>
    <w:p w14:paraId="0BD062D8" w14:textId="77777777" w:rsidR="00A52E86" w:rsidRPr="001416EB" w:rsidRDefault="002A63D2" w:rsidP="00A52E86">
      <w:pPr>
        <w:pStyle w:val="NormalHanging12a"/>
      </w:pPr>
      <w:r w:rsidRPr="001416EB">
        <w:t>–</w:t>
      </w:r>
      <w:r w:rsidRPr="001416EB">
        <w:tab/>
        <w:t>der henviser til den endelige liste over kvalificerede kandidater til stillingen som formand for Den Europæiske Banktilsynsmyndighed, som er udarbejdet af tilsynsrådet,</w:t>
      </w:r>
    </w:p>
    <w:p w14:paraId="546CB7B5" w14:textId="77777777" w:rsidR="00B6100B" w:rsidRPr="001416EB" w:rsidRDefault="002A63D2" w:rsidP="00B6100B">
      <w:pPr>
        <w:pStyle w:val="NormalHanging12a"/>
      </w:pPr>
      <w:r w:rsidRPr="001416EB">
        <w:t>–</w:t>
      </w:r>
      <w:r w:rsidRPr="001416EB">
        <w:tab/>
        <w:t>der henviser til Rådets skrivelse af 4. februar 2026 med forslag til at udnævne François-Louis Michaud som formand for Den Europæiske Banktilsynsmyndighed (C10-0020/2026),</w:t>
      </w:r>
    </w:p>
    <w:p w14:paraId="69D08048" w14:textId="77777777" w:rsidR="00B6100B" w:rsidRPr="001416EB" w:rsidRDefault="002A63D2" w:rsidP="00EB3337">
      <w:pPr>
        <w:pStyle w:val="NormalHanging12a"/>
      </w:pPr>
      <w:r w:rsidRPr="001416EB">
        <w:t>–</w:t>
      </w:r>
      <w:r w:rsidRPr="001416EB">
        <w:tab/>
        <w:t>der henviser til artikel 48, stk. 2 og 3, i Europa-Parlamentets og Rådets forordning (EU) nr. 1093/2010 af 24. november 2010 om oprettelse af en europæisk tilsynsmyndighed (Den Europæiske Banktilsynsmyndighed), om ændring af afgørelse nr. 716/2009/EF og om ophævelse af Kommissionens afgørelse 2009/79/EF</w:t>
      </w:r>
      <w:r w:rsidRPr="001416EB">
        <w:rPr>
          <w:rStyle w:val="FootnoteReference"/>
        </w:rPr>
        <w:footnoteReference w:id="1"/>
      </w:r>
      <w:r w:rsidRPr="001416EB">
        <w:t>,</w:t>
      </w:r>
    </w:p>
    <w:p w14:paraId="7ED628B6" w14:textId="77777777" w:rsidR="00B6100B" w:rsidRPr="001416EB" w:rsidRDefault="002A63D2" w:rsidP="00B6100B">
      <w:pPr>
        <w:pStyle w:val="NormalHanging12a"/>
      </w:pPr>
      <w:r w:rsidRPr="001416EB">
        <w:t>–</w:t>
      </w:r>
      <w:r w:rsidRPr="001416EB">
        <w:tab/>
        <w:t>der henviser til sin beslutning af 14. marts 2019 om kønsbalance ved udnævnelser inden for EU's økonomiske og monetære anliggender</w:t>
      </w:r>
      <w:r w:rsidRPr="001416EB">
        <w:rPr>
          <w:vertAlign w:val="superscript"/>
        </w:rPr>
        <w:footnoteReference w:id="2"/>
      </w:r>
      <w:r w:rsidRPr="001416EB">
        <w:t>,</w:t>
      </w:r>
    </w:p>
    <w:p w14:paraId="78E4D728" w14:textId="77777777" w:rsidR="00B6100B" w:rsidRPr="001416EB" w:rsidRDefault="002A63D2" w:rsidP="00B6100B">
      <w:pPr>
        <w:pStyle w:val="NormalHanging12a"/>
      </w:pPr>
      <w:r w:rsidRPr="001416EB">
        <w:t>–</w:t>
      </w:r>
      <w:r w:rsidRPr="001416EB">
        <w:tab/>
        <w:t>der henviser til sin beslutning af 16. januar 2020 om institutioner og organer i Den Økonomiske og Monetære Union: Forebyggelse af interessekonflikter efter udtræden af offentlig tjeneste</w:t>
      </w:r>
      <w:r w:rsidRPr="001416EB">
        <w:rPr>
          <w:vertAlign w:val="superscript"/>
        </w:rPr>
        <w:footnoteReference w:id="3"/>
      </w:r>
      <w:r w:rsidRPr="001416EB">
        <w:t>,</w:t>
      </w:r>
    </w:p>
    <w:p w14:paraId="7E1F2246" w14:textId="77777777" w:rsidR="004151B3" w:rsidRPr="001416EB" w:rsidRDefault="002A63D2">
      <w:pPr>
        <w:pStyle w:val="NormalHanging12a"/>
      </w:pPr>
      <w:r w:rsidRPr="001416EB">
        <w:t>–</w:t>
      </w:r>
      <w:r w:rsidRPr="001416EB">
        <w:tab/>
        <w:t>der henviser til forretningsordenens artikel 135,</w:t>
      </w:r>
    </w:p>
    <w:p w14:paraId="0B72C44E" w14:textId="77777777" w:rsidR="004151B3" w:rsidRPr="001416EB" w:rsidRDefault="002A63D2">
      <w:pPr>
        <w:pStyle w:val="NormalHanging12a"/>
      </w:pPr>
      <w:r w:rsidRPr="001416EB">
        <w:t>–</w:t>
      </w:r>
      <w:r w:rsidRPr="001416EB">
        <w:tab/>
        <w:t>der henviser til betænkning fra Økonomi- og Valutaudvalget (A10 0000/2026),</w:t>
      </w:r>
    </w:p>
    <w:p w14:paraId="4CE194F7" w14:textId="77777777" w:rsidR="00B6100B" w:rsidRPr="001416EB" w:rsidRDefault="002A63D2" w:rsidP="00B6100B">
      <w:pPr>
        <w:pStyle w:val="NormalHanging12a"/>
      </w:pPr>
      <w:r w:rsidRPr="001416EB">
        <w:t>A.</w:t>
      </w:r>
      <w:r w:rsidRPr="001416EB">
        <w:tab/>
        <w:t>der henviser til, at den nuværende formand for Den Europæiske Banktilsynsmyndighed trådte tilbage den 31. januar 2026;</w:t>
      </w:r>
    </w:p>
    <w:p w14:paraId="051C9D27" w14:textId="77777777" w:rsidR="000170C0" w:rsidRPr="001416EB" w:rsidRDefault="002A63D2" w:rsidP="000170C0">
      <w:pPr>
        <w:pStyle w:val="NormalHanging12a"/>
      </w:pPr>
      <w:r w:rsidRPr="001416EB">
        <w:t>B.</w:t>
      </w:r>
      <w:r w:rsidRPr="001416EB">
        <w:tab/>
        <w:t xml:space="preserve">der henviser til, at </w:t>
      </w:r>
      <w:r w:rsidRPr="001416EB">
        <w:t>artikel 48, stk. 2, i forordning (EU) nr. 1093/2010 fastsætter, at formanden for Den Europæiske Banktilsynsmyndighed udvælges på grundlag af sine kvalifikationer, sit kendskab til finansielle institutioner og markeder samt relevant erfaring med finansielt tilsyn og finansiel regulering efter en åben udvælgelsesprocedure, som skal respektere princippet om kønsbalance;</w:t>
      </w:r>
    </w:p>
    <w:p w14:paraId="35C59758" w14:textId="77777777" w:rsidR="00B6100B" w:rsidRPr="001416EB" w:rsidRDefault="002A63D2" w:rsidP="00B6100B">
      <w:pPr>
        <w:pStyle w:val="NormalHanging12a"/>
      </w:pPr>
      <w:r w:rsidRPr="001416EB">
        <w:t>C.</w:t>
      </w:r>
      <w:r w:rsidRPr="001416EB">
        <w:tab/>
        <w:t>der henviser til, at Rådet den 4. februar 2026 efter Parlamentets bekræftelse foreslog at udnævne François-Louis Michaud til formand for Den Europæiske Banktilsynsmyndighed for en mandatperiode på fem år i overensstemmelse med artikel 48, stk. 2 og 3, i forordning (EU) nr. 1093/2010;</w:t>
      </w:r>
    </w:p>
    <w:p w14:paraId="784BCAF4" w14:textId="77777777" w:rsidR="00B6100B" w:rsidRPr="001416EB" w:rsidRDefault="002A63D2" w:rsidP="00B6100B">
      <w:pPr>
        <w:pStyle w:val="NormalHanging12a"/>
      </w:pPr>
      <w:r w:rsidRPr="001416EB">
        <w:lastRenderedPageBreak/>
        <w:t>D.</w:t>
      </w:r>
      <w:r w:rsidRPr="001416EB">
        <w:tab/>
        <w:t>der henviser til, at Økonomi- og Valutaudvalget den 25. februar 2026 afholdt en høring med François-Louis Michaud, hvor han efter at have holdt et oplæg besvarede spørgsmål fra udvalgets medlemmer;</w:t>
      </w:r>
    </w:p>
    <w:p w14:paraId="0EB5F77E" w14:textId="77777777" w:rsidR="00B6100B" w:rsidRPr="001416EB" w:rsidRDefault="002A63D2" w:rsidP="00B6100B">
      <w:pPr>
        <w:pStyle w:val="NormalHanging12a"/>
      </w:pPr>
      <w:r w:rsidRPr="001416EB">
        <w:t>1.</w:t>
      </w:r>
      <w:r w:rsidRPr="001416EB">
        <w:tab/>
        <w:t>[godkender/nægter at godkende] udnævnelsen af François-Louis Michaud til formand for Den Europæiske Banktilsynsmyndighed [og anmoder om, at forslaget bliver trukket tilbage, og at der forelægges Parlamentet et nyt forslag];</w:t>
      </w:r>
    </w:p>
    <w:p w14:paraId="75E45232" w14:textId="77777777" w:rsidR="00B6100B" w:rsidRPr="001416EB" w:rsidRDefault="002A63D2" w:rsidP="00B6100B">
      <w:pPr>
        <w:pStyle w:val="NormalHanging12a"/>
      </w:pPr>
      <w:r w:rsidRPr="001416EB">
        <w:t>2.</w:t>
      </w:r>
      <w:r w:rsidRPr="001416EB">
        <w:tab/>
        <w:t>pålægger sin formand at sende denne afgørelse til Rådet, Kommissionen, Den Europæiske Banktilsynsmyndighed og medlemsstaternes regeringer.</w:t>
      </w:r>
    </w:p>
    <w:p w14:paraId="5332358F" w14:textId="77777777" w:rsidR="0058017C" w:rsidRPr="001416EB" w:rsidRDefault="0058017C" w:rsidP="0031708B"/>
    <w:p w14:paraId="483D9048" w14:textId="77777777" w:rsidR="0058017C" w:rsidRPr="001416EB" w:rsidRDefault="0058017C" w:rsidP="0058017C">
      <w:pPr>
        <w:sectPr w:rsidR="0058017C" w:rsidRPr="001416EB" w:rsidSect="001416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CD4F21E" w14:textId="77777777" w:rsidR="00303BD8" w:rsidRPr="001416EB" w:rsidRDefault="002A63D2" w:rsidP="00303BD8">
      <w:pPr>
        <w:pStyle w:val="PageHeading"/>
      </w:pPr>
      <w:bookmarkStart w:id="1" w:name="DocEPLastPosition"/>
      <w:bookmarkStart w:id="2" w:name="_Toc213751741"/>
      <w:bookmarkStart w:id="3" w:name="_Toc223421979"/>
      <w:bookmarkEnd w:id="1"/>
      <w:r w:rsidRPr="001416EB">
        <w:lastRenderedPageBreak/>
        <w:t>BEGRUNDELSE</w:t>
      </w:r>
      <w:bookmarkEnd w:id="2"/>
      <w:bookmarkEnd w:id="3"/>
    </w:p>
    <w:p w14:paraId="1059728C" w14:textId="77777777" w:rsidR="0034027D" w:rsidRPr="001416EB" w:rsidRDefault="002A63D2" w:rsidP="00303BD8">
      <w:pPr>
        <w:pStyle w:val="NormalBold"/>
        <w:jc w:val="both"/>
        <w:rPr>
          <w:b w:val="0"/>
        </w:rPr>
      </w:pPr>
      <w:r w:rsidRPr="001416EB">
        <w:rPr>
          <w:b w:val="0"/>
        </w:rPr>
        <w:t xml:space="preserve">Denne betænkning er udarbejdet efter Økonomi- og Valutaudvalgets udøvelse af de </w:t>
      </w:r>
      <w:r w:rsidRPr="001416EB">
        <w:rPr>
          <w:b w:val="0"/>
        </w:rPr>
        <w:t>beføjelser, der er tillagt Parlamentet i henhold til forordning (EU) nr. 1093/2010, særlig artikel 48, og efter Økonomi- og Valutaudvalgets fastlagte procedurer for udnævnelse af medlemmer af regulerings- og tilsynsorganer på det økonomiske og finansielle område.</w:t>
      </w:r>
    </w:p>
    <w:p w14:paraId="528C0BE5" w14:textId="77777777" w:rsidR="0058017C" w:rsidRPr="001416EB" w:rsidRDefault="0058017C" w:rsidP="0031708B"/>
    <w:p w14:paraId="61B14261" w14:textId="77777777" w:rsidR="0058017C" w:rsidRPr="001416EB" w:rsidRDefault="0058017C" w:rsidP="0058017C">
      <w:pPr>
        <w:sectPr w:rsidR="0058017C" w:rsidRPr="001416EB" w:rsidSect="0031708B">
          <w:footnotePr>
            <w:numRestart w:val="eachSect"/>
          </w:footnotePr>
          <w:endnotePr>
            <w:numFmt w:val="decimal"/>
          </w:endnotePr>
          <w:pgSz w:w="11906" w:h="16838"/>
          <w:pgMar w:top="1134" w:right="1418" w:bottom="1418" w:left="1418" w:header="567" w:footer="567" w:gutter="0"/>
          <w:cols w:space="720"/>
          <w:noEndnote/>
        </w:sectPr>
      </w:pPr>
    </w:p>
    <w:p w14:paraId="684C7C8C" w14:textId="77777777" w:rsidR="00303BD8" w:rsidRPr="001416EB" w:rsidRDefault="002A63D2" w:rsidP="00303BD8">
      <w:pPr>
        <w:pStyle w:val="PageHeading"/>
        <w:rPr>
          <w:noProof/>
        </w:rPr>
      </w:pPr>
      <w:bookmarkStart w:id="4" w:name="_Toc213751742"/>
      <w:bookmarkStart w:id="5" w:name="_Toc223421980"/>
      <w:r w:rsidRPr="001416EB">
        <w:lastRenderedPageBreak/>
        <w:t>BILAG: ERKLÆRING OM INPUT</w:t>
      </w:r>
      <w:bookmarkEnd w:id="4"/>
      <w:bookmarkEnd w:id="5"/>
    </w:p>
    <w:p w14:paraId="5952E39F" w14:textId="77777777" w:rsidR="00303BD8" w:rsidRPr="001416EB" w:rsidRDefault="002A63D2" w:rsidP="00303BD8">
      <w:pPr>
        <w:pStyle w:val="Normal24a"/>
        <w:spacing w:after="240"/>
      </w:pPr>
      <w:r w:rsidRPr="001416EB">
        <w:rPr>
          <w:rStyle w:val="HideTWBExt"/>
        </w:rPr>
        <w:t>&lt;FootprintIntro&gt;</w:t>
      </w:r>
      <w:r w:rsidRPr="001416EB">
        <w:t>Ordføreren erklærer på eget ansvar, at hun ikke i sin betænkning har medtaget input fra interesserepræsentanter, der er omfattet af anvendelsesområdet for den interinstitutionelle aftale om et obligatorisk åbenhedsregister</w:t>
      </w:r>
      <w:r w:rsidRPr="001416EB">
        <w:rPr>
          <w:rStyle w:val="FootnoteReference"/>
        </w:rPr>
        <w:footnoteReference w:id="4"/>
      </w:r>
      <w:r w:rsidRPr="001416EB">
        <w:t>, eller fra repræsentanter for offentlige myndigheder i tredjelande, herunder deres diplomatiske missioner og ambassader, som i henhold til artikel 8 i bilag I til forretningsordenen skal angives i dette bilag.</w:t>
      </w:r>
      <w:r w:rsidRPr="001416EB">
        <w:rPr>
          <w:rStyle w:val="HideTWBExt"/>
        </w:rPr>
        <w:t>&lt;/FootprintIntro&gt;</w:t>
      </w:r>
    </w:p>
    <w:p w14:paraId="5BF31FA7" w14:textId="77777777" w:rsidR="00303BD8" w:rsidRPr="001416EB" w:rsidRDefault="00303BD8" w:rsidP="00303BD8">
      <w:pPr>
        <w:pStyle w:val="Footprint12b"/>
      </w:pPr>
    </w:p>
    <w:p w14:paraId="19124228" w14:textId="77777777" w:rsidR="00176EC6" w:rsidRPr="001416EB" w:rsidRDefault="00176EC6" w:rsidP="0031708B"/>
    <w:sectPr w:rsidR="00176EC6" w:rsidRPr="001416EB" w:rsidSect="0031708B">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2724F" w14:textId="77777777" w:rsidR="002A63D2" w:rsidRPr="001416EB" w:rsidRDefault="002A63D2">
      <w:r w:rsidRPr="001416EB">
        <w:separator/>
      </w:r>
    </w:p>
  </w:endnote>
  <w:endnote w:type="continuationSeparator" w:id="0">
    <w:p w14:paraId="1720CE85" w14:textId="77777777" w:rsidR="002A63D2" w:rsidRPr="001416EB" w:rsidRDefault="002A63D2">
      <w:r w:rsidRPr="0014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68FD" w14:textId="77777777" w:rsidR="001416EB" w:rsidRPr="001416EB" w:rsidRDefault="001416EB" w:rsidP="001416EB">
    <w:pPr>
      <w:pStyle w:val="EPFooter"/>
    </w:pPr>
    <w:r w:rsidRPr="001416EB">
      <w:t>PE</w:t>
    </w:r>
    <w:r w:rsidRPr="001416EB">
      <w:rPr>
        <w:rStyle w:val="HideTWBExt"/>
      </w:rPr>
      <w:t>&lt;NoPE&gt;</w:t>
    </w:r>
    <w:r w:rsidRPr="001416EB">
      <w:t>784.336</w:t>
    </w:r>
    <w:r w:rsidRPr="001416EB">
      <w:rPr>
        <w:rStyle w:val="HideTWBExt"/>
      </w:rPr>
      <w:t>&lt;/NoPE&gt;&lt;Version&gt;</w:t>
    </w:r>
    <w:r w:rsidRPr="001416EB">
      <w:t>v01-00</w:t>
    </w:r>
    <w:r w:rsidRPr="001416EB">
      <w:rPr>
        <w:rStyle w:val="HideTWBExt"/>
      </w:rPr>
      <w:t>&lt;/Version&gt;</w:t>
    </w:r>
    <w:r w:rsidRPr="001416EB">
      <w:tab/>
    </w:r>
    <w:r w:rsidRPr="001416EB">
      <w:fldChar w:fldCharType="begin"/>
    </w:r>
    <w:r w:rsidRPr="001416EB">
      <w:instrText xml:space="preserve"> PAGE  \* MERGEFORMAT </w:instrText>
    </w:r>
    <w:r w:rsidRPr="001416EB">
      <w:fldChar w:fldCharType="separate"/>
    </w:r>
    <w:r w:rsidRPr="001416EB">
      <w:rPr>
        <w:noProof/>
      </w:rPr>
      <w:t>1</w:t>
    </w:r>
    <w:r w:rsidRPr="001416EB">
      <w:fldChar w:fldCharType="end"/>
    </w:r>
    <w:r w:rsidRPr="001416EB">
      <w:t>/</w:t>
    </w:r>
    <w:fldSimple w:instr=" NUMPAGES  \* MERGEFORMAT ">
      <w:r w:rsidRPr="001416EB">
        <w:rPr>
          <w:noProof/>
        </w:rPr>
        <w:t>1</w:t>
      </w:r>
    </w:fldSimple>
    <w:r w:rsidRPr="001416EB">
      <w:tab/>
    </w:r>
    <w:r w:rsidRPr="001416EB">
      <w:rPr>
        <w:rStyle w:val="HideTWBExt"/>
      </w:rPr>
      <w:t>&lt;PathFdR&gt;</w:t>
    </w:r>
    <w:r w:rsidRPr="001416EB">
      <w:t>PR\1337005DA.docx</w:t>
    </w:r>
    <w:r w:rsidRPr="001416EB">
      <w:rPr>
        <w:rStyle w:val="HideTWBExt"/>
      </w:rPr>
      <w:t>&lt;/PathFdR&gt;</w:t>
    </w:r>
  </w:p>
  <w:p w14:paraId="4A657DF7" w14:textId="1C1D466C" w:rsidR="007619E9" w:rsidRPr="001416EB" w:rsidRDefault="001416EB" w:rsidP="001416EB">
    <w:pPr>
      <w:pStyle w:val="EPFooter2"/>
    </w:pPr>
    <w:r w:rsidRPr="001416E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1CE5F" w14:textId="77777777" w:rsidR="001416EB" w:rsidRPr="001416EB" w:rsidRDefault="001416EB" w:rsidP="001416EB">
    <w:pPr>
      <w:pStyle w:val="EPFooter"/>
    </w:pPr>
    <w:r w:rsidRPr="001416EB">
      <w:rPr>
        <w:rStyle w:val="HideTWBExt"/>
      </w:rPr>
      <w:t>&lt;PathFdR&gt;</w:t>
    </w:r>
    <w:r w:rsidRPr="001416EB">
      <w:t>PR\1337005DA.docx</w:t>
    </w:r>
    <w:r w:rsidRPr="001416EB">
      <w:rPr>
        <w:rStyle w:val="HideTWBExt"/>
      </w:rPr>
      <w:t>&lt;/PathFdR&gt;</w:t>
    </w:r>
    <w:r w:rsidRPr="001416EB">
      <w:tab/>
    </w:r>
    <w:r w:rsidRPr="001416EB">
      <w:fldChar w:fldCharType="begin"/>
    </w:r>
    <w:r w:rsidRPr="001416EB">
      <w:instrText xml:space="preserve"> PAGE  \* MERGEFORMAT </w:instrText>
    </w:r>
    <w:r w:rsidRPr="001416EB">
      <w:fldChar w:fldCharType="separate"/>
    </w:r>
    <w:r w:rsidRPr="001416EB">
      <w:rPr>
        <w:noProof/>
      </w:rPr>
      <w:t>1</w:t>
    </w:r>
    <w:r w:rsidRPr="001416EB">
      <w:fldChar w:fldCharType="end"/>
    </w:r>
    <w:r w:rsidRPr="001416EB">
      <w:t>/</w:t>
    </w:r>
    <w:fldSimple w:instr=" NUMPAGES  \* MERGEFORMAT ">
      <w:r w:rsidRPr="001416EB">
        <w:rPr>
          <w:noProof/>
        </w:rPr>
        <w:t>1</w:t>
      </w:r>
    </w:fldSimple>
    <w:r w:rsidRPr="001416EB">
      <w:tab/>
      <w:t>PE</w:t>
    </w:r>
    <w:r w:rsidRPr="001416EB">
      <w:rPr>
        <w:rStyle w:val="HideTWBExt"/>
      </w:rPr>
      <w:t>&lt;NoPE&gt;</w:t>
    </w:r>
    <w:r w:rsidRPr="001416EB">
      <w:t>784.336</w:t>
    </w:r>
    <w:r w:rsidRPr="001416EB">
      <w:rPr>
        <w:rStyle w:val="HideTWBExt"/>
      </w:rPr>
      <w:t>&lt;/NoPE&gt;&lt;Version&gt;</w:t>
    </w:r>
    <w:r w:rsidRPr="001416EB">
      <w:t>v01-00</w:t>
    </w:r>
    <w:r w:rsidRPr="001416EB">
      <w:rPr>
        <w:rStyle w:val="HideTWBExt"/>
      </w:rPr>
      <w:t>&lt;/Version&gt;</w:t>
    </w:r>
  </w:p>
  <w:p w14:paraId="7E971A3A" w14:textId="2CABBE6E" w:rsidR="007619E9" w:rsidRPr="001416EB" w:rsidRDefault="001416EB" w:rsidP="001416EB">
    <w:pPr>
      <w:pStyle w:val="EPFooter2"/>
    </w:pPr>
    <w:r w:rsidRPr="001416EB">
      <w:tab/>
    </w:r>
    <w:r w:rsidRPr="001416E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4CF82" w14:textId="77777777" w:rsidR="001416EB" w:rsidRPr="001416EB" w:rsidRDefault="001416EB" w:rsidP="001416EB">
    <w:pPr>
      <w:pStyle w:val="EPFooter"/>
    </w:pPr>
    <w:r w:rsidRPr="001416EB">
      <w:rPr>
        <w:rStyle w:val="HideTWBExt"/>
      </w:rPr>
      <w:t>&lt;PathFdR&gt;</w:t>
    </w:r>
    <w:r w:rsidRPr="001416EB">
      <w:t>PR\1337005DA.docx</w:t>
    </w:r>
    <w:r w:rsidRPr="001416EB">
      <w:rPr>
        <w:rStyle w:val="HideTWBExt"/>
      </w:rPr>
      <w:t>&lt;/PathFdR&gt;</w:t>
    </w:r>
    <w:r w:rsidRPr="001416EB">
      <w:tab/>
    </w:r>
    <w:r w:rsidRPr="001416EB">
      <w:tab/>
      <w:t>PE</w:t>
    </w:r>
    <w:r w:rsidRPr="001416EB">
      <w:rPr>
        <w:rStyle w:val="HideTWBExt"/>
      </w:rPr>
      <w:t>&lt;NoPE&gt;</w:t>
    </w:r>
    <w:r w:rsidRPr="001416EB">
      <w:t>784.336</w:t>
    </w:r>
    <w:r w:rsidRPr="001416EB">
      <w:rPr>
        <w:rStyle w:val="HideTWBExt"/>
      </w:rPr>
      <w:t>&lt;/NoPE&gt;&lt;Version&gt;</w:t>
    </w:r>
    <w:r w:rsidRPr="001416EB">
      <w:t>v01-00</w:t>
    </w:r>
    <w:r w:rsidRPr="001416EB">
      <w:rPr>
        <w:rStyle w:val="HideTWBExt"/>
      </w:rPr>
      <w:t>&lt;/Version&gt;</w:t>
    </w:r>
  </w:p>
  <w:p w14:paraId="614CE6CE" w14:textId="41D0A174" w:rsidR="007619E9" w:rsidRPr="001416EB" w:rsidRDefault="001416EB" w:rsidP="001416EB">
    <w:pPr>
      <w:pStyle w:val="EPFooter2"/>
    </w:pPr>
    <w:r w:rsidRPr="001416EB">
      <w:t>DA</w:t>
    </w:r>
    <w:r w:rsidRPr="001416EB">
      <w:tab/>
    </w:r>
    <w:r w:rsidRPr="001416EB">
      <w:rPr>
        <w:b w:val="0"/>
        <w:i/>
        <w:color w:val="C0C0C0"/>
        <w:sz w:val="22"/>
      </w:rPr>
      <w:t>Forenet i mangfoldighed</w:t>
    </w:r>
    <w:r w:rsidRPr="001416E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A6F7D" w14:textId="77777777" w:rsidR="000757B1" w:rsidRPr="001416EB" w:rsidRDefault="002A63D2">
      <w:r w:rsidRPr="001416EB">
        <w:separator/>
      </w:r>
    </w:p>
  </w:footnote>
  <w:footnote w:type="continuationSeparator" w:id="0">
    <w:p w14:paraId="10BBBF86" w14:textId="77777777" w:rsidR="000757B1" w:rsidRPr="001416EB" w:rsidRDefault="002A63D2">
      <w:r w:rsidRPr="001416EB">
        <w:continuationSeparator/>
      </w:r>
    </w:p>
  </w:footnote>
  <w:footnote w:id="1">
    <w:p w14:paraId="19102EC5" w14:textId="77777777" w:rsidR="00EB3337" w:rsidRPr="001416EB" w:rsidRDefault="002A63D2">
      <w:pPr>
        <w:pStyle w:val="FootnoteText"/>
      </w:pPr>
      <w:r w:rsidRPr="001416EB">
        <w:rPr>
          <w:rStyle w:val="FootnoteReference"/>
        </w:rPr>
        <w:footnoteRef/>
      </w:r>
      <w:r w:rsidRPr="001416EB">
        <w:t xml:space="preserve"> EUT L 331 af 27.1.2010, s. 12, ELI: </w:t>
      </w:r>
      <w:hyperlink r:id="rId1" w:history="1">
        <w:r w:rsidRPr="001416EB">
          <w:rPr>
            <w:rStyle w:val="Hyperlink"/>
          </w:rPr>
          <w:t>http://data.europa.eu/eli/reg/2010/1093/oj</w:t>
        </w:r>
      </w:hyperlink>
      <w:r w:rsidRPr="001416EB">
        <w:t>.</w:t>
      </w:r>
    </w:p>
  </w:footnote>
  <w:footnote w:id="2">
    <w:p w14:paraId="1CDEFF4E" w14:textId="77777777" w:rsidR="00B6100B" w:rsidRPr="001416EB" w:rsidRDefault="002A63D2" w:rsidP="00B6100B">
      <w:pPr>
        <w:pStyle w:val="FootnoteText"/>
      </w:pPr>
      <w:r w:rsidRPr="001416EB">
        <w:rPr>
          <w:rStyle w:val="FootnoteReference"/>
        </w:rPr>
        <w:footnoteRef/>
      </w:r>
      <w:r w:rsidRPr="001416EB">
        <w:t xml:space="preserve"> EUT C 23 af 21.1.2021, s. 105.</w:t>
      </w:r>
    </w:p>
  </w:footnote>
  <w:footnote w:id="3">
    <w:p w14:paraId="31F50E9B" w14:textId="77777777" w:rsidR="00B6100B" w:rsidRPr="001416EB" w:rsidRDefault="002A63D2" w:rsidP="00B6100B">
      <w:pPr>
        <w:pStyle w:val="FootnoteText"/>
      </w:pPr>
      <w:r w:rsidRPr="001416EB">
        <w:rPr>
          <w:rStyle w:val="FootnoteReference"/>
        </w:rPr>
        <w:footnoteRef/>
      </w:r>
      <w:r w:rsidRPr="001416EB">
        <w:t xml:space="preserve"> Vedtagne tekster, P9_TA(2020)0017.</w:t>
      </w:r>
    </w:p>
  </w:footnote>
  <w:footnote w:id="4">
    <w:p w14:paraId="213E1DC9" w14:textId="77777777" w:rsidR="00303BD8" w:rsidRPr="001416EB" w:rsidRDefault="002A63D2" w:rsidP="00303BD8">
      <w:pPr>
        <w:pStyle w:val="FootnoteText"/>
      </w:pPr>
      <w:r w:rsidRPr="001416EB">
        <w:rPr>
          <w:rStyle w:val="FootnoteReference"/>
        </w:rPr>
        <w:footnoteRef/>
      </w:r>
      <w:r w:rsidRPr="001416EB">
        <w:t xml:space="preserve"> Interinstitutionel aftale af 20. maj 2021 mellem Europa-Parlamentet, Rådet for Den Europæiske Union og Europa-Kommissionen om et obligatorisk åbenhedsregister (EUT L 207 af 11.6.2021, s. 1, ELI: </w:t>
      </w:r>
      <w:hyperlink r:id="rId2" w:history="1">
        <w:r w:rsidRPr="001416EB">
          <w:rPr>
            <w:rStyle w:val="Hyperlink"/>
            <w:sz w:val="24"/>
          </w:rPr>
          <w:t>http://data.europa.eu/eli/agree_interinstit/2021/611/oj</w:t>
        </w:r>
      </w:hyperlink>
      <w:r w:rsidRPr="001416E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05B86" w14:textId="77777777" w:rsidR="002A63D2" w:rsidRDefault="002A6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7729" w14:textId="77777777" w:rsidR="002A63D2" w:rsidRDefault="002A63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1EAE" w14:textId="77777777" w:rsidR="002A63D2" w:rsidRDefault="002A63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78664878">
    <w:abstractNumId w:val="9"/>
  </w:num>
  <w:num w:numId="2" w16cid:durableId="639699396">
    <w:abstractNumId w:val="9"/>
  </w:num>
  <w:num w:numId="3" w16cid:durableId="278606205">
    <w:abstractNumId w:val="7"/>
  </w:num>
  <w:num w:numId="4" w16cid:durableId="447623181">
    <w:abstractNumId w:val="7"/>
  </w:num>
  <w:num w:numId="5" w16cid:durableId="1279723587">
    <w:abstractNumId w:val="6"/>
  </w:num>
  <w:num w:numId="6" w16cid:durableId="1811288712">
    <w:abstractNumId w:val="6"/>
  </w:num>
  <w:num w:numId="7" w16cid:durableId="800541133">
    <w:abstractNumId w:val="5"/>
  </w:num>
  <w:num w:numId="8" w16cid:durableId="1100486269">
    <w:abstractNumId w:val="5"/>
  </w:num>
  <w:num w:numId="9" w16cid:durableId="2102411754">
    <w:abstractNumId w:val="4"/>
  </w:num>
  <w:num w:numId="10" w16cid:durableId="238951623">
    <w:abstractNumId w:val="4"/>
  </w:num>
  <w:num w:numId="11" w16cid:durableId="1792819821">
    <w:abstractNumId w:val="8"/>
  </w:num>
  <w:num w:numId="12" w16cid:durableId="1766879426">
    <w:abstractNumId w:val="8"/>
  </w:num>
  <w:num w:numId="13" w16cid:durableId="1226915371">
    <w:abstractNumId w:val="3"/>
  </w:num>
  <w:num w:numId="14" w16cid:durableId="2143107983">
    <w:abstractNumId w:val="3"/>
  </w:num>
  <w:num w:numId="15" w16cid:durableId="1053769436">
    <w:abstractNumId w:val="2"/>
  </w:num>
  <w:num w:numId="16" w16cid:durableId="1533491951">
    <w:abstractNumId w:val="2"/>
  </w:num>
  <w:num w:numId="17" w16cid:durableId="1339845127">
    <w:abstractNumId w:val="1"/>
  </w:num>
  <w:num w:numId="18" w16cid:durableId="1145588808">
    <w:abstractNumId w:val="1"/>
  </w:num>
  <w:num w:numId="19" w16cid:durableId="1079325067">
    <w:abstractNumId w:val="0"/>
  </w:num>
  <w:num w:numId="20" w16cid:durableId="382563128">
    <w:abstractNumId w:val="0"/>
  </w:num>
  <w:num w:numId="21" w16cid:durableId="312412704">
    <w:abstractNumId w:val="9"/>
  </w:num>
  <w:num w:numId="22" w16cid:durableId="81682563">
    <w:abstractNumId w:val="7"/>
  </w:num>
  <w:num w:numId="23" w16cid:durableId="557206408">
    <w:abstractNumId w:val="6"/>
  </w:num>
  <w:num w:numId="24" w16cid:durableId="501354197">
    <w:abstractNumId w:val="5"/>
  </w:num>
  <w:num w:numId="25" w16cid:durableId="2099862306">
    <w:abstractNumId w:val="4"/>
  </w:num>
  <w:num w:numId="26" w16cid:durableId="98918934">
    <w:abstractNumId w:val="8"/>
  </w:num>
  <w:num w:numId="27" w16cid:durableId="1798255101">
    <w:abstractNumId w:val="3"/>
  </w:num>
  <w:num w:numId="28" w16cid:durableId="1399014908">
    <w:abstractNumId w:val="2"/>
  </w:num>
  <w:num w:numId="29" w16cid:durableId="1954903365">
    <w:abstractNumId w:val="1"/>
  </w:num>
  <w:num w:numId="30" w16cid:durableId="127405467">
    <w:abstractNumId w:val="0"/>
  </w:num>
  <w:num w:numId="31" w16cid:durableId="1862815167">
    <w:abstractNumId w:val="9"/>
  </w:num>
  <w:num w:numId="32" w16cid:durableId="911551104">
    <w:abstractNumId w:val="7"/>
  </w:num>
  <w:num w:numId="33" w16cid:durableId="2040280165">
    <w:abstractNumId w:val="6"/>
  </w:num>
  <w:num w:numId="34" w16cid:durableId="1661927858">
    <w:abstractNumId w:val="5"/>
  </w:num>
  <w:num w:numId="35" w16cid:durableId="422536181">
    <w:abstractNumId w:val="4"/>
  </w:num>
  <w:num w:numId="36" w16cid:durableId="712580241">
    <w:abstractNumId w:val="8"/>
  </w:num>
  <w:num w:numId="37" w16cid:durableId="1288776167">
    <w:abstractNumId w:val="3"/>
  </w:num>
  <w:num w:numId="38" w16cid:durableId="613445531">
    <w:abstractNumId w:val="2"/>
  </w:num>
  <w:num w:numId="39" w16cid:durableId="1315916619">
    <w:abstractNumId w:val="1"/>
  </w:num>
  <w:num w:numId="40" w16cid:durableId="1882936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DOCREFMNU" w:val=" 1"/>
    <w:docVar w:name="LastEditedSection" w:val=" 1"/>
    <w:docVar w:name="PRES3MNU" w:val=" 1"/>
    <w:docVar w:name="strDocTypeID" w:val="PR_NLE_EconGov"/>
    <w:docVar w:name="strSubDir" w:val="1337"/>
    <w:docVar w:name="TITLEMNU" w:val=" 3"/>
    <w:docVar w:name="TXTLANGUE" w:val="EN"/>
    <w:docVar w:name="TXTLANGUEMIN" w:val="en"/>
    <w:docVar w:name="TXTNRC" w:val="xx"/>
    <w:docVar w:name="TXTNRNLE" w:val="2025/xxxx"/>
    <w:docVar w:name="TXTNRPE" w:val="784.336"/>
    <w:docVar w:name="TXTNRPROP" w:val="xx"/>
    <w:docVar w:name="TXTPEorAP" w:val="PE"/>
    <w:docVar w:name="TXTROUTE" w:val="PR\1337005EN.docx"/>
    <w:docVar w:name="TXTVERSION" w:val="01-00"/>
  </w:docVars>
  <w:rsids>
    <w:rsidRoot w:val="000757B1"/>
    <w:rsid w:val="00000985"/>
    <w:rsid w:val="0000674B"/>
    <w:rsid w:val="00016327"/>
    <w:rsid w:val="000170C0"/>
    <w:rsid w:val="00017249"/>
    <w:rsid w:val="00033753"/>
    <w:rsid w:val="000757B1"/>
    <w:rsid w:val="000B17B4"/>
    <w:rsid w:val="000B5CD8"/>
    <w:rsid w:val="000B5F6A"/>
    <w:rsid w:val="000C675A"/>
    <w:rsid w:val="000D67D8"/>
    <w:rsid w:val="001416EB"/>
    <w:rsid w:val="00155BE1"/>
    <w:rsid w:val="00176EC6"/>
    <w:rsid w:val="00183442"/>
    <w:rsid w:val="001861A0"/>
    <w:rsid w:val="001C108A"/>
    <w:rsid w:val="001E7E46"/>
    <w:rsid w:val="0022039B"/>
    <w:rsid w:val="00261640"/>
    <w:rsid w:val="00297E78"/>
    <w:rsid w:val="002A63D2"/>
    <w:rsid w:val="002C7243"/>
    <w:rsid w:val="002D3184"/>
    <w:rsid w:val="002F6925"/>
    <w:rsid w:val="00303BD8"/>
    <w:rsid w:val="0031708B"/>
    <w:rsid w:val="0034027D"/>
    <w:rsid w:val="003409D5"/>
    <w:rsid w:val="00361974"/>
    <w:rsid w:val="00367F27"/>
    <w:rsid w:val="00394E8B"/>
    <w:rsid w:val="003B61DF"/>
    <w:rsid w:val="003C0977"/>
    <w:rsid w:val="003C2066"/>
    <w:rsid w:val="003C3583"/>
    <w:rsid w:val="003C539A"/>
    <w:rsid w:val="003E5E00"/>
    <w:rsid w:val="004151B3"/>
    <w:rsid w:val="0043112F"/>
    <w:rsid w:val="00465E9D"/>
    <w:rsid w:val="00467926"/>
    <w:rsid w:val="00492849"/>
    <w:rsid w:val="004B303A"/>
    <w:rsid w:val="004C729C"/>
    <w:rsid w:val="004F39DC"/>
    <w:rsid w:val="005117E4"/>
    <w:rsid w:val="00524C6D"/>
    <w:rsid w:val="00543054"/>
    <w:rsid w:val="00544831"/>
    <w:rsid w:val="00552899"/>
    <w:rsid w:val="00576119"/>
    <w:rsid w:val="0058017C"/>
    <w:rsid w:val="00593E07"/>
    <w:rsid w:val="005B4021"/>
    <w:rsid w:val="005C6E04"/>
    <w:rsid w:val="005E2EE9"/>
    <w:rsid w:val="00634C55"/>
    <w:rsid w:val="0064574A"/>
    <w:rsid w:val="006637BB"/>
    <w:rsid w:val="00687022"/>
    <w:rsid w:val="006B4798"/>
    <w:rsid w:val="006D0B09"/>
    <w:rsid w:val="006E6373"/>
    <w:rsid w:val="006E7306"/>
    <w:rsid w:val="00706C19"/>
    <w:rsid w:val="00726B66"/>
    <w:rsid w:val="00754F9A"/>
    <w:rsid w:val="007619E9"/>
    <w:rsid w:val="007727E3"/>
    <w:rsid w:val="00784111"/>
    <w:rsid w:val="00790657"/>
    <w:rsid w:val="007949B5"/>
    <w:rsid w:val="007A498E"/>
    <w:rsid w:val="007B6453"/>
    <w:rsid w:val="00825BD2"/>
    <w:rsid w:val="00826E2A"/>
    <w:rsid w:val="00834FE1"/>
    <w:rsid w:val="00841C76"/>
    <w:rsid w:val="00853721"/>
    <w:rsid w:val="008664E3"/>
    <w:rsid w:val="008B61FA"/>
    <w:rsid w:val="008C3A9F"/>
    <w:rsid w:val="00945E32"/>
    <w:rsid w:val="009650D0"/>
    <w:rsid w:val="00977ACD"/>
    <w:rsid w:val="00982D29"/>
    <w:rsid w:val="009C131C"/>
    <w:rsid w:val="009C278B"/>
    <w:rsid w:val="00A033D2"/>
    <w:rsid w:val="00A52E86"/>
    <w:rsid w:val="00A56510"/>
    <w:rsid w:val="00A90AF7"/>
    <w:rsid w:val="00A966C1"/>
    <w:rsid w:val="00AB16C4"/>
    <w:rsid w:val="00B158B2"/>
    <w:rsid w:val="00B45BCE"/>
    <w:rsid w:val="00B6100B"/>
    <w:rsid w:val="00B61155"/>
    <w:rsid w:val="00B627EC"/>
    <w:rsid w:val="00B779E2"/>
    <w:rsid w:val="00B80455"/>
    <w:rsid w:val="00B93A6D"/>
    <w:rsid w:val="00BC0A11"/>
    <w:rsid w:val="00BC3364"/>
    <w:rsid w:val="00BC7090"/>
    <w:rsid w:val="00BE7729"/>
    <w:rsid w:val="00C47735"/>
    <w:rsid w:val="00C66B67"/>
    <w:rsid w:val="00C85D0F"/>
    <w:rsid w:val="00C87B6B"/>
    <w:rsid w:val="00CD7C49"/>
    <w:rsid w:val="00CE5F79"/>
    <w:rsid w:val="00D159CD"/>
    <w:rsid w:val="00D317C6"/>
    <w:rsid w:val="00D618B4"/>
    <w:rsid w:val="00DB0299"/>
    <w:rsid w:val="00DB7EF5"/>
    <w:rsid w:val="00E02365"/>
    <w:rsid w:val="00E169BA"/>
    <w:rsid w:val="00E26B37"/>
    <w:rsid w:val="00E350C6"/>
    <w:rsid w:val="00E44D2D"/>
    <w:rsid w:val="00E531A8"/>
    <w:rsid w:val="00EA2B8A"/>
    <w:rsid w:val="00EB3337"/>
    <w:rsid w:val="00EC6A81"/>
    <w:rsid w:val="00ED0AC7"/>
    <w:rsid w:val="00EF76A8"/>
    <w:rsid w:val="00F146EA"/>
    <w:rsid w:val="00F26B59"/>
    <w:rsid w:val="00F42E5A"/>
    <w:rsid w:val="00F61D6D"/>
    <w:rsid w:val="00F71BD9"/>
    <w:rsid w:val="00F72DC4"/>
    <w:rsid w:val="00F95485"/>
    <w:rsid w:val="00FA19AB"/>
    <w:rsid w:val="00FA25F7"/>
    <w:rsid w:val="00FA765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40CE2"/>
  <w15:chartTrackingRefBased/>
  <w15:docId w15:val="{4D0654AD-D229-4FF6-965E-5DBFC522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7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5BCE"/>
    <w:pPr>
      <w:spacing w:before="480" w:after="240"/>
    </w:pPr>
  </w:style>
  <w:style w:type="paragraph" w:styleId="TOC1">
    <w:name w:val="toc 1"/>
    <w:basedOn w:val="Normal"/>
    <w:next w:val="Normal"/>
    <w:autoRedefine/>
    <w:uiPriority w:val="39"/>
    <w:rsid w:val="00BE772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E02365"/>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52899"/>
    <w:pPr>
      <w:spacing w:before="1080"/>
      <w:jc w:val="right"/>
    </w:pPr>
    <w:rPr>
      <w:rFonts w:ascii="Arial" w:hAnsi="Arial" w:cs="Arial"/>
      <w:b/>
    </w:rPr>
  </w:style>
  <w:style w:type="paragraph" w:customStyle="1" w:styleId="CoverDocType24a">
    <w:name w:val="CoverDocType24a"/>
    <w:basedOn w:val="Normal"/>
    <w:rsid w:val="00E02365"/>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B402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E0236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B4021"/>
    <w:rPr>
      <w:sz w:val="24"/>
    </w:rPr>
  </w:style>
  <w:style w:type="paragraph" w:customStyle="1" w:styleId="Normal12a">
    <w:name w:val="Normal12a"/>
    <w:basedOn w:val="Normal"/>
    <w:rsid w:val="00B45BCE"/>
    <w:pPr>
      <w:spacing w:after="240"/>
    </w:pPr>
  </w:style>
  <w:style w:type="paragraph" w:styleId="FootnoteText">
    <w:name w:val="footnote text"/>
    <w:basedOn w:val="Normal"/>
    <w:link w:val="FootnoteTextChar"/>
    <w:rsid w:val="00524C6D"/>
    <w:rPr>
      <w:sz w:val="20"/>
    </w:rPr>
  </w:style>
  <w:style w:type="character" w:customStyle="1" w:styleId="FootnoteTextChar">
    <w:name w:val="Footnote Text Char"/>
    <w:basedOn w:val="DefaultParagraphFont"/>
    <w:link w:val="FootnoteText"/>
    <w:rsid w:val="00524C6D"/>
  </w:style>
  <w:style w:type="character" w:styleId="FootnoteReference">
    <w:name w:val="footnote reference"/>
    <w:basedOn w:val="DefaultParagraphFont"/>
    <w:rsid w:val="00524C6D"/>
    <w:rPr>
      <w:vertAlign w:val="superscript"/>
    </w:rPr>
  </w:style>
  <w:style w:type="character" w:styleId="UnresolvedMention">
    <w:name w:val="Unresolved Mention"/>
    <w:basedOn w:val="DefaultParagraphFont"/>
    <w:uiPriority w:val="99"/>
    <w:semiHidden/>
    <w:unhideWhenUsed/>
    <w:rsid w:val="00524C6D"/>
    <w:rPr>
      <w:color w:val="605E5C"/>
      <w:shd w:val="clear" w:color="auto" w:fill="E1DFDD"/>
    </w:rPr>
  </w:style>
  <w:style w:type="paragraph" w:customStyle="1" w:styleId="Normal24a">
    <w:name w:val="Normal24a"/>
    <w:basedOn w:val="Normal"/>
    <w:rsid w:val="00303BD8"/>
    <w:pPr>
      <w:spacing w:after="480"/>
    </w:pPr>
  </w:style>
  <w:style w:type="paragraph" w:customStyle="1" w:styleId="Footprint12b">
    <w:name w:val="Footprint12b"/>
    <w:basedOn w:val="Normal"/>
    <w:rsid w:val="00303BD8"/>
    <w:pPr>
      <w:spacing w:before="240"/>
    </w:pPr>
    <w:rPr>
      <w:szCs w:val="24"/>
    </w:rPr>
  </w:style>
  <w:style w:type="paragraph" w:styleId="Footer">
    <w:name w:val="footer"/>
    <w:basedOn w:val="Normal"/>
    <w:link w:val="FooterChar"/>
    <w:semiHidden/>
    <w:rsid w:val="00303BD8"/>
    <w:pPr>
      <w:tabs>
        <w:tab w:val="center" w:pos="4513"/>
        <w:tab w:val="right" w:pos="9026"/>
      </w:tabs>
    </w:pPr>
  </w:style>
  <w:style w:type="character" w:customStyle="1" w:styleId="FooterChar">
    <w:name w:val="Footer Char"/>
    <w:basedOn w:val="DefaultParagraphFont"/>
    <w:link w:val="Footer"/>
    <w:semiHidden/>
    <w:rsid w:val="00303BD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10/109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PR_NLE_EconGov.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CE8C8-DEC5-4EFB-8676-E60EDDA99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PR_NLE_EconGov.dotx</Template>
  <TotalTime>1</TotalTime>
  <Pages>6</Pages>
  <Words>572</Words>
  <Characters>3695</Characters>
  <Application>Microsoft Office Word</Application>
  <DocSecurity>0</DocSecurity>
  <Lines>87</Lines>
  <Paragraphs>47</Paragraphs>
  <ScaleCrop>false</ScaleCrop>
  <HeadingPairs>
    <vt:vector size="2" baseType="variant">
      <vt:variant>
        <vt:lpstr>Title</vt:lpstr>
      </vt:variant>
      <vt:variant>
        <vt:i4>1</vt:i4>
      </vt:variant>
    </vt:vector>
  </HeadingPairs>
  <TitlesOfParts>
    <vt:vector size="1" baseType="lpstr">
      <vt:lpstr>PR_NLE_EconGov</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PR_NLE_EconGov</dc:title>
  <dc:creator>CHIGNESSE Regine</dc:creator>
  <cp:lastModifiedBy>JENSEN Pia Gunnersen</cp:lastModifiedBy>
  <cp:revision>2</cp:revision>
  <cp:lastPrinted>2005-10-17T14:34:00Z</cp:lastPrinted>
  <dcterms:created xsi:type="dcterms:W3CDTF">2026-03-03T08:19:00Z</dcterms:created>
  <dcterms:modified xsi:type="dcterms:W3CDTF">2026-03-03T08:19:00Z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1337005</vt:lpwstr>
  </property>
  <property fmtid="{D5CDD505-2E9C-101B-9397-08002B2CF9AE}" pid="4" name="&lt;Model&gt;">
    <vt:lpwstr>PR_NLE_EconGov</vt:lpwstr>
  </property>
  <property fmtid="{D5CDD505-2E9C-101B-9397-08002B2CF9AE}" pid="5" name="&lt;ModelCod&gt;">
    <vt:lpwstr>\\eiciBRUpr1\pdocep$\DocEP\DOCS\General\PR\PR_NonLeg\Other\PR_NLE_EconGov.dotx(17/04/2020 18:28:11)</vt:lpwstr>
  </property>
  <property fmtid="{D5CDD505-2E9C-101B-9397-08002B2CF9AE}" pid="6" name="&lt;ModelTra&gt;">
    <vt:lpwstr>\\eiciBRUpr1\pdocep$\DocEP\TRANSFIL\EN\PR_NLE_EconGov.EN(28/08/2024 09:43:01)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PR\1337005DA.docx</vt:lpwstr>
  </property>
  <property fmtid="{D5CDD505-2E9C-101B-9397-08002B2CF9AE}" pid="10" name="LastEdited with">
    <vt:lpwstr>10.2.1 Build [20260110]</vt:lpwstr>
  </property>
  <property fmtid="{D5CDD505-2E9C-101B-9397-08002B2CF9AE}" pid="11" name="PE number">
    <vt:lpwstr>784.336</vt:lpwstr>
  </property>
  <property fmtid="{D5CDD505-2E9C-101B-9397-08002B2CF9AE}" pid="12" name="SDLStudio">
    <vt:lpwstr/>
  </property>
  <property fmtid="{D5CDD505-2E9C-101B-9397-08002B2CF9AE}" pid="13" name="SendToEpades">
    <vt:lpwstr>OK - 2026/02/16 11:28</vt:lpwstr>
  </property>
  <property fmtid="{D5CDD505-2E9C-101B-9397-08002B2CF9AE}" pid="14" name="Bookout">
    <vt:lpwstr>OK - 2026/03/03 09:19</vt:lpwstr>
  </property>
</Properties>
</file>