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E350C6" w:rsidRPr="00E5056F" w14:paraId="00532153" w14:textId="77777777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B21A54F" w14:textId="77777777" w:rsidR="00E350C6" w:rsidRPr="00E5056F" w:rsidRDefault="000757B1" w:rsidP="00C85D0F">
            <w:pPr>
              <w:pStyle w:val="EPName"/>
            </w:pPr>
            <w:r w:rsidRPr="00E5056F">
              <w:t>Europos Parlamentas</w:t>
            </w:r>
          </w:p>
          <w:p w14:paraId="34CFA0CA" w14:textId="36D39A5A" w:rsidR="00E350C6" w:rsidRPr="00E5056F" w:rsidRDefault="00524C6D" w:rsidP="00C85D0F">
            <w:pPr>
              <w:pStyle w:val="EPTerm"/>
            </w:pPr>
            <w:r w:rsidRPr="00E5056F"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C583E1A" w14:textId="77777777" w:rsidR="00E350C6" w:rsidRPr="00E5056F" w:rsidRDefault="00E350C6" w:rsidP="00C85D0F">
            <w:pPr>
              <w:pStyle w:val="EPLogo"/>
            </w:pPr>
            <w:r w:rsidRPr="00E5056F">
              <w:rPr>
                <w:noProof/>
              </w:rPr>
              <w:drawing>
                <wp:inline distT="0" distB="0" distL="0" distR="0" wp14:anchorId="1B48C1D9" wp14:editId="5141631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0321145" w14:textId="77777777" w:rsidR="00B779E2" w:rsidRPr="00E5056F" w:rsidRDefault="00B779E2" w:rsidP="00B779E2">
      <w:pPr>
        <w:pStyle w:val="LineTop"/>
      </w:pPr>
    </w:p>
    <w:p w14:paraId="6BCD4CAC" w14:textId="77777777" w:rsidR="00B779E2" w:rsidRPr="00E5056F" w:rsidRDefault="00B779E2" w:rsidP="00B779E2">
      <w:pPr>
        <w:pStyle w:val="EPBody"/>
      </w:pPr>
      <w:r w:rsidRPr="00E5056F">
        <w:rPr>
          <w:rStyle w:val="HideTWBExt"/>
        </w:rPr>
        <w:t>&lt;</w:t>
      </w:r>
      <w:r w:rsidRPr="00E5056F">
        <w:rPr>
          <w:rStyle w:val="HideTWBExt"/>
          <w:i w:val="0"/>
        </w:rPr>
        <w:t>Commission</w:t>
      </w:r>
      <w:r w:rsidRPr="00E5056F">
        <w:rPr>
          <w:rStyle w:val="HideTWBExt"/>
        </w:rPr>
        <w:t>&gt;</w:t>
      </w:r>
      <w:r w:rsidRPr="00E5056F">
        <w:rPr>
          <w:rStyle w:val="HideTWBInt"/>
          <w:i w:val="0"/>
        </w:rPr>
        <w:t>{ECON}</w:t>
      </w:r>
      <w:r w:rsidRPr="00E5056F">
        <w:t>Ekonomikos ir pinigų politikos komitetas</w:t>
      </w:r>
      <w:r w:rsidRPr="00E5056F">
        <w:rPr>
          <w:rStyle w:val="HideTWBExt"/>
        </w:rPr>
        <w:t>&lt;/</w:t>
      </w:r>
      <w:r w:rsidRPr="00E5056F">
        <w:rPr>
          <w:rStyle w:val="HideTWBExt"/>
          <w:i w:val="0"/>
        </w:rPr>
        <w:t>Commission</w:t>
      </w:r>
      <w:r w:rsidRPr="00E5056F">
        <w:rPr>
          <w:rStyle w:val="HideTWBExt"/>
        </w:rPr>
        <w:t>&gt;</w:t>
      </w:r>
    </w:p>
    <w:p w14:paraId="3E034B11" w14:textId="77777777" w:rsidR="00B779E2" w:rsidRPr="00E5056F" w:rsidRDefault="00B779E2" w:rsidP="00B779E2">
      <w:pPr>
        <w:pStyle w:val="LineBottom"/>
      </w:pPr>
    </w:p>
    <w:p w14:paraId="1F639C7A" w14:textId="05809167" w:rsidR="004151B3" w:rsidRPr="00E5056F" w:rsidRDefault="004151B3">
      <w:pPr>
        <w:pStyle w:val="CoverReference"/>
      </w:pPr>
      <w:r w:rsidRPr="00E5056F">
        <w:rPr>
          <w:rStyle w:val="HideTWBExt"/>
          <w:b w:val="0"/>
        </w:rPr>
        <w:t>&lt;RefProc&gt;</w:t>
      </w:r>
      <w:r w:rsidRPr="00E5056F">
        <w:t>2026/0802</w:t>
      </w:r>
      <w:r w:rsidRPr="00E5056F">
        <w:rPr>
          <w:rStyle w:val="HideTWBExt"/>
          <w:b w:val="0"/>
        </w:rPr>
        <w:t>&lt;/RefProc&gt;&lt;RefTypeProc&gt;</w:t>
      </w:r>
      <w:r w:rsidRPr="00E5056F">
        <w:t>(NLE)</w:t>
      </w:r>
      <w:r w:rsidRPr="00E5056F">
        <w:rPr>
          <w:rStyle w:val="HideTWBExt"/>
        </w:rPr>
        <w:t>&lt;/</w:t>
      </w:r>
      <w:r w:rsidRPr="00E5056F">
        <w:rPr>
          <w:rStyle w:val="HideTWBExt"/>
          <w:b w:val="0"/>
        </w:rPr>
        <w:t>RefTypeProc</w:t>
      </w:r>
      <w:r w:rsidRPr="00E5056F">
        <w:rPr>
          <w:rStyle w:val="HideTWBExt"/>
        </w:rPr>
        <w:t>&gt;</w:t>
      </w:r>
    </w:p>
    <w:p w14:paraId="4B76AADE" w14:textId="0BCAF95D" w:rsidR="004151B3" w:rsidRPr="00E5056F" w:rsidRDefault="004151B3">
      <w:pPr>
        <w:pStyle w:val="CoverDate"/>
      </w:pPr>
      <w:r w:rsidRPr="00E5056F">
        <w:rPr>
          <w:rStyle w:val="HideTWBExt"/>
        </w:rPr>
        <w:t>&lt;Date&gt;</w:t>
      </w:r>
      <w:r w:rsidRPr="00E5056F">
        <w:rPr>
          <w:rStyle w:val="HideTWBInt"/>
        </w:rPr>
        <w:t>{16/02/2026}</w:t>
      </w:r>
      <w:r w:rsidRPr="00E5056F">
        <w:t>16.2.2026</w:t>
      </w:r>
      <w:r w:rsidRPr="00E5056F">
        <w:rPr>
          <w:rStyle w:val="HideTWBExt"/>
        </w:rPr>
        <w:t>&lt;/Date&gt;</w:t>
      </w:r>
    </w:p>
    <w:p w14:paraId="2285E97B" w14:textId="77777777" w:rsidR="004151B3" w:rsidRPr="00E5056F" w:rsidRDefault="004151B3">
      <w:pPr>
        <w:pStyle w:val="CoverDocType24a"/>
      </w:pPr>
      <w:r w:rsidRPr="00E5056F">
        <w:rPr>
          <w:rStyle w:val="HideTWBExt"/>
          <w:b w:val="0"/>
        </w:rPr>
        <w:t>&lt;TitreType&gt;</w:t>
      </w:r>
      <w:r w:rsidRPr="00E5056F">
        <w:t>PRANEŠIMO PROJEKTAS</w:t>
      </w:r>
      <w:r w:rsidRPr="00E5056F">
        <w:rPr>
          <w:rStyle w:val="HideTWBExt"/>
          <w:b w:val="0"/>
        </w:rPr>
        <w:t>&lt;/TitreType&gt;</w:t>
      </w:r>
    </w:p>
    <w:p w14:paraId="065ADD91" w14:textId="6BB2CEC6" w:rsidR="004151B3" w:rsidRPr="00E5056F" w:rsidRDefault="004151B3">
      <w:pPr>
        <w:pStyle w:val="CoverNormal"/>
      </w:pPr>
      <w:r w:rsidRPr="00E5056F">
        <w:rPr>
          <w:rStyle w:val="HideTWBExt"/>
        </w:rPr>
        <w:t>&lt;Titre&gt;</w:t>
      </w:r>
      <w:r w:rsidRPr="00E5056F">
        <w:t>dėl pasiūlymo dėl Europos bankininkystės institucijos pirmininko skyrimo</w:t>
      </w:r>
      <w:r w:rsidRPr="00E5056F">
        <w:rPr>
          <w:rStyle w:val="HideTWBExt"/>
        </w:rPr>
        <w:t>&lt;/Titre&gt;</w:t>
      </w:r>
    </w:p>
    <w:p w14:paraId="66F2BAE5" w14:textId="69D6A602" w:rsidR="000D67D8" w:rsidRPr="00E5056F" w:rsidRDefault="000D67D8" w:rsidP="000D67D8">
      <w:pPr>
        <w:pStyle w:val="CoverNormal24a"/>
      </w:pPr>
      <w:r w:rsidRPr="00E5056F">
        <w:rPr>
          <w:rStyle w:val="HideTWBExt"/>
        </w:rPr>
        <w:t>&lt;DocRef&gt;</w:t>
      </w:r>
      <w:r w:rsidRPr="00E5056F">
        <w:t>(N10-0004/2026 – C10</w:t>
      </w:r>
      <w:r w:rsidRPr="00E5056F">
        <w:noBreakHyphen/>
        <w:t>0020/2026 – 2026/0802(NLE))</w:t>
      </w:r>
      <w:r w:rsidRPr="00E5056F">
        <w:rPr>
          <w:rStyle w:val="HideTWBExt"/>
        </w:rPr>
        <w:t>&lt;/DocRef&gt;</w:t>
      </w:r>
    </w:p>
    <w:p w14:paraId="08F8DE61" w14:textId="77777777" w:rsidR="004151B3" w:rsidRPr="00E5056F" w:rsidRDefault="004151B3" w:rsidP="000D67D8">
      <w:pPr>
        <w:pStyle w:val="CoverNormal24a"/>
      </w:pPr>
      <w:r w:rsidRPr="00E5056F">
        <w:rPr>
          <w:rStyle w:val="HideTWBExt"/>
        </w:rPr>
        <w:t>&lt;Commission&gt;</w:t>
      </w:r>
      <w:r w:rsidRPr="00E5056F">
        <w:rPr>
          <w:rStyle w:val="HideTWBInt"/>
          <w:i/>
        </w:rPr>
        <w:t>{ECON}</w:t>
      </w:r>
      <w:r w:rsidRPr="00E5056F">
        <w:t>Ekonomikos ir pinigų politikos komitetas</w:t>
      </w:r>
      <w:r w:rsidRPr="00E5056F">
        <w:rPr>
          <w:rStyle w:val="HideTWBExt"/>
        </w:rPr>
        <w:t>&lt;/Commission&gt;</w:t>
      </w:r>
    </w:p>
    <w:p w14:paraId="4E77D407" w14:textId="491FAC1F" w:rsidR="004151B3" w:rsidRPr="00E5056F" w:rsidRDefault="000757B1">
      <w:pPr>
        <w:pStyle w:val="CoverNormal24a"/>
      </w:pPr>
      <w:r w:rsidRPr="00E5056F">
        <w:t xml:space="preserve">Pranešėja: </w:t>
      </w:r>
      <w:r w:rsidRPr="00E5056F">
        <w:rPr>
          <w:rStyle w:val="HideTWBExt"/>
        </w:rPr>
        <w:t>&lt;Depute&gt;</w:t>
      </w:r>
      <w:r w:rsidRPr="00E5056F">
        <w:t>Aurore Lalucq</w:t>
      </w:r>
      <w:r w:rsidRPr="00E5056F">
        <w:rPr>
          <w:rStyle w:val="HideTWBExt"/>
        </w:rPr>
        <w:t>&lt;/Depute&gt;</w:t>
      </w:r>
    </w:p>
    <w:p w14:paraId="660DF180" w14:textId="77777777" w:rsidR="00576119" w:rsidRPr="00E5056F" w:rsidRDefault="00576119" w:rsidP="00576119">
      <w:pPr>
        <w:pStyle w:val="CoverNormal"/>
      </w:pPr>
    </w:p>
    <w:p w14:paraId="3FF696FD" w14:textId="77777777" w:rsidR="004151B3" w:rsidRPr="00E5056F" w:rsidRDefault="004151B3" w:rsidP="00E531A8">
      <w:pPr>
        <w:widowControl/>
        <w:tabs>
          <w:tab w:val="center" w:pos="4677"/>
        </w:tabs>
      </w:pPr>
      <w:r w:rsidRPr="00E5056F">
        <w:br w:type="page"/>
      </w:r>
      <w:r w:rsidRPr="00E5056F">
        <w:lastRenderedPageBreak/>
        <w:t>PR_NLE_EconGov</w:t>
      </w:r>
    </w:p>
    <w:p w14:paraId="720B396E" w14:textId="77777777" w:rsidR="004151B3" w:rsidRPr="00E5056F" w:rsidRDefault="000757B1">
      <w:pPr>
        <w:pStyle w:val="TOCHeading"/>
      </w:pPr>
      <w:r w:rsidRPr="00E5056F">
        <w:t>TURINYS</w:t>
      </w:r>
    </w:p>
    <w:p w14:paraId="33A722C7" w14:textId="77777777" w:rsidR="004151B3" w:rsidRPr="00E5056F" w:rsidRDefault="000757B1">
      <w:pPr>
        <w:pStyle w:val="TOCPage"/>
      </w:pPr>
      <w:r w:rsidRPr="00E5056F">
        <w:t>Psl.</w:t>
      </w:r>
    </w:p>
    <w:p w14:paraId="6DE00B09" w14:textId="61550F15" w:rsidR="00694950" w:rsidRDefault="003C0977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 w:rsidRPr="00E5056F">
        <w:fldChar w:fldCharType="begin"/>
      </w:r>
      <w:r w:rsidRPr="00E5056F">
        <w:instrText xml:space="preserve"> TOC \t "PageHeading</w:instrText>
      </w:r>
      <w:r w:rsidR="00A033D2" w:rsidRPr="00E5056F">
        <w:instrText>;</w:instrText>
      </w:r>
      <w:r w:rsidRPr="00E5056F">
        <w:instrText xml:space="preserve">1" </w:instrText>
      </w:r>
      <w:r w:rsidRPr="00E5056F">
        <w:fldChar w:fldCharType="separate"/>
      </w:r>
      <w:r w:rsidR="00694950">
        <w:rPr>
          <w:noProof/>
        </w:rPr>
        <w:t>PASIŪLYMAS DĖL EUROPOS PARLAMENTO SPRENDIMO</w:t>
      </w:r>
      <w:r w:rsidR="00694950">
        <w:rPr>
          <w:noProof/>
        </w:rPr>
        <w:tab/>
      </w:r>
      <w:r w:rsidR="00694950">
        <w:rPr>
          <w:noProof/>
        </w:rPr>
        <w:fldChar w:fldCharType="begin"/>
      </w:r>
      <w:r w:rsidR="00694950">
        <w:rPr>
          <w:noProof/>
        </w:rPr>
        <w:instrText xml:space="preserve"> PAGEREF _Toc223353556 \h </w:instrText>
      </w:r>
      <w:r w:rsidR="00694950">
        <w:rPr>
          <w:noProof/>
        </w:rPr>
      </w:r>
      <w:r w:rsidR="00694950">
        <w:rPr>
          <w:noProof/>
        </w:rPr>
        <w:fldChar w:fldCharType="separate"/>
      </w:r>
      <w:r w:rsidR="00694950">
        <w:rPr>
          <w:noProof/>
        </w:rPr>
        <w:t>3</w:t>
      </w:r>
      <w:r w:rsidR="00694950">
        <w:rPr>
          <w:noProof/>
        </w:rPr>
        <w:fldChar w:fldCharType="end"/>
      </w:r>
    </w:p>
    <w:p w14:paraId="47143EB2" w14:textId="3AA10060" w:rsidR="00694950" w:rsidRDefault="0069495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AIŠKINAMOJI DALIS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_Toc223353557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14:paraId="6EB61830" w14:textId="6438ABD5" w:rsidR="00694950" w:rsidRDefault="00694950">
      <w:pPr>
        <w:pStyle w:val="TOC1"/>
        <w:tabs>
          <w:tab w:val="right" w:leader="dot" w:pos="9060"/>
        </w:tabs>
        <w:rPr>
          <w:rFonts w:asciiTheme="minorHAnsi" w:eastAsiaTheme="minorEastAsia" w:hAnsiTheme="minorHAnsi" w:cstheme="minorBidi"/>
          <w:noProof/>
          <w:kern w:val="2"/>
          <w:szCs w:val="24"/>
          <w:lang w:val="en-GB"/>
          <w14:ligatures w14:val="standardContextual"/>
        </w:rPr>
      </w:pPr>
      <w:r>
        <w:rPr>
          <w:noProof/>
        </w:rPr>
        <w:t>PRIEDAS. GAUTOS INFORMACIJOS DEKLARACIJA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_Toc223353558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14:paraId="45862158" w14:textId="5ACAEE5C" w:rsidR="00C87B6B" w:rsidRPr="00E5056F" w:rsidRDefault="003C0977" w:rsidP="003C0977">
      <w:r w:rsidRPr="00E5056F">
        <w:fldChar w:fldCharType="end"/>
      </w:r>
    </w:p>
    <w:p w14:paraId="45B9FA38" w14:textId="77777777" w:rsidR="004151B3" w:rsidRPr="00E5056F" w:rsidRDefault="004151B3">
      <w:pPr>
        <w:pStyle w:val="PageHeading"/>
      </w:pPr>
      <w:r w:rsidRPr="00E5056F">
        <w:br w:type="page"/>
      </w:r>
      <w:bookmarkStart w:id="0" w:name="_Toc223353556"/>
      <w:r w:rsidRPr="00E5056F">
        <w:lastRenderedPageBreak/>
        <w:t>PASIŪLYMAS DĖL EUROPOS PARLAMENTO SPRENDIMO</w:t>
      </w:r>
      <w:bookmarkEnd w:id="0"/>
    </w:p>
    <w:p w14:paraId="0AC11A9A" w14:textId="6732274C" w:rsidR="004151B3" w:rsidRPr="00E5056F" w:rsidRDefault="000757B1">
      <w:pPr>
        <w:pStyle w:val="NormalBold"/>
      </w:pPr>
      <w:r w:rsidRPr="00E5056F">
        <w:t>dėl pasiūlymo dėl Europos bankininkystės institucijos pirmininko skyrimo</w:t>
      </w:r>
    </w:p>
    <w:p w14:paraId="2D263AC5" w14:textId="5941DE43" w:rsidR="004151B3" w:rsidRPr="00E5056F" w:rsidRDefault="00524C6D">
      <w:pPr>
        <w:pStyle w:val="NormalBold12a"/>
      </w:pPr>
      <w:r w:rsidRPr="00E5056F">
        <w:t>(N10-0004/2026 – C10</w:t>
      </w:r>
      <w:r w:rsidRPr="00E5056F">
        <w:noBreakHyphen/>
        <w:t>0020/2026 – 2026/0802(NLE))</w:t>
      </w:r>
    </w:p>
    <w:p w14:paraId="2EA97394" w14:textId="77777777" w:rsidR="007619E9" w:rsidRPr="00E5056F" w:rsidRDefault="000757B1" w:rsidP="00B45BCE">
      <w:pPr>
        <w:pStyle w:val="NormalBold"/>
      </w:pPr>
      <w:r w:rsidRPr="00E5056F">
        <w:t>(Pritarimas)</w:t>
      </w:r>
    </w:p>
    <w:p w14:paraId="35C3D0B4" w14:textId="77777777" w:rsidR="004151B3" w:rsidRPr="00E5056F" w:rsidRDefault="000757B1">
      <w:pPr>
        <w:pStyle w:val="EPComma"/>
      </w:pPr>
      <w:r w:rsidRPr="00E5056F">
        <w:rPr>
          <w:i/>
        </w:rPr>
        <w:t>Europos Parlamentas</w:t>
      </w:r>
      <w:r w:rsidRPr="00E5056F">
        <w:t>,</w:t>
      </w:r>
    </w:p>
    <w:p w14:paraId="342A5E5C" w14:textId="54C64E47" w:rsidR="00A52E86" w:rsidRPr="00E5056F" w:rsidRDefault="00A52E86" w:rsidP="00A52E86">
      <w:pPr>
        <w:pStyle w:val="NormalHanging12a"/>
      </w:pPr>
      <w:r w:rsidRPr="00E5056F">
        <w:t>–</w:t>
      </w:r>
      <w:r w:rsidRPr="00E5056F">
        <w:tab/>
        <w:t>atsižvelgdamas į Europos bankininkystės institucijos Priežiūros tarybos sudarytą galutinį tinkamą kvalifikaciją turinčių kandidatų eiti Europos bankininkystės institucijos pirmininko pareigas sąrašą,</w:t>
      </w:r>
    </w:p>
    <w:p w14:paraId="4F5A967A" w14:textId="14101978" w:rsidR="00B6100B" w:rsidRPr="00E5056F" w:rsidRDefault="00B6100B" w:rsidP="00B6100B">
      <w:pPr>
        <w:pStyle w:val="NormalHanging12a"/>
      </w:pPr>
      <w:r w:rsidRPr="00E5056F">
        <w:t>–</w:t>
      </w:r>
      <w:r w:rsidRPr="00E5056F">
        <w:tab/>
        <w:t>atsižvelgdamas į 2026 m. vasario 4 d. Tarybos laišką, kuriame į Europos bankininkystės institucijos pirmininko pareigas siūloma skirti François-Louis Michaud (C10-0020/2026),</w:t>
      </w:r>
    </w:p>
    <w:p w14:paraId="79BE1CC7" w14:textId="52526FE3" w:rsidR="00B6100B" w:rsidRPr="00E5056F" w:rsidRDefault="004151B3" w:rsidP="00EB3337">
      <w:pPr>
        <w:pStyle w:val="NormalHanging12a"/>
      </w:pPr>
      <w:r w:rsidRPr="00E5056F">
        <w:t>–</w:t>
      </w:r>
      <w:r w:rsidRPr="00E5056F">
        <w:tab/>
        <w:t>atsižvelgdamas į 2010 m. lapkričio 24 d. Europos Parlamento ir Tarybos reglamento (ES) Nr. 1093/2010, kuriuo įsteigiama Europos priežiūros institucija (Europos bankininkystės institucija), iš dalies keičiamas Sprendimas Nr. 716/2009/EB ir panaikinamas Komisijos sprendimas 2009/79/EB, 48 straipsnio 2 ir 3 dalis</w:t>
      </w:r>
      <w:r w:rsidR="00EB3337" w:rsidRPr="00E5056F">
        <w:rPr>
          <w:rStyle w:val="FootnoteReference"/>
        </w:rPr>
        <w:footnoteReference w:id="1"/>
      </w:r>
      <w:r w:rsidRPr="00E5056F">
        <w:t>,</w:t>
      </w:r>
    </w:p>
    <w:p w14:paraId="75A70ECC" w14:textId="77777777" w:rsidR="00B6100B" w:rsidRPr="00E5056F" w:rsidRDefault="00B6100B" w:rsidP="00B6100B">
      <w:pPr>
        <w:pStyle w:val="NormalHanging12a"/>
      </w:pPr>
      <w:r w:rsidRPr="00E5056F">
        <w:t>–</w:t>
      </w:r>
      <w:r w:rsidRPr="00E5056F">
        <w:tab/>
        <w:t>atsižvelgdamas į savo 2019 m. kovo 14 d. rezoliuciją dėl lyčių pusiausvyros skiriant į ES ekonomikos ir pinigų politikos srities pareigybes</w:t>
      </w:r>
      <w:r w:rsidRPr="00E5056F">
        <w:rPr>
          <w:vertAlign w:val="superscript"/>
        </w:rPr>
        <w:footnoteReference w:id="2"/>
      </w:r>
      <w:r w:rsidRPr="00E5056F">
        <w:t>,</w:t>
      </w:r>
    </w:p>
    <w:p w14:paraId="24EFA8FD" w14:textId="77777777" w:rsidR="00B6100B" w:rsidRPr="00E5056F" w:rsidRDefault="00B6100B" w:rsidP="00B6100B">
      <w:pPr>
        <w:pStyle w:val="NormalHanging12a"/>
      </w:pPr>
      <w:r w:rsidRPr="00E5056F">
        <w:t>–</w:t>
      </w:r>
      <w:r w:rsidRPr="00E5056F">
        <w:tab/>
        <w:t>atsižvelgdamas į savo 2020 m. sausio 16 d. rezoliuciją „Ekonominės ir pinigų sąjungos institucijos ir įstaigos: interesų konfliktų, pasibaigus darbiniams santykiams viešajame sektoriuje, prevencija“</w:t>
      </w:r>
      <w:r w:rsidRPr="00E5056F">
        <w:rPr>
          <w:vertAlign w:val="superscript"/>
        </w:rPr>
        <w:footnoteReference w:id="3"/>
      </w:r>
      <w:r w:rsidRPr="00E5056F">
        <w:t>,</w:t>
      </w:r>
    </w:p>
    <w:p w14:paraId="2FC7E693" w14:textId="77777777" w:rsidR="004151B3" w:rsidRPr="00E5056F" w:rsidRDefault="004151B3">
      <w:pPr>
        <w:pStyle w:val="NormalHanging12a"/>
      </w:pPr>
      <w:r w:rsidRPr="00E5056F">
        <w:t>–</w:t>
      </w:r>
      <w:r w:rsidRPr="00E5056F">
        <w:tab/>
        <w:t>atsižvelgdamas į Darbo tvarkos taisyklių 135 straipsnį,</w:t>
      </w:r>
    </w:p>
    <w:p w14:paraId="22E55FE2" w14:textId="767416A9" w:rsidR="004151B3" w:rsidRPr="00E5056F" w:rsidRDefault="004151B3">
      <w:pPr>
        <w:pStyle w:val="NormalHanging12a"/>
      </w:pPr>
      <w:r w:rsidRPr="00E5056F">
        <w:t>–</w:t>
      </w:r>
      <w:r w:rsidRPr="00E5056F">
        <w:tab/>
        <w:t>atsižvelgdamas į Ekonomikos ir pinigų politikos komiteto pranešimą (A10 0000/2026),</w:t>
      </w:r>
    </w:p>
    <w:p w14:paraId="5E25DB14" w14:textId="3062DAD9" w:rsidR="00B6100B" w:rsidRPr="00E5056F" w:rsidRDefault="00B6100B" w:rsidP="00B6100B">
      <w:pPr>
        <w:pStyle w:val="NormalHanging12a"/>
      </w:pPr>
      <w:r w:rsidRPr="00E5056F">
        <w:t>A.</w:t>
      </w:r>
      <w:r w:rsidRPr="00E5056F">
        <w:tab/>
        <w:t>kadangi dabartinis Europos bankininkystės institucijos pirmininkas atsistatydino 2026 m. sausio 31 d.;</w:t>
      </w:r>
    </w:p>
    <w:p w14:paraId="5F4CC926" w14:textId="6978B758" w:rsidR="000170C0" w:rsidRPr="00E5056F" w:rsidRDefault="000170C0" w:rsidP="000170C0">
      <w:pPr>
        <w:pStyle w:val="NormalHanging12a"/>
      </w:pPr>
      <w:r w:rsidRPr="00E5056F">
        <w:t>B.</w:t>
      </w:r>
      <w:r w:rsidRPr="00E5056F">
        <w:tab/>
        <w:t>kadangi Reglamento (ES) Nr. 1093/2010 48 straipsnio 2 dalyje nustatyta, kad Europos bankininkystės institucijos pirmininkas renkamas, atsižvelgiant į jo nuopelnus, gebėjimus, finansų įstaigų ir rinkų išmanymą ir į su finansų priežiūra ir reguliavimu susijusią patirtį, paskelbus atvirą atrankos procedūrą, kuria laikomasi lyčių pusiausvyros principo;</w:t>
      </w:r>
    </w:p>
    <w:p w14:paraId="6D526C73" w14:textId="043DE270" w:rsidR="00B6100B" w:rsidRPr="00E5056F" w:rsidRDefault="000170C0" w:rsidP="00B6100B">
      <w:pPr>
        <w:pStyle w:val="NormalHanging12a"/>
      </w:pPr>
      <w:r w:rsidRPr="00E5056F">
        <w:t>C.</w:t>
      </w:r>
      <w:r w:rsidRPr="00E5056F">
        <w:tab/>
        <w:t xml:space="preserve">kadangi 2026 m. vasario 4 d. Taryba pasiūlė, Parlamentui patvirtinus, pagal Reglamento (ES) Nr. 1093/2010 48 straipsnio 2 ir 3 dalis Europos bankininkystės institucijos </w:t>
      </w:r>
      <w:r w:rsidRPr="00E5056F">
        <w:lastRenderedPageBreak/>
        <w:t>pirmininku penkerių metų kadencijai skirti François-Louis Michaud;</w:t>
      </w:r>
    </w:p>
    <w:p w14:paraId="0E175DFC" w14:textId="4A7A981E" w:rsidR="00B6100B" w:rsidRPr="00E5056F" w:rsidRDefault="000170C0" w:rsidP="00B6100B">
      <w:pPr>
        <w:pStyle w:val="NormalHanging12a"/>
      </w:pPr>
      <w:r w:rsidRPr="00E5056F">
        <w:t>D.</w:t>
      </w:r>
      <w:r w:rsidRPr="00E5056F">
        <w:tab/>
        <w:t>kadangi 2026 m. vasario 25 d. Ekonomikos ir pinigų politikos komitetas surengė klausymą su François’u-Louis’u Michaud’u, per kurį jis pasakė įžanginę kalbą ir atsakė į komiteto narių pateiktus klausimus;</w:t>
      </w:r>
    </w:p>
    <w:p w14:paraId="0F82A2D2" w14:textId="57641839" w:rsidR="00B6100B" w:rsidRPr="00E5056F" w:rsidRDefault="00B6100B" w:rsidP="00B6100B">
      <w:pPr>
        <w:pStyle w:val="NormalHanging12a"/>
      </w:pPr>
      <w:r w:rsidRPr="00E5056F">
        <w:t>1.</w:t>
      </w:r>
      <w:r w:rsidRPr="00E5056F">
        <w:tab/>
        <w:t>[pritaria / nepritaria] François’o-Louis’o Michaud’o skyrimui Europos bankininkystės institucijos pirmininku [ir prašo atsiimti pasiūlymą bei pateikti naują];</w:t>
      </w:r>
    </w:p>
    <w:p w14:paraId="21AD1D5F" w14:textId="77777777" w:rsidR="00B6100B" w:rsidRPr="00E5056F" w:rsidRDefault="00B6100B" w:rsidP="00B6100B">
      <w:pPr>
        <w:pStyle w:val="NormalHanging12a"/>
      </w:pPr>
      <w:r w:rsidRPr="00E5056F">
        <w:t>2.</w:t>
      </w:r>
      <w:r w:rsidRPr="00E5056F">
        <w:tab/>
        <w:t>paveda Pirmininkei perduoti šį sprendimą Tarybai, Komisijai, Europos bankininkystės institucijai ir valstybių narių vyriausybėms.</w:t>
      </w:r>
    </w:p>
    <w:p w14:paraId="75599BAB" w14:textId="77777777" w:rsidR="0058017C" w:rsidRPr="00E5056F" w:rsidRDefault="0058017C" w:rsidP="0031708B"/>
    <w:p w14:paraId="09B5E596" w14:textId="77777777" w:rsidR="0058017C" w:rsidRPr="00E5056F" w:rsidRDefault="0058017C" w:rsidP="0058017C">
      <w:pPr>
        <w:sectPr w:rsidR="0058017C" w:rsidRPr="00E5056F" w:rsidSect="00E5056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</w:sectPr>
      </w:pPr>
    </w:p>
    <w:p w14:paraId="53E2B418" w14:textId="77777777" w:rsidR="00303BD8" w:rsidRPr="00E5056F" w:rsidRDefault="00303BD8" w:rsidP="00303BD8">
      <w:pPr>
        <w:pStyle w:val="PageHeading"/>
      </w:pPr>
      <w:bookmarkStart w:id="1" w:name="DocEPLastPosition"/>
      <w:bookmarkStart w:id="2" w:name="_Toc213751741"/>
      <w:bookmarkStart w:id="3" w:name="_Toc223353557"/>
      <w:bookmarkEnd w:id="1"/>
      <w:r w:rsidRPr="00E5056F">
        <w:lastRenderedPageBreak/>
        <w:t>AIŠKINAMOJI DALIS</w:t>
      </w:r>
      <w:bookmarkEnd w:id="2"/>
      <w:bookmarkEnd w:id="3"/>
    </w:p>
    <w:p w14:paraId="758BD620" w14:textId="6A795D31" w:rsidR="0034027D" w:rsidRPr="00E5056F" w:rsidRDefault="00303BD8" w:rsidP="00303BD8">
      <w:pPr>
        <w:pStyle w:val="NormalBold"/>
        <w:jc w:val="both"/>
        <w:rPr>
          <w:b w:val="0"/>
        </w:rPr>
      </w:pPr>
      <w:r w:rsidRPr="00E5056F">
        <w:rPr>
          <w:b w:val="0"/>
        </w:rPr>
        <w:t>Šis pranešimas parengtas Ekonomikos ir pinigų politikos komitetui naudojantis įgaliojimais, suteiktais Parlamentui pagal Reglamentą (ES) Nr. 1093/2010, būtent pagal jo 48 straipsnį, ir laikantis Ekonomikos ir pinigų politikos komitete nustatytų skyrimo į ekonomikos ir finansų srities reguliavimo ir priežiūros įstaigas procedūrų.</w:t>
      </w:r>
    </w:p>
    <w:p w14:paraId="10A26FC1" w14:textId="77777777" w:rsidR="0058017C" w:rsidRPr="00E5056F" w:rsidRDefault="0058017C" w:rsidP="0031708B"/>
    <w:p w14:paraId="42A608C5" w14:textId="77777777" w:rsidR="0058017C" w:rsidRPr="00E5056F" w:rsidRDefault="0058017C" w:rsidP="0058017C">
      <w:pPr>
        <w:sectPr w:rsidR="0058017C" w:rsidRPr="00E5056F" w:rsidSect="0031708B">
          <w:footnotePr>
            <w:numRestart w:val="eachSect"/>
          </w:footnotePr>
          <w:endnotePr>
            <w:numFmt w:val="decimal"/>
          </w:endnotePr>
          <w:pgSz w:w="11906" w:h="16838"/>
          <w:pgMar w:top="1134" w:right="1418" w:bottom="1418" w:left="1418" w:header="567" w:footer="567" w:gutter="0"/>
          <w:cols w:space="720"/>
          <w:noEndnote/>
        </w:sectPr>
      </w:pPr>
    </w:p>
    <w:p w14:paraId="03D79D9C" w14:textId="77777777" w:rsidR="00303BD8" w:rsidRPr="00E5056F" w:rsidRDefault="00303BD8" w:rsidP="00303BD8">
      <w:pPr>
        <w:pStyle w:val="PageHeading"/>
        <w:rPr>
          <w:noProof/>
        </w:rPr>
      </w:pPr>
      <w:bookmarkStart w:id="4" w:name="_Toc213751742"/>
      <w:bookmarkStart w:id="5" w:name="_Toc223353558"/>
      <w:r w:rsidRPr="00E5056F">
        <w:lastRenderedPageBreak/>
        <w:t>PRIEDAS. GAUTOS INFORMACIJOS DEKLARACIJA</w:t>
      </w:r>
      <w:bookmarkEnd w:id="4"/>
      <w:bookmarkEnd w:id="5"/>
    </w:p>
    <w:p w14:paraId="01C6228C" w14:textId="77777777" w:rsidR="00303BD8" w:rsidRPr="00E5056F" w:rsidRDefault="00303BD8" w:rsidP="00303BD8">
      <w:pPr>
        <w:pStyle w:val="Normal24a"/>
        <w:spacing w:after="240"/>
      </w:pPr>
      <w:r w:rsidRPr="00E5056F">
        <w:rPr>
          <w:rStyle w:val="HideTWBExt"/>
        </w:rPr>
        <w:t>&lt;FootprintIntro&gt;</w:t>
      </w:r>
      <w:r w:rsidRPr="00E5056F">
        <w:t>Pranešėja, prisiimdama visą atsakomybę, pareiškia, kad į savo pranešimą neįtraukė informacijos, gautos iš interesų grupių atstovų, kuriems taikomas Tarpinstitucinis susitarimas dėl privalomo skaidrumo registro</w:t>
      </w:r>
      <w:r w:rsidRPr="00E5056F">
        <w:rPr>
          <w:rStyle w:val="FootnoteReference"/>
        </w:rPr>
        <w:footnoteReference w:id="4"/>
      </w:r>
      <w:r w:rsidRPr="00E5056F">
        <w:t>, arba trečiųjų šalių valdžios institucijų, įskaitant jų diplomatines atstovybes ir ambasadas, atstovų, kurie turi būti įtraukti į šį priedą pagal Darbo tvarkos taisyklių I priedo 8 straipsnį.</w:t>
      </w:r>
      <w:r w:rsidRPr="00E5056F">
        <w:rPr>
          <w:rStyle w:val="HideTWBExt"/>
        </w:rPr>
        <w:t>&lt;/FootprintIntro&gt;</w:t>
      </w:r>
    </w:p>
    <w:p w14:paraId="2928032B" w14:textId="77777777" w:rsidR="00303BD8" w:rsidRPr="00E5056F" w:rsidRDefault="00303BD8" w:rsidP="00303BD8">
      <w:pPr>
        <w:pStyle w:val="Footprint12b"/>
      </w:pPr>
    </w:p>
    <w:p w14:paraId="1FA2ACA5" w14:textId="77777777" w:rsidR="00176EC6" w:rsidRPr="00E5056F" w:rsidRDefault="00176EC6" w:rsidP="0031708B"/>
    <w:sectPr w:rsidR="00176EC6" w:rsidRPr="00E5056F" w:rsidSect="0031708B">
      <w:footnotePr>
        <w:numRestart w:val="eachSect"/>
      </w:footnotePr>
      <w:endnotePr>
        <w:numFmt w:val="decimal"/>
      </w:endnotePr>
      <w:pgSz w:w="11906" w:h="16838"/>
      <w:pgMar w:top="1134" w:right="1418" w:bottom="1418" w:left="1418" w:header="567" w:footer="567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79A961" w14:textId="77777777" w:rsidR="000757B1" w:rsidRPr="00E5056F" w:rsidRDefault="000757B1">
      <w:r w:rsidRPr="00E5056F">
        <w:separator/>
      </w:r>
    </w:p>
  </w:endnote>
  <w:endnote w:type="continuationSeparator" w:id="0">
    <w:p w14:paraId="64583DE8" w14:textId="77777777" w:rsidR="000757B1" w:rsidRPr="00E5056F" w:rsidRDefault="000757B1">
      <w:r w:rsidRPr="00E5056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0B77FA" w14:textId="77777777" w:rsidR="00E5056F" w:rsidRPr="00E5056F" w:rsidRDefault="00E5056F" w:rsidP="00E5056F">
    <w:pPr>
      <w:pStyle w:val="EPFooter"/>
    </w:pPr>
    <w:r w:rsidRPr="00E5056F">
      <w:t>PE</w:t>
    </w:r>
    <w:r w:rsidRPr="00E5056F">
      <w:rPr>
        <w:rStyle w:val="HideTWBExt"/>
      </w:rPr>
      <w:t>&lt;NoPE&gt;</w:t>
    </w:r>
    <w:r w:rsidRPr="00E5056F">
      <w:t>784.336</w:t>
    </w:r>
    <w:r w:rsidRPr="00E5056F">
      <w:rPr>
        <w:rStyle w:val="HideTWBExt"/>
      </w:rPr>
      <w:t>&lt;/NoPE&gt;&lt;Version&gt;</w:t>
    </w:r>
    <w:r w:rsidRPr="00E5056F">
      <w:t>v01-00</w:t>
    </w:r>
    <w:r w:rsidRPr="00E5056F">
      <w:rPr>
        <w:rStyle w:val="HideTWBExt"/>
      </w:rPr>
      <w:t>&lt;/Version&gt;</w:t>
    </w:r>
    <w:r w:rsidRPr="00E5056F">
      <w:tab/>
    </w:r>
    <w:r w:rsidRPr="00E5056F">
      <w:fldChar w:fldCharType="begin"/>
    </w:r>
    <w:r w:rsidRPr="00E5056F">
      <w:instrText xml:space="preserve"> PAGE  \* MERGEFORMAT </w:instrText>
    </w:r>
    <w:r w:rsidRPr="00E5056F">
      <w:fldChar w:fldCharType="separate"/>
    </w:r>
    <w:r w:rsidRPr="00E5056F">
      <w:rPr>
        <w:noProof/>
      </w:rPr>
      <w:t>4</w:t>
    </w:r>
    <w:r w:rsidRPr="00E5056F">
      <w:fldChar w:fldCharType="end"/>
    </w:r>
    <w:r w:rsidRPr="00E5056F">
      <w:t>/</w:t>
    </w:r>
    <w:fldSimple w:instr=" NUMPAGES  \* MERGEFORMAT ">
      <w:r w:rsidRPr="00E5056F">
        <w:rPr>
          <w:noProof/>
        </w:rPr>
        <w:t>6</w:t>
      </w:r>
    </w:fldSimple>
    <w:r w:rsidRPr="00E5056F">
      <w:tab/>
    </w:r>
    <w:r w:rsidRPr="00E5056F">
      <w:rPr>
        <w:rStyle w:val="HideTWBExt"/>
      </w:rPr>
      <w:t>&lt;PathFdR&gt;</w:t>
    </w:r>
    <w:r w:rsidRPr="00E5056F">
      <w:t>PR\1337005LT.docx</w:t>
    </w:r>
    <w:r w:rsidRPr="00E5056F">
      <w:rPr>
        <w:rStyle w:val="HideTWBExt"/>
      </w:rPr>
      <w:t>&lt;/PathFdR&gt;</w:t>
    </w:r>
  </w:p>
  <w:p w14:paraId="7A60F109" w14:textId="738CADE5" w:rsidR="007619E9" w:rsidRPr="00E5056F" w:rsidRDefault="00E5056F" w:rsidP="00E5056F">
    <w:pPr>
      <w:pStyle w:val="EPFooter2"/>
    </w:pPr>
    <w:r w:rsidRPr="00E5056F">
      <w:t>LT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4DCDD2" w14:textId="77777777" w:rsidR="00E5056F" w:rsidRPr="00E5056F" w:rsidRDefault="00E5056F" w:rsidP="00E5056F">
    <w:pPr>
      <w:pStyle w:val="EPFooter"/>
    </w:pPr>
    <w:r w:rsidRPr="00E5056F">
      <w:rPr>
        <w:rStyle w:val="HideTWBExt"/>
      </w:rPr>
      <w:t>&lt;PathFdR&gt;</w:t>
    </w:r>
    <w:r w:rsidRPr="00E5056F">
      <w:t>PR\1337005LT.docx</w:t>
    </w:r>
    <w:r w:rsidRPr="00E5056F">
      <w:rPr>
        <w:rStyle w:val="HideTWBExt"/>
      </w:rPr>
      <w:t>&lt;/PathFdR&gt;</w:t>
    </w:r>
    <w:r w:rsidRPr="00E5056F">
      <w:tab/>
    </w:r>
    <w:r w:rsidRPr="00E5056F">
      <w:fldChar w:fldCharType="begin"/>
    </w:r>
    <w:r w:rsidRPr="00E5056F">
      <w:instrText xml:space="preserve"> PAGE  \* MERGEFORMAT </w:instrText>
    </w:r>
    <w:r w:rsidRPr="00E5056F">
      <w:fldChar w:fldCharType="separate"/>
    </w:r>
    <w:r w:rsidRPr="00E5056F">
      <w:rPr>
        <w:noProof/>
      </w:rPr>
      <w:t>5</w:t>
    </w:r>
    <w:r w:rsidRPr="00E5056F">
      <w:fldChar w:fldCharType="end"/>
    </w:r>
    <w:r w:rsidRPr="00E5056F">
      <w:t>/</w:t>
    </w:r>
    <w:fldSimple w:instr=" NUMPAGES  \* MERGEFORMAT ">
      <w:r w:rsidRPr="00E5056F">
        <w:rPr>
          <w:noProof/>
        </w:rPr>
        <w:t>6</w:t>
      </w:r>
    </w:fldSimple>
    <w:r w:rsidRPr="00E5056F">
      <w:tab/>
      <w:t>PE</w:t>
    </w:r>
    <w:r w:rsidRPr="00E5056F">
      <w:rPr>
        <w:rStyle w:val="HideTWBExt"/>
      </w:rPr>
      <w:t>&lt;NoPE&gt;</w:t>
    </w:r>
    <w:r w:rsidRPr="00E5056F">
      <w:t>784.336</w:t>
    </w:r>
    <w:r w:rsidRPr="00E5056F">
      <w:rPr>
        <w:rStyle w:val="HideTWBExt"/>
      </w:rPr>
      <w:t>&lt;/NoPE&gt;&lt;Version&gt;</w:t>
    </w:r>
    <w:r w:rsidRPr="00E5056F">
      <w:t>v01-00</w:t>
    </w:r>
    <w:r w:rsidRPr="00E5056F">
      <w:rPr>
        <w:rStyle w:val="HideTWBExt"/>
      </w:rPr>
      <w:t>&lt;/Version&gt;</w:t>
    </w:r>
  </w:p>
  <w:p w14:paraId="17CADF0B" w14:textId="19A5C897" w:rsidR="007619E9" w:rsidRPr="00E5056F" w:rsidRDefault="00E5056F" w:rsidP="00E5056F">
    <w:pPr>
      <w:pStyle w:val="EPFooter2"/>
    </w:pPr>
    <w:r w:rsidRPr="00E5056F">
      <w:tab/>
    </w:r>
    <w:r w:rsidRPr="00E5056F">
      <w:tab/>
      <w:t>LT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614BF" w14:textId="77777777" w:rsidR="00E5056F" w:rsidRPr="00E5056F" w:rsidRDefault="00E5056F" w:rsidP="00E5056F">
    <w:pPr>
      <w:pStyle w:val="EPFooter"/>
    </w:pPr>
    <w:r w:rsidRPr="00E5056F">
      <w:rPr>
        <w:rStyle w:val="HideTWBExt"/>
      </w:rPr>
      <w:t>&lt;PathFdR&gt;</w:t>
    </w:r>
    <w:r w:rsidRPr="00E5056F">
      <w:t>PR\1337005LT.docx</w:t>
    </w:r>
    <w:r w:rsidRPr="00E5056F">
      <w:rPr>
        <w:rStyle w:val="HideTWBExt"/>
      </w:rPr>
      <w:t>&lt;/PathFdR&gt;</w:t>
    </w:r>
    <w:r w:rsidRPr="00E5056F">
      <w:tab/>
    </w:r>
    <w:r w:rsidRPr="00E5056F">
      <w:tab/>
      <w:t>PE</w:t>
    </w:r>
    <w:r w:rsidRPr="00E5056F">
      <w:rPr>
        <w:rStyle w:val="HideTWBExt"/>
      </w:rPr>
      <w:t>&lt;NoPE&gt;</w:t>
    </w:r>
    <w:r w:rsidRPr="00E5056F">
      <w:t>784.336</w:t>
    </w:r>
    <w:r w:rsidRPr="00E5056F">
      <w:rPr>
        <w:rStyle w:val="HideTWBExt"/>
      </w:rPr>
      <w:t>&lt;/NoPE&gt;&lt;Version&gt;</w:t>
    </w:r>
    <w:r w:rsidRPr="00E5056F">
      <w:t>v01-00</w:t>
    </w:r>
    <w:r w:rsidRPr="00E5056F">
      <w:rPr>
        <w:rStyle w:val="HideTWBExt"/>
      </w:rPr>
      <w:t>&lt;/Version&gt;</w:t>
    </w:r>
  </w:p>
  <w:p w14:paraId="74B1C625" w14:textId="513CAC9A" w:rsidR="007619E9" w:rsidRPr="00E5056F" w:rsidRDefault="00E5056F" w:rsidP="00E5056F">
    <w:pPr>
      <w:pStyle w:val="EPFooter2"/>
    </w:pPr>
    <w:r w:rsidRPr="00E5056F">
      <w:t>LT</w:t>
    </w:r>
    <w:r w:rsidRPr="00E5056F">
      <w:tab/>
    </w:r>
    <w:r w:rsidRPr="00E5056F">
      <w:rPr>
        <w:b w:val="0"/>
        <w:i/>
        <w:color w:val="C0C0C0"/>
        <w:sz w:val="22"/>
      </w:rPr>
      <w:t>Suvienijusi įvairovę</w:t>
    </w:r>
    <w:r w:rsidRPr="00E5056F">
      <w:tab/>
      <w:t>LT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A8F6C8" w14:textId="77777777" w:rsidR="000757B1" w:rsidRPr="00E5056F" w:rsidRDefault="000757B1">
      <w:r w:rsidRPr="00E5056F">
        <w:separator/>
      </w:r>
    </w:p>
  </w:footnote>
  <w:footnote w:type="continuationSeparator" w:id="0">
    <w:p w14:paraId="3CF88917" w14:textId="77777777" w:rsidR="000757B1" w:rsidRPr="00E5056F" w:rsidRDefault="000757B1">
      <w:r w:rsidRPr="00E5056F">
        <w:continuationSeparator/>
      </w:r>
    </w:p>
  </w:footnote>
  <w:footnote w:id="1">
    <w:p w14:paraId="55394F9F" w14:textId="3CA2BF3B" w:rsidR="00EB3337" w:rsidRPr="00E5056F" w:rsidRDefault="00EB3337">
      <w:pPr>
        <w:pStyle w:val="FootnoteText"/>
      </w:pPr>
      <w:r w:rsidRPr="00E5056F">
        <w:rPr>
          <w:rStyle w:val="FootnoteReference"/>
        </w:rPr>
        <w:footnoteRef/>
      </w:r>
      <w:r w:rsidRPr="00E5056F">
        <w:t xml:space="preserve"> OL L 331, 2010 12 15, p. 12, ELI: </w:t>
      </w:r>
      <w:hyperlink r:id="rId1" w:history="1">
        <w:r w:rsidRPr="00E5056F">
          <w:rPr>
            <w:rStyle w:val="Hyperlink"/>
          </w:rPr>
          <w:t>http://data.europa.eu/eli/reg/2010/1093/oj</w:t>
        </w:r>
      </w:hyperlink>
      <w:r w:rsidRPr="00E5056F">
        <w:t>.</w:t>
      </w:r>
    </w:p>
  </w:footnote>
  <w:footnote w:id="2">
    <w:p w14:paraId="1932B593" w14:textId="77777777" w:rsidR="00B6100B" w:rsidRPr="00E5056F" w:rsidRDefault="00B6100B" w:rsidP="00B6100B">
      <w:pPr>
        <w:pStyle w:val="FootnoteText"/>
      </w:pPr>
      <w:r w:rsidRPr="00E5056F">
        <w:rPr>
          <w:rStyle w:val="FootnoteReference"/>
        </w:rPr>
        <w:footnoteRef/>
      </w:r>
      <w:r w:rsidRPr="00E5056F">
        <w:t xml:space="preserve"> OL C 23, 2021 1 21, p. 105.</w:t>
      </w:r>
    </w:p>
  </w:footnote>
  <w:footnote w:id="3">
    <w:p w14:paraId="496C7CB4" w14:textId="77777777" w:rsidR="00B6100B" w:rsidRPr="00E5056F" w:rsidRDefault="00B6100B" w:rsidP="00B6100B">
      <w:pPr>
        <w:pStyle w:val="FootnoteText"/>
      </w:pPr>
      <w:r w:rsidRPr="00E5056F">
        <w:rPr>
          <w:rStyle w:val="FootnoteReference"/>
        </w:rPr>
        <w:footnoteRef/>
      </w:r>
      <w:r w:rsidRPr="00E5056F">
        <w:t xml:space="preserve"> Priimti tekstai, P9_TA(2020)0017.</w:t>
      </w:r>
    </w:p>
  </w:footnote>
  <w:footnote w:id="4">
    <w:p w14:paraId="7F0E45D6" w14:textId="6CF59F84" w:rsidR="00303BD8" w:rsidRPr="00E5056F" w:rsidRDefault="00303BD8" w:rsidP="00303BD8">
      <w:pPr>
        <w:pStyle w:val="FootnoteText"/>
      </w:pPr>
      <w:r w:rsidRPr="00E5056F">
        <w:rPr>
          <w:rStyle w:val="FootnoteReference"/>
        </w:rPr>
        <w:footnoteRef/>
      </w:r>
      <w:r w:rsidRPr="00E5056F">
        <w:t xml:space="preserve"> 2021 m. gegužės 20 d. Europos Parlamento, Europos Sąjungos Tarybos ir Europos Komisijos tarpinstitucinis susitarimas dėl privalomo skaidrumo registro (OL L 207, 2021 6 11, p. 1, ELI: </w:t>
      </w:r>
      <w:hyperlink r:id="rId2" w:history="1">
        <w:r w:rsidRPr="00E5056F">
          <w:rPr>
            <w:rStyle w:val="Hyperlink"/>
          </w:rPr>
          <w:t>http://data.europa.eu/eli/agree_interinstit/2021/611/oj</w:t>
        </w:r>
      </w:hyperlink>
      <w:r w:rsidRPr="00E5056F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2DA20" w14:textId="77777777" w:rsidR="00694950" w:rsidRDefault="006949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52DCB0" w14:textId="77777777" w:rsidR="00694950" w:rsidRDefault="006949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A57A95" w14:textId="77777777" w:rsidR="00694950" w:rsidRDefault="006949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78664878">
    <w:abstractNumId w:val="9"/>
  </w:num>
  <w:num w:numId="2" w16cid:durableId="639699396">
    <w:abstractNumId w:val="9"/>
  </w:num>
  <w:num w:numId="3" w16cid:durableId="278606205">
    <w:abstractNumId w:val="7"/>
  </w:num>
  <w:num w:numId="4" w16cid:durableId="447623181">
    <w:abstractNumId w:val="7"/>
  </w:num>
  <w:num w:numId="5" w16cid:durableId="1279723587">
    <w:abstractNumId w:val="6"/>
  </w:num>
  <w:num w:numId="6" w16cid:durableId="1811288712">
    <w:abstractNumId w:val="6"/>
  </w:num>
  <w:num w:numId="7" w16cid:durableId="800541133">
    <w:abstractNumId w:val="5"/>
  </w:num>
  <w:num w:numId="8" w16cid:durableId="1100486269">
    <w:abstractNumId w:val="5"/>
  </w:num>
  <w:num w:numId="9" w16cid:durableId="2102411754">
    <w:abstractNumId w:val="4"/>
  </w:num>
  <w:num w:numId="10" w16cid:durableId="238951623">
    <w:abstractNumId w:val="4"/>
  </w:num>
  <w:num w:numId="11" w16cid:durableId="1792819821">
    <w:abstractNumId w:val="8"/>
  </w:num>
  <w:num w:numId="12" w16cid:durableId="1766879426">
    <w:abstractNumId w:val="8"/>
  </w:num>
  <w:num w:numId="13" w16cid:durableId="1226915371">
    <w:abstractNumId w:val="3"/>
  </w:num>
  <w:num w:numId="14" w16cid:durableId="2143107983">
    <w:abstractNumId w:val="3"/>
  </w:num>
  <w:num w:numId="15" w16cid:durableId="1053769436">
    <w:abstractNumId w:val="2"/>
  </w:num>
  <w:num w:numId="16" w16cid:durableId="1533491951">
    <w:abstractNumId w:val="2"/>
  </w:num>
  <w:num w:numId="17" w16cid:durableId="1339845127">
    <w:abstractNumId w:val="1"/>
  </w:num>
  <w:num w:numId="18" w16cid:durableId="1145588808">
    <w:abstractNumId w:val="1"/>
  </w:num>
  <w:num w:numId="19" w16cid:durableId="1079325067">
    <w:abstractNumId w:val="0"/>
  </w:num>
  <w:num w:numId="20" w16cid:durableId="382563128">
    <w:abstractNumId w:val="0"/>
  </w:num>
  <w:num w:numId="21" w16cid:durableId="312412704">
    <w:abstractNumId w:val="9"/>
  </w:num>
  <w:num w:numId="22" w16cid:durableId="81682563">
    <w:abstractNumId w:val="7"/>
  </w:num>
  <w:num w:numId="23" w16cid:durableId="557206408">
    <w:abstractNumId w:val="6"/>
  </w:num>
  <w:num w:numId="24" w16cid:durableId="501354197">
    <w:abstractNumId w:val="5"/>
  </w:num>
  <w:num w:numId="25" w16cid:durableId="2099862306">
    <w:abstractNumId w:val="4"/>
  </w:num>
  <w:num w:numId="26" w16cid:durableId="98918934">
    <w:abstractNumId w:val="8"/>
  </w:num>
  <w:num w:numId="27" w16cid:durableId="1798255101">
    <w:abstractNumId w:val="3"/>
  </w:num>
  <w:num w:numId="28" w16cid:durableId="1399014908">
    <w:abstractNumId w:val="2"/>
  </w:num>
  <w:num w:numId="29" w16cid:durableId="1954903365">
    <w:abstractNumId w:val="1"/>
  </w:num>
  <w:num w:numId="30" w16cid:durableId="127405467">
    <w:abstractNumId w:val="0"/>
  </w:num>
  <w:num w:numId="31" w16cid:durableId="1862815167">
    <w:abstractNumId w:val="9"/>
  </w:num>
  <w:num w:numId="32" w16cid:durableId="911551104">
    <w:abstractNumId w:val="7"/>
  </w:num>
  <w:num w:numId="33" w16cid:durableId="2040280165">
    <w:abstractNumId w:val="6"/>
  </w:num>
  <w:num w:numId="34" w16cid:durableId="1661927858">
    <w:abstractNumId w:val="5"/>
  </w:num>
  <w:num w:numId="35" w16cid:durableId="422536181">
    <w:abstractNumId w:val="4"/>
  </w:num>
  <w:num w:numId="36" w16cid:durableId="712580241">
    <w:abstractNumId w:val="8"/>
  </w:num>
  <w:num w:numId="37" w16cid:durableId="1288776167">
    <w:abstractNumId w:val="3"/>
  </w:num>
  <w:num w:numId="38" w16cid:durableId="613445531">
    <w:abstractNumId w:val="2"/>
  </w:num>
  <w:num w:numId="39" w16cid:durableId="1315916619">
    <w:abstractNumId w:val="1"/>
  </w:num>
  <w:num w:numId="40" w16cid:durableId="18829363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pyToNetwork" w:val="-1"/>
    <w:docVar w:name="DOCREFMNU" w:val=" 1"/>
    <w:docVar w:name="LastEditedSection" w:val=" 1"/>
    <w:docVar w:name="PRES3MNU" w:val=" 1"/>
    <w:docVar w:name="strDocTypeID" w:val="PR_NLE_EconGov"/>
    <w:docVar w:name="strSubDir" w:val="1337"/>
    <w:docVar w:name="TITLEMNU" w:val=" 3"/>
    <w:docVar w:name="TXTLANGUE" w:val="EN"/>
    <w:docVar w:name="TXTLANGUEMIN" w:val="en"/>
    <w:docVar w:name="TXTNRC" w:val="xx"/>
    <w:docVar w:name="TXTNRNLE" w:val="2025/xxxx"/>
    <w:docVar w:name="TXTNRPE" w:val="784.336"/>
    <w:docVar w:name="TXTNRPROP" w:val="xx"/>
    <w:docVar w:name="TXTPEorAP" w:val="PE"/>
    <w:docVar w:name="TXTROUTE" w:val="PR\1337005EN.docx"/>
    <w:docVar w:name="TXTVERSION" w:val="01-00"/>
  </w:docVars>
  <w:rsids>
    <w:rsidRoot w:val="000757B1"/>
    <w:rsid w:val="00000985"/>
    <w:rsid w:val="0000674B"/>
    <w:rsid w:val="00016327"/>
    <w:rsid w:val="000170C0"/>
    <w:rsid w:val="00017249"/>
    <w:rsid w:val="00033753"/>
    <w:rsid w:val="000757B1"/>
    <w:rsid w:val="000B17B4"/>
    <w:rsid w:val="000B5CD8"/>
    <w:rsid w:val="000B5F6A"/>
    <w:rsid w:val="000C675A"/>
    <w:rsid w:val="000D67D8"/>
    <w:rsid w:val="00155BE1"/>
    <w:rsid w:val="00176EC6"/>
    <w:rsid w:val="00183442"/>
    <w:rsid w:val="001861A0"/>
    <w:rsid w:val="001C108A"/>
    <w:rsid w:val="001E7E46"/>
    <w:rsid w:val="0022039B"/>
    <w:rsid w:val="00261640"/>
    <w:rsid w:val="00297E78"/>
    <w:rsid w:val="002C7243"/>
    <w:rsid w:val="002D3184"/>
    <w:rsid w:val="002D619B"/>
    <w:rsid w:val="002F6925"/>
    <w:rsid w:val="00303BD8"/>
    <w:rsid w:val="0031708B"/>
    <w:rsid w:val="0034027D"/>
    <w:rsid w:val="003409D5"/>
    <w:rsid w:val="00361974"/>
    <w:rsid w:val="00367F27"/>
    <w:rsid w:val="00394E8B"/>
    <w:rsid w:val="003B61DF"/>
    <w:rsid w:val="003C0977"/>
    <w:rsid w:val="003C2066"/>
    <w:rsid w:val="003C3583"/>
    <w:rsid w:val="003C539A"/>
    <w:rsid w:val="003E5E00"/>
    <w:rsid w:val="004151B3"/>
    <w:rsid w:val="0043112F"/>
    <w:rsid w:val="00465E9D"/>
    <w:rsid w:val="00467926"/>
    <w:rsid w:val="00492849"/>
    <w:rsid w:val="004B303A"/>
    <w:rsid w:val="004C729C"/>
    <w:rsid w:val="004F39DC"/>
    <w:rsid w:val="005117E4"/>
    <w:rsid w:val="00524C6D"/>
    <w:rsid w:val="00543054"/>
    <w:rsid w:val="00544831"/>
    <w:rsid w:val="00552899"/>
    <w:rsid w:val="00576119"/>
    <w:rsid w:val="0058017C"/>
    <w:rsid w:val="00593E07"/>
    <w:rsid w:val="005B4021"/>
    <w:rsid w:val="005C6E04"/>
    <w:rsid w:val="005E2EE9"/>
    <w:rsid w:val="00634C55"/>
    <w:rsid w:val="0064574A"/>
    <w:rsid w:val="006637BB"/>
    <w:rsid w:val="00687022"/>
    <w:rsid w:val="00694950"/>
    <w:rsid w:val="006B4798"/>
    <w:rsid w:val="006C40C0"/>
    <w:rsid w:val="006D0B09"/>
    <w:rsid w:val="006E6373"/>
    <w:rsid w:val="006E7306"/>
    <w:rsid w:val="00706C19"/>
    <w:rsid w:val="00726B66"/>
    <w:rsid w:val="00754F9A"/>
    <w:rsid w:val="007619E9"/>
    <w:rsid w:val="007727E3"/>
    <w:rsid w:val="00784111"/>
    <w:rsid w:val="00790657"/>
    <w:rsid w:val="007949B5"/>
    <w:rsid w:val="007A498E"/>
    <w:rsid w:val="007B6453"/>
    <w:rsid w:val="00825BD2"/>
    <w:rsid w:val="00826E2A"/>
    <w:rsid w:val="00834FE1"/>
    <w:rsid w:val="00841C76"/>
    <w:rsid w:val="00853721"/>
    <w:rsid w:val="008664E3"/>
    <w:rsid w:val="008B61FA"/>
    <w:rsid w:val="008C3A9F"/>
    <w:rsid w:val="00945E32"/>
    <w:rsid w:val="009650D0"/>
    <w:rsid w:val="00977ACD"/>
    <w:rsid w:val="00982D29"/>
    <w:rsid w:val="009C131C"/>
    <w:rsid w:val="009C278B"/>
    <w:rsid w:val="00A033D2"/>
    <w:rsid w:val="00A52E86"/>
    <w:rsid w:val="00A56510"/>
    <w:rsid w:val="00A90AF7"/>
    <w:rsid w:val="00A966C1"/>
    <w:rsid w:val="00AB16C4"/>
    <w:rsid w:val="00B158B2"/>
    <w:rsid w:val="00B45BCE"/>
    <w:rsid w:val="00B6100B"/>
    <w:rsid w:val="00B61155"/>
    <w:rsid w:val="00B627EC"/>
    <w:rsid w:val="00B779E2"/>
    <w:rsid w:val="00B80455"/>
    <w:rsid w:val="00B93A6D"/>
    <w:rsid w:val="00BC0A11"/>
    <w:rsid w:val="00BC3364"/>
    <w:rsid w:val="00BC7090"/>
    <w:rsid w:val="00BE7729"/>
    <w:rsid w:val="00C47735"/>
    <w:rsid w:val="00C66B67"/>
    <w:rsid w:val="00C87B6B"/>
    <w:rsid w:val="00CD7C49"/>
    <w:rsid w:val="00CE5F79"/>
    <w:rsid w:val="00D159CD"/>
    <w:rsid w:val="00D317C6"/>
    <w:rsid w:val="00D618B4"/>
    <w:rsid w:val="00DB0299"/>
    <w:rsid w:val="00DB7EF5"/>
    <w:rsid w:val="00E02365"/>
    <w:rsid w:val="00E26B37"/>
    <w:rsid w:val="00E350C6"/>
    <w:rsid w:val="00E44D2D"/>
    <w:rsid w:val="00E5056F"/>
    <w:rsid w:val="00E531A8"/>
    <w:rsid w:val="00EB3337"/>
    <w:rsid w:val="00EC6A81"/>
    <w:rsid w:val="00ED0AC7"/>
    <w:rsid w:val="00EF76A8"/>
    <w:rsid w:val="00F146EA"/>
    <w:rsid w:val="00F26B59"/>
    <w:rsid w:val="00F42E5A"/>
    <w:rsid w:val="00F61D6D"/>
    <w:rsid w:val="00F71BD9"/>
    <w:rsid w:val="00F72DC4"/>
    <w:rsid w:val="00F95485"/>
    <w:rsid w:val="00FA19AB"/>
    <w:rsid w:val="00FA25F7"/>
    <w:rsid w:val="00FA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9049D7"/>
  <w15:chartTrackingRefBased/>
  <w15:docId w15:val="{4D0654AD-D229-4FF6-965E-5DBFC5223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lt-LT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C675A"/>
    <w:pPr>
      <w:widowControl w:val="0"/>
    </w:pPr>
    <w:rPr>
      <w:sz w:val="24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B45BCE"/>
    <w:pPr>
      <w:spacing w:before="480" w:after="240"/>
    </w:pPr>
  </w:style>
  <w:style w:type="paragraph" w:styleId="TOC1">
    <w:name w:val="toc 1"/>
    <w:basedOn w:val="Normal"/>
    <w:next w:val="Normal"/>
    <w:autoRedefine/>
    <w:uiPriority w:val="39"/>
    <w:rsid w:val="00BE7729"/>
    <w:pPr>
      <w:spacing w:after="240"/>
    </w:pPr>
  </w:style>
  <w:style w:type="paragraph" w:styleId="TOCHeading">
    <w:name w:val="TOC Heading"/>
    <w:basedOn w:val="Normal"/>
    <w:next w:val="TOCPage"/>
    <w:qFormat/>
    <w:pPr>
      <w:keepNext/>
      <w:spacing w:before="240" w:after="240"/>
      <w:jc w:val="center"/>
    </w:pPr>
    <w:rPr>
      <w:rFonts w:ascii="Arial" w:hAnsi="Arial"/>
      <w:b/>
    </w:rPr>
  </w:style>
  <w:style w:type="paragraph" w:customStyle="1" w:styleId="TOCPage">
    <w:name w:val="TOC Page"/>
    <w:basedOn w:val="Normal"/>
    <w:next w:val="TOC1"/>
    <w:pPr>
      <w:keepNext/>
      <w:spacing w:after="240"/>
      <w:jc w:val="right"/>
    </w:pPr>
    <w:rPr>
      <w:rFonts w:ascii="Arial" w:hAnsi="Arial"/>
      <w:b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PageHeading">
    <w:name w:val="PageHeading"/>
    <w:basedOn w:val="Normal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Pr>
      <w:b/>
    </w:rPr>
  </w:style>
  <w:style w:type="paragraph" w:customStyle="1" w:styleId="NormalBold12a">
    <w:name w:val="NormalBold12a"/>
    <w:basedOn w:val="Normal"/>
    <w:pPr>
      <w:spacing w:after="240"/>
    </w:pPr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EPName">
    <w:name w:val="EPName"/>
    <w:basedOn w:val="Normal"/>
    <w:rsid w:val="000D67D8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E02365"/>
    <w:pPr>
      <w:spacing w:after="480"/>
      <w:ind w:left="1417"/>
    </w:pPr>
  </w:style>
  <w:style w:type="paragraph" w:customStyle="1" w:styleId="CoverNormal">
    <w:name w:val="CoverNormal"/>
    <w:basedOn w:val="Normal"/>
    <w:pPr>
      <w:ind w:left="1418"/>
    </w:pPr>
  </w:style>
  <w:style w:type="paragraph" w:customStyle="1" w:styleId="CoverReference">
    <w:name w:val="CoverReference"/>
    <w:basedOn w:val="Normal"/>
    <w:rsid w:val="00552899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E02365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spacing w:before="240" w:after="1200"/>
    </w:pPr>
  </w:style>
  <w:style w:type="paragraph" w:styleId="Header">
    <w:name w:val="header"/>
    <w:basedOn w:val="Normal"/>
    <w:link w:val="HeaderChar"/>
    <w:semiHidden/>
    <w:rsid w:val="005B4021"/>
    <w:pPr>
      <w:tabs>
        <w:tab w:val="center" w:pos="4513"/>
        <w:tab w:val="right" w:pos="9026"/>
      </w:tabs>
    </w:pPr>
  </w:style>
  <w:style w:type="paragraph" w:styleId="TOC2">
    <w:name w:val="toc 2"/>
    <w:basedOn w:val="Normal"/>
    <w:next w:val="Normal"/>
    <w:autoRedefine/>
    <w:semiHidden/>
    <w:pPr>
      <w:ind w:left="240"/>
    </w:pPr>
  </w:style>
  <w:style w:type="paragraph" w:styleId="TOC3">
    <w:name w:val="toc 3"/>
    <w:basedOn w:val="Normal"/>
    <w:next w:val="Normal"/>
    <w:autoRedefine/>
    <w:semiHidden/>
    <w:pPr>
      <w:ind w:left="480"/>
    </w:pPr>
  </w:style>
  <w:style w:type="paragraph" w:styleId="TOC4">
    <w:name w:val="toc 4"/>
    <w:basedOn w:val="Normal"/>
    <w:next w:val="Normal"/>
    <w:autoRedefine/>
    <w:semiHidden/>
    <w:pPr>
      <w:ind w:left="720"/>
    </w:pPr>
  </w:style>
  <w:style w:type="paragraph" w:styleId="TOC5">
    <w:name w:val="toc 5"/>
    <w:basedOn w:val="Normal"/>
    <w:next w:val="Normal"/>
    <w:autoRedefine/>
    <w:semiHidden/>
    <w:pPr>
      <w:ind w:left="960"/>
    </w:pPr>
  </w:style>
  <w:style w:type="paragraph" w:styleId="TOC6">
    <w:name w:val="toc 6"/>
    <w:basedOn w:val="Normal"/>
    <w:next w:val="Normal"/>
    <w:autoRedefine/>
    <w:semiHidden/>
    <w:pPr>
      <w:ind w:left="1200"/>
    </w:pPr>
  </w:style>
  <w:style w:type="paragraph" w:styleId="TOC7">
    <w:name w:val="toc 7"/>
    <w:basedOn w:val="Normal"/>
    <w:next w:val="Normal"/>
    <w:autoRedefine/>
    <w:semiHidden/>
    <w:pPr>
      <w:ind w:left="1440"/>
    </w:pPr>
  </w:style>
  <w:style w:type="paragraph" w:styleId="TOC8">
    <w:name w:val="toc 8"/>
    <w:basedOn w:val="Normal"/>
    <w:next w:val="Normal"/>
    <w:autoRedefine/>
    <w:semiHidden/>
    <w:pPr>
      <w:ind w:left="1680"/>
    </w:pPr>
  </w:style>
  <w:style w:type="paragraph" w:styleId="TOC9">
    <w:name w:val="toc 9"/>
    <w:basedOn w:val="Normal"/>
    <w:next w:val="Normal"/>
    <w:autoRedefine/>
    <w:semiHidden/>
    <w:pPr>
      <w:ind w:left="1920"/>
    </w:pPr>
  </w:style>
  <w:style w:type="character" w:styleId="Hyperlink">
    <w:name w:val="Hyperlink"/>
    <w:uiPriority w:val="99"/>
    <w:semiHidden/>
    <w:rPr>
      <w:color w:val="0000FF"/>
      <w:u w:val="single"/>
    </w:rPr>
  </w:style>
  <w:style w:type="table" w:styleId="TableGrid">
    <w:name w:val="Table Grid"/>
    <w:basedOn w:val="TableNormal"/>
    <w:rsid w:val="00B779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B779E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B779E2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B779E2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0D67D8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0D67D8"/>
    <w:pPr>
      <w:jc w:val="right"/>
    </w:pPr>
  </w:style>
  <w:style w:type="paragraph" w:customStyle="1" w:styleId="EPFooter">
    <w:name w:val="EPFooter"/>
    <w:basedOn w:val="Normal"/>
    <w:rsid w:val="00E0236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erChar">
    <w:name w:val="Header Char"/>
    <w:basedOn w:val="DefaultParagraphFont"/>
    <w:link w:val="Header"/>
    <w:semiHidden/>
    <w:rsid w:val="005B4021"/>
    <w:rPr>
      <w:sz w:val="24"/>
    </w:rPr>
  </w:style>
  <w:style w:type="paragraph" w:customStyle="1" w:styleId="Normal12a">
    <w:name w:val="Normal12a"/>
    <w:basedOn w:val="Normal"/>
    <w:rsid w:val="00B45BCE"/>
    <w:pPr>
      <w:spacing w:after="240"/>
    </w:pPr>
  </w:style>
  <w:style w:type="paragraph" w:styleId="FootnoteText">
    <w:name w:val="footnote text"/>
    <w:basedOn w:val="Normal"/>
    <w:link w:val="FootnoteTextChar"/>
    <w:rsid w:val="00524C6D"/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524C6D"/>
  </w:style>
  <w:style w:type="character" w:styleId="FootnoteReference">
    <w:name w:val="footnote reference"/>
    <w:basedOn w:val="DefaultParagraphFont"/>
    <w:rsid w:val="00524C6D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rsid w:val="00524C6D"/>
    <w:rPr>
      <w:color w:val="605E5C"/>
      <w:shd w:val="clear" w:color="auto" w:fill="E1DFDD"/>
    </w:rPr>
  </w:style>
  <w:style w:type="paragraph" w:customStyle="1" w:styleId="Normal24a">
    <w:name w:val="Normal24a"/>
    <w:basedOn w:val="Normal"/>
    <w:rsid w:val="00303BD8"/>
    <w:pPr>
      <w:spacing w:after="480"/>
    </w:pPr>
  </w:style>
  <w:style w:type="paragraph" w:customStyle="1" w:styleId="Footprint12b">
    <w:name w:val="Footprint12b"/>
    <w:basedOn w:val="Normal"/>
    <w:rsid w:val="00303BD8"/>
    <w:pPr>
      <w:spacing w:before="240"/>
    </w:pPr>
    <w:rPr>
      <w:szCs w:val="24"/>
    </w:rPr>
  </w:style>
  <w:style w:type="paragraph" w:styleId="Footer">
    <w:name w:val="footer"/>
    <w:basedOn w:val="Normal"/>
    <w:link w:val="FooterChar"/>
    <w:semiHidden/>
    <w:rsid w:val="00303BD8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semiHidden/>
    <w:rsid w:val="00303BD8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06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4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6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10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5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22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agree_interinstit/2021/611/oj" TargetMode="External"/><Relationship Id="rId1" Type="http://schemas.openxmlformats.org/officeDocument/2006/relationships/hyperlink" Target="http://data.europa.eu/eli/reg/2010/1093/o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CHIGN~1\AppData\Local\Temp\PR_NLE_EconGov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ACE8C8-DEC5-4EFB-8676-E60EDDA99C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PR_NLE_EconGov.dotx</Template>
  <TotalTime>0</TotalTime>
  <Pages>6</Pages>
  <Words>511</Words>
  <Characters>3680</Characters>
  <Application>Microsoft Office Word</Application>
  <DocSecurity>0</DocSecurity>
  <Lines>87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PR_NLE_EconGov</vt:lpstr>
    </vt:vector>
  </TitlesOfParts>
  <Company/>
  <LinksUpToDate>false</LinksUpToDate>
  <CharactersWithSpaces>4144</CharactersWithSpaces>
  <SharedDoc>false</SharedDoc>
  <HLinks>
    <vt:vector size="18" baseType="variant">
      <vt:variant>
        <vt:i4>2031678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_Toc418864456</vt:lpwstr>
      </vt:variant>
      <vt:variant>
        <vt:i4>2031678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_Toc418864455</vt:lpwstr>
      </vt:variant>
      <vt:variant>
        <vt:i4>2031678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_Toc418864454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PR_NLE_EconGov</dc:title>
  <dc:subject/>
  <dc:creator>CHIGNESSE Regine</dc:creator>
  <cp:keywords/>
  <dc:description/>
  <cp:lastModifiedBy>MATHERS Margarita</cp:lastModifiedBy>
  <cp:revision>2</cp:revision>
  <cp:lastPrinted>2005-10-17T14:34:00Z</cp:lastPrinted>
  <dcterms:created xsi:type="dcterms:W3CDTF">2026-03-02T13:18:00Z</dcterms:created>
  <dcterms:modified xsi:type="dcterms:W3CDTF">2026-03-02T13:18:00Z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Created with">
    <vt:lpwstr>10.2.1 Build [20260110]</vt:lpwstr>
  </property>
  <property fmtid="{D5CDD505-2E9C-101B-9397-08002B2CF9AE}" pid="4" name="LastEdited with">
    <vt:lpwstr>10.2.1 Build [20260110]</vt:lpwstr>
  </property>
  <property fmtid="{D5CDD505-2E9C-101B-9397-08002B2CF9AE}" pid="5" name="&lt;FdR&gt;">
    <vt:lpwstr>1337005</vt:lpwstr>
  </property>
  <property fmtid="{D5CDD505-2E9C-101B-9397-08002B2CF9AE}" pid="6" name="&lt;Type&gt;">
    <vt:lpwstr>PR</vt:lpwstr>
  </property>
  <property fmtid="{D5CDD505-2E9C-101B-9397-08002B2CF9AE}" pid="7" name="&lt;ModelCod&gt;">
    <vt:lpwstr>\\eiciBRUpr1\pdocep$\DocEP\DOCS\General\PR\PR_NonLeg\Other\PR_NLE_EconGov.dotx(17/04/2020 18:28:11)</vt:lpwstr>
  </property>
  <property fmtid="{D5CDD505-2E9C-101B-9397-08002B2CF9AE}" pid="8" name="&lt;ModelTra&gt;">
    <vt:lpwstr>\\eiciBRUpr1\pdocep$\DocEP\TRANSFIL\EN\PR_NLE_EconGov.EN(28/08/2024 09:43:01)</vt:lpwstr>
  </property>
  <property fmtid="{D5CDD505-2E9C-101B-9397-08002B2CF9AE}" pid="9" name="&lt;Model&gt;">
    <vt:lpwstr>PR_NLE_EconGov</vt:lpwstr>
  </property>
  <property fmtid="{D5CDD505-2E9C-101B-9397-08002B2CF9AE}" pid="10" name="FooterPath">
    <vt:lpwstr>PR\1337005LT.docx</vt:lpwstr>
  </property>
  <property fmtid="{D5CDD505-2E9C-101B-9397-08002B2CF9AE}" pid="11" name="PE number">
    <vt:lpwstr>784.336</vt:lpwstr>
  </property>
  <property fmtid="{D5CDD505-2E9C-101B-9397-08002B2CF9AE}" pid="12" name="SendToEpades">
    <vt:lpwstr>OK - 2026/02/16 11:28</vt:lpwstr>
  </property>
  <property fmtid="{D5CDD505-2E9C-101B-9397-08002B2CF9AE}" pid="13" name="SDLStudio">
    <vt:lpwstr/>
  </property>
  <property fmtid="{D5CDD505-2E9C-101B-9397-08002B2CF9AE}" pid="14" name="Bookout">
    <vt:lpwstr>OK - 2026/03/02 14:18</vt:lpwstr>
  </property>
</Properties>
</file>