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2025/2208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{19/02/2026}</w:t>
      </w:r>
      <w:r>
        <w:t>19.2.2026</w:t>
      </w:r>
      <w:r>
        <w:rPr>
          <w:rStyle w:val="HideTWBExt"/>
        </w:rPr>
        <w:t>&lt;/Date&gt;</w:t>
      </w:r>
    </w:p>
    <w:p>
      <w:pPr>
        <w:pStyle w:val="CoverDocType24a"/>
      </w:pPr>
      <w:r>
        <w:rPr>
          <w:rStyle w:val="HideTWBExt"/>
        </w:rPr>
        <w:t>&lt;TitreType&gt;</w:t>
      </w:r>
      <w:r>
        <w:t>NÁVRH ZPRÁVY</w:t>
      </w:r>
      <w:r>
        <w:rPr>
          <w:rStyle w:val="HideTWBExt"/>
        </w:rPr>
        <w:t>&lt;/TitreType&gt;</w:t>
      </w:r>
    </w:p>
    <w:p>
      <w:pPr>
        <w:pStyle w:val="CoverNormal"/>
      </w:pPr>
      <w:r>
        <w:rPr>
          <w:rStyle w:val="HideTWBExt"/>
        </w:rPr>
        <w:t>&lt;Titre&gt;</w:t>
      </w:r>
      <w:r>
        <w:t>o digitálních aktivech – výzvy pro konkurenceschopnost a integritu finančního sytému EU</w:t>
      </w:r>
      <w:r>
        <w:rPr>
          <w:rStyle w:val="HideTWBExt"/>
        </w:rPr>
        <w:t>&lt;/Titre&gt;</w:t>
      </w:r>
    </w:p>
    <w:p>
      <w:pPr>
        <w:pStyle w:val="CoverNormal24a"/>
      </w:pPr>
      <w:r>
        <w:rPr>
          <w:rStyle w:val="HideTWBExt"/>
        </w:rPr>
        <w:t>&lt;DocRef&gt;</w:t>
      </w:r>
      <w:r>
        <w:t>(2025/2208(INI))</w:t>
      </w:r>
      <w:r>
        <w:rPr>
          <w:rStyle w:val="HideTWBExt"/>
        </w:rPr>
        <w:t>&lt;/DocRef&gt;</w:t>
      </w:r>
    </w:p>
    <w:p>
      <w:pPr>
        <w:pStyle w:val="CoverNormal24a"/>
      </w:pPr>
      <w:r>
        <w:rPr>
          <w:rStyle w:val="HideTWBExt"/>
        </w:rPr>
        <w:t>&lt;Commission&gt;</w:t>
      </w:r>
      <w:r>
        <w:rPr>
          <w:rStyle w:val="HideTWBInt"/>
        </w:rPr>
        <w:t>{ECON}</w:t>
      </w:r>
      <w:r>
        <w:t>Hospodářský a měnový výbor</w:t>
      </w:r>
      <w:r>
        <w:rPr>
          <w:rStyle w:val="HideTWBExt"/>
        </w:rPr>
        <w:t>&lt;/Commission&gt;</w:t>
      </w:r>
    </w:p>
    <w:p>
      <w:pPr>
        <w:pStyle w:val="CoverNormal24a"/>
      </w:pPr>
      <w:r>
        <w:t>Zpravodajka</w:t>
      </w:r>
      <w:r>
        <w:t xml:space="preserve">: </w:t>
      </w:r>
      <w:r>
        <w:rPr>
          <w:rStyle w:val="HideTWBExt"/>
        </w:rPr>
        <w:t>&lt;Depute&gt;</w:t>
      </w:r>
      <w:r>
        <w:t>Johan Van Overtveldt</w:t>
      </w:r>
      <w:r>
        <w:rPr>
          <w:rStyle w:val="HideTWBExt"/>
        </w:rPr>
        <w:t>&lt;/Depute&gt;</w:t>
      </w:r>
    </w:p>
    <w:p>
      <w:r>
        <w:br w:type="page"/>
      </w:r>
      <w:r>
        <w:t>PR_INI</w:t>
      </w:r>
    </w:p>
    <w:p>
      <w:pPr>
        <w:pStyle w:val="TOCHeading"/>
      </w:pPr>
      <w:r>
        <w:t>OBSAH</w:t>
      </w:r>
    </w:p>
    <w:p>
      <w:pPr>
        <w:pStyle w:val="TOCPage"/>
      </w:pPr>
      <w:r>
        <w:t>Strana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NÁVRH USNESENÍ EVROPSKÉHO PARLAMENTU</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VYSVĚTLUJÍCÍ PROHLÁŠENÍ</w:t>
      </w:r>
      <w:r>
        <w:tab/>
      </w:r>
      <w:r>
        <w:fldChar w:fldCharType="begin"/>
      </w:r>
      <w:r>
        <w:instrText xml:space="preserve"> PAGEREF _Toc256000001 \h </w:instrText>
      </w:r>
      <w:r>
        <w:fldChar w:fldCharType="separate"/>
      </w:r>
      <w:r>
        <w:t>7</w:t>
      </w:r>
      <w:r>
        <w:fldChar w:fldCharType="end"/>
      </w:r>
    </w:p>
    <w:p>
      <w:pPr>
        <w:pStyle w:val="TOC1"/>
      </w:pPr>
      <w:r>
        <w:fldChar w:fldCharType="end"/>
      </w:r>
    </w:p>
    <w:p>
      <w:r>
        <w:br w:type="page"/>
      </w:r>
    </w:p>
    <w:p>
      <w:pPr>
        <w:pStyle w:val="PageHeading"/>
      </w:pPr>
      <w:bookmarkStart w:id="0" w:name="_Toc256000000"/>
      <w:r>
        <w:t>NÁVRH USNESENÍ EVROPSKÉHO PARLAMENTU</w:t>
      </w:r>
      <w:bookmarkEnd w:id="0"/>
    </w:p>
    <w:p>
      <w:pPr>
        <w:pStyle w:val="NormalBold"/>
      </w:pPr>
      <w:r>
        <w:t>o digitálních aktivech – výzvy pro konkurenceschopnost a integritu finančního sytému EU</w:t>
      </w:r>
    </w:p>
    <w:p>
      <w:pPr>
        <w:pStyle w:val="NormalBold"/>
      </w:pPr>
    </w:p>
    <w:p>
      <w:pPr>
        <w:pStyle w:val="NormalBold12a"/>
      </w:pPr>
      <w:r>
        <w:t>(</w:t>
      </w:r>
      <w:r>
        <w:t>2025/2208(INI)</w:t>
      </w:r>
      <w:r>
        <w:t>)</w:t>
      </w:r>
    </w:p>
    <w:p>
      <w:pPr>
        <w:pStyle w:val="Normal12"/>
      </w:pPr>
      <w:r>
        <w:t>Evropský parlament,</w:t>
      </w:r>
    </w:p>
    <w:p>
      <w:pPr>
        <w:pStyle w:val="NormalHanging"/>
      </w:pPr>
      <w:r>
        <w:t>–</w:t>
      </w:r>
      <w:r>
        <w:tab/>
      </w:r>
      <w:r>
        <w:t xml:space="preserve">s ohledem na přezkum týkající se finanční stability, provedený Evropskou centrální </w:t>
      </w:r>
      <w:r>
        <w:t>bankou</w:t>
      </w:r>
      <w:r>
        <w:t xml:space="preserve"> (ECB), z listopadu 2025,</w:t>
      </w:r>
    </w:p>
    <w:p>
      <w:pPr>
        <w:pStyle w:val="NormalHanging"/>
      </w:pPr>
      <w:r>
        <w:t>–</w:t>
      </w:r>
      <w:r>
        <w:tab/>
      </w:r>
      <w:r>
        <w:t>s ohledem na doporučení Evropské rady pro systémová rizika (ESRB) ze dne 25. září 2025 o systémech stablecoinů ze třetích zemí s více emitenty,</w:t>
      </w:r>
    </w:p>
    <w:p>
      <w:pPr>
        <w:pStyle w:val="NormalHanging"/>
      </w:pPr>
      <w:r>
        <w:t>–</w:t>
      </w:r>
      <w:r>
        <w:tab/>
      </w:r>
      <w:r>
        <w:t>s ohledem na zprávu Evropské rady pro systémová rizika (ESRB) z října 2025 nazvanou „Crypto-assets and decentralised finance – Report on stablecoins, crypto-investment products and multi-function groups“(Kryptoaktiva a decentralizované finance – zpráva o stablecoinech, kruptoinvestičních produktech a multifunkčních skupinách),</w:t>
      </w:r>
    </w:p>
    <w:p>
      <w:pPr>
        <w:pStyle w:val="NormalHanging"/>
      </w:pPr>
      <w:r>
        <w:t>–</w:t>
      </w:r>
      <w:r>
        <w:tab/>
      </w:r>
      <w:r>
        <w:t>s ohledem na zprávu Evropského orgánu pro bankovnictví (EBA) z prosince 2024 nazvanou „Report on tokenised deposits“ (Zpráva o tokenizovaných vkladech),</w:t>
      </w:r>
    </w:p>
    <w:p>
      <w:pPr>
        <w:pStyle w:val="NormalHanging"/>
      </w:pPr>
      <w:r>
        <w:t>–</w:t>
      </w:r>
      <w:r>
        <w:tab/>
      </w:r>
      <w:r>
        <w:t>s ohledem na publikaci Mezinárodního měnového fondu o financích a rozvoji, svazek 62, č. 3, ze září 2025 nazvanou „Stablecoins and the future of finance“ (Stablecoiny a budoucnost financí),</w:t>
      </w:r>
    </w:p>
    <w:p>
      <w:pPr>
        <w:pStyle w:val="NormalHanging"/>
      </w:pPr>
      <w:r>
        <w:t>–</w:t>
      </w:r>
      <w:r>
        <w:tab/>
      </w:r>
      <w:r>
        <w:t>s ohledem na zprávu Mezinárodní organizace komisí pro cenné papíry</w:t>
      </w:r>
      <w:r>
        <w:rPr>
          <w:b/>
        </w:rPr>
        <w:t xml:space="preserve"> </w:t>
      </w:r>
      <w:r>
        <w:t>z listopadu 2025 nazvanou „Tokenization of financial assets“ (Tokenizace finančních aktiv),</w:t>
      </w:r>
    </w:p>
    <w:p>
      <w:pPr>
        <w:pStyle w:val="NormalHanging"/>
      </w:pPr>
      <w:r>
        <w:t>–</w:t>
      </w:r>
      <w:r>
        <w:tab/>
      </w:r>
      <w:r>
        <w:t>s ohledem na výroční hospodářskou zprávu Banky pro mezinárodní platby (BIS) z června 2025,</w:t>
      </w:r>
    </w:p>
    <w:p>
      <w:pPr>
        <w:pStyle w:val="NormalHanging"/>
      </w:pPr>
      <w:r>
        <w:t>–</w:t>
      </w:r>
      <w:r>
        <w:tab/>
      </w:r>
      <w:r>
        <w:t>s ohledem na zprávu Rady pro finanční stabilitu (FSB) ze dne 22. října 2024 nazvanou „Plán provádění politiky skupiny G20 v oblasti kryptoaktiv“,</w:t>
      </w:r>
    </w:p>
    <w:p>
      <w:pPr>
        <w:pStyle w:val="NormalHanging"/>
      </w:pPr>
      <w:r>
        <w:t>–</w:t>
      </w:r>
      <w:r>
        <w:tab/>
      </w:r>
      <w:r>
        <w:t>s ohledem na zprávu Rady pro finanční stabilitu ze dne 22. října 2024 nazvanou „Dopady tokenizace na finanční stabilitu“,</w:t>
      </w:r>
    </w:p>
    <w:p>
      <w:pPr>
        <w:pStyle w:val="NormalHanging"/>
      </w:pPr>
      <w:r>
        <w:t>–</w:t>
      </w:r>
      <w:r>
        <w:tab/>
      </w:r>
      <w:r>
        <w:t>s ohledem na konzultační dokument Bank of England ze dne 10. listopadu 2025 nazvaný „Návrh regulačního režimu pro systémové stablecoiny denominované v librách šterlinků“,</w:t>
      </w:r>
    </w:p>
    <w:p>
      <w:pPr>
        <w:pStyle w:val="NormalHanging"/>
      </w:pPr>
      <w:r>
        <w:t>–</w:t>
      </w:r>
      <w:r>
        <w:tab/>
      </w:r>
      <w:r>
        <w:t>s ohledem na informační sdělení oddělení pro kontrolu správy ekonomických záležitostí a HMU z listopadu 2025 nazvané „Digitální aktiva: Regulační rámec EU, zavádění na trh, rizika a výzvy“,</w:t>
      </w:r>
    </w:p>
    <w:p>
      <w:pPr>
        <w:pStyle w:val="NormalHanging"/>
      </w:pPr>
      <w:r>
        <w:t>–</w:t>
      </w:r>
      <w:r>
        <w:tab/>
      </w:r>
      <w:r>
        <w:t>s ohledem na článek 55 jednacího řádu,</w:t>
      </w:r>
    </w:p>
    <w:p>
      <w:pPr>
        <w:pStyle w:val="NormalHanging"/>
      </w:pPr>
      <w:r>
        <w:t>–</w:t>
      </w:r>
      <w:r>
        <w:tab/>
      </w:r>
      <w:r>
        <w:t>s ohledem na zprávu Hospodářského a měnového výboru (A10-0000/2026),</w:t>
      </w:r>
    </w:p>
    <w:p>
      <w:pPr>
        <w:pStyle w:val="NormalHanging"/>
      </w:pPr>
      <w:r>
        <w:t>A.</w:t>
      </w:r>
      <w:r>
        <w:tab/>
      </w:r>
      <w:r>
        <w:t>vzhledem k tomu, že podle průzkumu ECB o očekáváních spotřebitelů z listopadu 2024 uvedlo v průměru 9,7 % respondentů průzkumu nebo někdo z nich ve svých kryptoaktivech ve vlastnictví domácnosti, z nichž 54 % uvedlo držbu v hodnotě nižší než 1 000 EUR a 91 % vykázalo držbu v hodnotě nižší než 20 000 EUR;</w:t>
      </w:r>
    </w:p>
    <w:p>
      <w:pPr>
        <w:pStyle w:val="NormalHanging"/>
      </w:pPr>
      <w:r>
        <w:t>B.</w:t>
      </w:r>
      <w:r>
        <w:tab/>
      </w:r>
      <w:r>
        <w:t>vzhledem k tomu, že celková globální tržní kapitalizace kryptoaktiv činila dne 10. února 2026 2,03 bilionu EUR, přičemž podíl stabilních kryptoměn na trhu činil 12,9 %, tj. 261 miliard EUR, a to na základě soukromých zdrojů údajů;</w:t>
      </w:r>
    </w:p>
    <w:p>
      <w:pPr>
        <w:pStyle w:val="NormalHanging"/>
      </w:pPr>
      <w:r>
        <w:t>C.</w:t>
      </w:r>
      <w:r>
        <w:tab/>
      </w:r>
      <w:r>
        <w:t>vzhledem k tomu, že tokenizovaná aktiva představovala v únoru 2026 přibližně 1 % globálních digitálních aktiv, přičemž tento podíl rychle roste, a to na základě neharmonizovaných soukromých zdrojů údajů;</w:t>
      </w:r>
    </w:p>
    <w:p>
      <w:pPr>
        <w:pStyle w:val="NormalHanging"/>
      </w:pPr>
      <w:r>
        <w:t>D.</w:t>
      </w:r>
      <w:r>
        <w:tab/>
      </w:r>
      <w:r>
        <w:t>vzhledem k tomu, že v roce 2025 představovala celosvětová pracovní síla v oblasti kryptoměn více než 1,6 milionu odborníků, z nichž EU hostí velký, ale klesající podíl, a to na základě soukromých zdrojů údajů;</w:t>
      </w:r>
    </w:p>
    <w:p>
      <w:pPr>
        <w:pStyle w:val="NormalHanging"/>
      </w:pPr>
      <w:r>
        <w:t>E.</w:t>
      </w:r>
      <w:r>
        <w:tab/>
      </w:r>
      <w:r>
        <w:t>vzhledem k tomu, že čl. 2 odst. 1 nařízení (EU) 2022/858 </w:t>
      </w:r>
      <w:r>
        <w:rPr>
          <w:rStyle w:val="FootnoteReference"/>
        </w:rPr>
        <w:footnoteReference w:customMarkFollows="1" w:id="2"/>
        <w:t xml:space="preserve">1</w:t>
      </w:r>
      <w:r>
        <w:t xml:space="preserve"> definuje „technologii distribuovaného registru“ jako „technologii, která umožňuje provozování a používání distribuovaných registrů“; vzhledem k tomu, že čl. 2 odst. 2 definuje „distribuovaný registr“ jako „úložiště informací, které vede evidenci o transakcích a které je distribuováno prostřednictvím souboru síťových uzlů DLT a synchronizováno mezi nimi pomocí mechanismu konsensu“;</w:t>
      </w:r>
    </w:p>
    <w:p>
      <w:pPr>
        <w:pStyle w:val="NormalHanging"/>
      </w:pPr>
      <w:r>
        <w:t>F.</w:t>
      </w:r>
      <w:r>
        <w:tab/>
      </w:r>
      <w:r>
        <w:t>vzhledem k tomu, že nařízení (EU) 2023/1114 o trzích kryptoaktiv</w:t>
      </w:r>
      <w:r>
        <w:rPr>
          <w:rStyle w:val="FootnoteReference"/>
        </w:rPr>
        <w:footnoteReference w:customMarkFollows="1" w:id="3"/>
        <w:t xml:space="preserve">2</w:t>
      </w:r>
      <w:r>
        <w:t xml:space="preserve"> (MiCA) vytváří v EU harmonizovaný rámec pro kryptoaktiva tím, že rozlišuje tři hlavní kategorie, a to elektronické peněžní tokeny, které se snaží stabilizovat svou hodnotu navázáním na jedinou úřední měnu, tokeny vázané na aktiva, jejichž cílem je zachovat stabilní hodnotu navázáním na jinou hodnotu nebo právo nebo jejich kombinaci, včetně jedné nebo více úředních měn, a jiná kryptoaktiva, čímž se rozumí digitální znázornění hodnoty nebo práva, které lze převádět a ukládat elektronicky pomocí sdíleného registru nebo podobné technologie, a které nespadají do ostatních kategorií;</w:t>
      </w:r>
    </w:p>
    <w:p>
      <w:pPr>
        <w:pStyle w:val="NormalHanging"/>
      </w:pPr>
      <w:r>
        <w:t>G.</w:t>
      </w:r>
      <w:r>
        <w:tab/>
      </w:r>
      <w:r>
        <w:t>vzhledem k tomu, že nařízení MiCA podle svého čl. 2 odst. 4 vylučuje z oblasti působnosti kryptoaktiva, která jsou podle stávajících právních předpisů EU považována za finanční nástroje, vklady, fondy, sekuritizace, pojištění nebo penzijní produkty, čímž zajišťuje, aby tato kryptoaktiva i nadále podléhala příslušným odvětvovým legislativním rámcům a odrážela model dohledu nad finančními službami EU založený na produktech;</w:t>
      </w:r>
    </w:p>
    <w:p>
      <w:pPr>
        <w:pStyle w:val="NormalHanging"/>
      </w:pPr>
      <w:r>
        <w:t>H.</w:t>
      </w:r>
      <w:r>
        <w:tab/>
      </w:r>
      <w:r>
        <w:t>vzhledem k tomu, že regulační přístup ve Spojených státech se stále vyvíjí a tvůrci politik a regulační orgány USA obecně odkazují namísto na „digitální aktiva“, která jsou obecně chápána tak, že zahrnují kryptograficky digitální znázornění hodnoty nebo práv zajištěných ve sdíleném registru, včetně kryptoměn, stablecoinů a některých tokenizovaných nástrojů;</w:t>
      </w:r>
    </w:p>
    <w:p>
      <w:pPr>
        <w:pStyle w:val="Normal12a"/>
      </w:pPr>
      <w:r>
        <w:rPr>
          <w:b/>
          <w:i/>
        </w:rPr>
        <w:t>Přehled</w:t>
      </w:r>
    </w:p>
    <w:p>
      <w:pPr>
        <w:pStyle w:val="NormalHanging12a"/>
      </w:pPr>
      <w:r>
        <w:t>1.</w:t>
      </w:r>
      <w:r>
        <w:tab/>
      </w:r>
      <w:r>
        <w:t>podporuje dlouhodobý cíl, kterým je celosystémový, na činnostech založený a technologicky neutrální přístup k regulačnímu rámci EU pro finanční služby;</w:t>
      </w:r>
    </w:p>
    <w:p>
      <w:pPr>
        <w:pStyle w:val="NormalHanging12a"/>
      </w:pPr>
      <w:r>
        <w:t>2.</w:t>
      </w:r>
      <w:r>
        <w:tab/>
      </w:r>
      <w:r>
        <w:t>zdůrazňuje, že vznik nových technologií představuje pro regulační a dohledový rámec nové výzvy;</w:t>
      </w:r>
    </w:p>
    <w:p>
      <w:pPr>
        <w:pStyle w:val="NormalHanging12a"/>
      </w:pPr>
      <w:r>
        <w:t>3.</w:t>
      </w:r>
      <w:r>
        <w:tab/>
      </w:r>
      <w:r>
        <w:t>zdůrazňuje potenciál kryptograficky zabezpečených distribuovaných účetních registrů a podobných technologií v oblasti inovací a konektivity pro infrastrukturu finančních služeb, a to jak v rámci EU, tak pro globální úlohu EU;</w:t>
      </w:r>
    </w:p>
    <w:p>
      <w:pPr>
        <w:pStyle w:val="Normal12a"/>
      </w:pPr>
      <w:r>
        <w:rPr>
          <w:b/>
          <w:i/>
        </w:rPr>
        <w:t>Kryptoaktiva</w:t>
      </w:r>
    </w:p>
    <w:p>
      <w:pPr>
        <w:pStyle w:val="NormalHanging12a"/>
      </w:pPr>
      <w:r>
        <w:t>4.</w:t>
      </w:r>
      <w:r>
        <w:tab/>
      </w:r>
      <w:r>
        <w:t>zdůrazňuje, že je důležité posílit datové kapacity, zejména pokud jde o vliv v odvětví kryptoměn a propojení se sektorem nebankovních finančních institucí;</w:t>
      </w:r>
    </w:p>
    <w:p>
      <w:pPr>
        <w:pStyle w:val="NormalHanging12a"/>
      </w:pPr>
      <w:r>
        <w:t>5.</w:t>
      </w:r>
      <w:r>
        <w:tab/>
      </w:r>
      <w:r>
        <w:t>vyzývá EBA, Evropský orgán pro cenné papíry a trhy, Orgán pro boj proti praní peněz a financování terorismu, Evropský orgán pro pojišťovnictví a zaměstnanecké penzijní pojištění, příslušné vnitrostátní orgány, ECB a ESRB, aby posílily dialog o dohledu nad významnými multifunkčními skupinami; zdůrazňuje, že je třeba sladit politický rámec nařízení MiCA pro významné nebankovní nástroje peněžního trhu;</w:t>
      </w:r>
    </w:p>
    <w:p>
      <w:pPr>
        <w:pStyle w:val="NormalHanging12a"/>
      </w:pPr>
      <w:r>
        <w:t>6.</w:t>
      </w:r>
      <w:r>
        <w:tab/>
      </w:r>
      <w:r>
        <w:t>vyjadřuje politování nad úlohou kryptoaktiv při vyhýbání se předpisům a sankcím v oblasti boje proti praní peněz a financování terorismu; zdůrazňuje, že je důležité nalézt lepší rovnováhu mezi soukromím a transparentností v normách „poznej svého zákazníka“ a sledováním plateb;</w:t>
      </w:r>
    </w:p>
    <w:p>
      <w:pPr>
        <w:pStyle w:val="Normal12a"/>
      </w:pPr>
      <w:r>
        <w:rPr>
          <w:b/>
          <w:i/>
        </w:rPr>
        <w:t>Tokenizace</w:t>
      </w:r>
    </w:p>
    <w:p>
      <w:pPr>
        <w:pStyle w:val="NormalHanging12a"/>
      </w:pPr>
      <w:r>
        <w:t>7.</w:t>
      </w:r>
      <w:r>
        <w:tab/>
      </w:r>
      <w:r>
        <w:t>konstatuje, že 3. bod odůvodnění nařízení (EU) 2022/858 definuje „tokenizaci“ finančních nástrojů jako digitální zastoupení finančních nástrojů ve sdíleném registru nebo vydávání tradičních tříd aktiv v tokenizované podobě, aby bylo možné je vydávat, uchovávat a převádět ve sdíleném registru;</w:t>
      </w:r>
    </w:p>
    <w:p>
      <w:pPr>
        <w:pStyle w:val="NormalHanging12a"/>
      </w:pPr>
      <w:r>
        <w:t>8.</w:t>
      </w:r>
      <w:r>
        <w:tab/>
      </w:r>
      <w:r>
        <w:t>vítá potenciální přínosy tokenizace pro obchodování s finančními aktivy, jako je vyšší účinnost a transparentnost, přičemž konstatuje, že by měla být monitorována její zranitelnost; podporuje Banku pro mezinárodní platby v přeshraniční spolupráci v oblasti plateb;</w:t>
      </w:r>
    </w:p>
    <w:p>
      <w:pPr>
        <w:pStyle w:val="NormalHanging12a"/>
      </w:pPr>
      <w:r>
        <w:t>9.</w:t>
      </w:r>
      <w:r>
        <w:tab/>
      </w:r>
      <w:r>
        <w:t>bere na vědomí probíhající diskuse o pilotním režimu DLT;</w:t>
      </w:r>
    </w:p>
    <w:p>
      <w:pPr>
        <w:pStyle w:val="Normal12a"/>
      </w:pPr>
      <w:r>
        <w:rPr>
          <w:b/>
          <w:i/>
        </w:rPr>
        <w:t>Stablecoiny</w:t>
      </w:r>
    </w:p>
    <w:p>
      <w:pPr>
        <w:pStyle w:val="NormalHanging12a"/>
      </w:pPr>
      <w:r>
        <w:t>10.</w:t>
      </w:r>
      <w:r>
        <w:tab/>
      </w:r>
      <w:r>
        <w:t>konstatuje, že stabilní kryptoměny mohou podle právního rámce nařízení MiCA spadat do dvou kategorií, a to tokeny vázané na aktiva a elektronické peněžní tokeny;</w:t>
      </w:r>
    </w:p>
    <w:p>
      <w:pPr>
        <w:pStyle w:val="NormalHanging12a"/>
      </w:pPr>
      <w:r>
        <w:t>11.</w:t>
      </w:r>
      <w:r>
        <w:tab/>
      </w:r>
      <w:r>
        <w:t>konstatuje, že stablecoiny jsou formou tvorby soukromých peněz a že jejich ekonomická funkce vykazuje podobnosti se směnnými kurzy, fondy peněžního trhu a úzkými bankami; zdůrazňuje však, že nařízení MiCA zakazuje vydavatelům elektronických peněžních tokenů a poskytovatelům služeb souvisejících s kryptoaktivy přímo či nepřímo poskytovat úroky v souvislosti s elektronickými peněžními tokeny a že stablecoiny nemají přímý přístup k centrálním bankám a nevztahují se na ně veřejné záruky za vklady; bere na vědomí riziko devalvace stablecoinů;</w:t>
      </w:r>
    </w:p>
    <w:p>
      <w:pPr>
        <w:pStyle w:val="NormalHanging12a"/>
      </w:pPr>
      <w:r>
        <w:t>12.</w:t>
      </w:r>
      <w:r>
        <w:tab/>
      </w:r>
      <w:r>
        <w:t>uznává nedostatečnou právní jistotu v právu EU, pokud jde o možnost vícenásobného vydávání stablecoinů subjektem z EU a subjektem mimo EU, kdy jsou digitální stablecoiny vydávané oběma subjekty plně zastupitelné a nerozlišitelné; vyzývá Komisi, aby v této věci urychleně předložila legislativní návrh s cílem zajistit právní jistotu a poskytnout silné obezřetnostní záruky, spolehlivá ujednání o spolupráci a posílené protokoly pro řešení krizí;</w:t>
      </w:r>
    </w:p>
    <w:p>
      <w:pPr>
        <w:pStyle w:val="Normal12a"/>
      </w:pPr>
      <w:r>
        <w:rPr>
          <w:b/>
          <w:i/>
        </w:rPr>
        <w:t>Další aspekty</w:t>
      </w:r>
    </w:p>
    <w:p>
      <w:pPr>
        <w:pStyle w:val="NormalHanging12a"/>
      </w:pPr>
      <w:r>
        <w:t>13.</w:t>
      </w:r>
      <w:r>
        <w:tab/>
      </w:r>
      <w:r>
        <w:t>zdůrazňuje, že interoperabilita má zásadní význam v oblasti digitálních financí a vyžaduje například přenosnou identitu a ověřitelné certifikáty jako základní složky infrastruktury trhu napříč sítěmi; zdůrazňuje, že přístupy založené na identifikátoru právnické osoby/ověřitelném identifikátoru právnické osoby by měly být posuzovány jako nástroje úrovně infrastruktury;</w:t>
      </w:r>
    </w:p>
    <w:p>
      <w:pPr>
        <w:pStyle w:val="NormalHanging12a"/>
      </w:pPr>
      <w:r>
        <w:t>14.</w:t>
      </w:r>
      <w:r>
        <w:tab/>
      </w:r>
      <w:r>
        <w:t>bere na vědomí probíhající diskuse o digitálním euru;</w:t>
      </w:r>
    </w:p>
    <w:p>
      <w:pPr>
        <w:pStyle w:val="NormalHanging12a"/>
      </w:pPr>
      <w:r>
        <w:t>15.</w:t>
      </w:r>
      <w:r>
        <w:tab/>
      </w:r>
      <w:r>
        <w:t>vyjadřuje politování nad závislostí EU na poskytovatelích služeb ze zemí mimo EU, pokud jde o infrastrukturu DLT; zdůrazňuje, že nakládání vlády USA s digitálními aktivy by mělo být sledováno obezřetně;</w:t>
      </w:r>
    </w:p>
    <w:p>
      <w:pPr>
        <w:pStyle w:val="NormalHanging12a"/>
      </w:pPr>
      <w:r>
        <w:t>16.</w:t>
      </w:r>
      <w:r>
        <w:tab/>
      </w:r>
      <w:r>
        <w:t>bere na vědomí probíhající diskuse o dohledu nad poskytovateli služeb souvisejících s kryptoaktivy;</w:t>
      </w:r>
    </w:p>
    <w:p>
      <w:pPr>
        <w:pStyle w:val="NormalCenter12a"/>
      </w:pPr>
      <w:r>
        <w:t>°</w:t>
      </w:r>
    </w:p>
    <w:p>
      <w:pPr>
        <w:pStyle w:val="NormalCenter12a"/>
      </w:pPr>
      <w:r>
        <w:t>°</w:t>
      </w:r>
      <w:r>
        <w:tab/>
      </w:r>
      <w:r>
        <w:t>°</w:t>
      </w:r>
    </w:p>
    <w:p>
      <w:pPr>
        <w:pStyle w:val="NormalHanging12a"/>
      </w:pPr>
      <w:r>
        <w:t>17.</w:t>
      </w:r>
      <w:r>
        <w:tab/>
      </w:r>
      <w:r>
        <w:t>pověřuje svou předsedkyni, aby předala toto usnesení Radě a Komisi.</w:t>
      </w:r>
    </w:p>
    <w:p>
      <w:pPr>
        <w:sectPr>
          <w:footerReference w:type="even" r:id="rId6"/>
          <w:footerReference w:type="default" r:id="rId7"/>
          <w:footerReference w:type="first" r:id="rId8"/>
          <w:pgSz w:w="11909" w:h="16834"/>
          <w:pgMar w:top="1134" w:right="1417" w:bottom="1417" w:left="1417" w:header="1134" w:footer="567"/>
          <w:cols w:space="720"/>
          <w:titlePg/>
        </w:sectPr>
      </w:pPr>
    </w:p>
    <w:p>
      <w:pPr>
        <w:pStyle w:val="PageHeading"/>
      </w:pPr>
      <w:bookmarkStart w:id="1" w:name="_Toc256000001"/>
      <w:r>
        <w:t>VYSVĚTLUJÍCÍ PROHLÁŠENÍ</w:t>
      </w:r>
      <w:bookmarkEnd w:id="1"/>
    </w:p>
    <w:p>
      <w:pPr>
        <w:pStyle w:val="Normal12"/>
      </w:pPr>
      <w:r>
        <w:t xml:space="preserve">V této zprávě zkoumáme dopad vzniku digitálních aktiv na odvětví finančních služeb, a co to znamená pro regulační rámec. Digitálními aktivy se obecně rozumí jakákoli digitální reprezentace hodnoty, která je zaznamenána v kryptograficky zabezpečeném distribuovaném registru. </w:t>
      </w:r>
    </w:p>
    <w:p>
      <w:pPr>
        <w:pStyle w:val="Normal12"/>
      </w:pPr>
      <w:r>
        <w:t>Některé zásady jsou užitečné jako výchozí bod. Cílem by mělo být celosystémové, na činnostech založené a technologicky neutrální hledisko. I když distribuované účetní registry mohou reformovat finanční infrastrukturu, nemění samy o sobě žádné ekonomické funkce, jako je obchodování, zúčtování a vypořádání. Nové technologie vždy přinášejí nové výzvy. Regulační rámec lze jen stěží označit za technologicky neutrální pro veškerý budoucí vývoj a musí se přizpůsobit měnící se realitě. Musí najít rovnováhu mezi podněcováním inovací a předcházením příliš velkému prostoru pro regulatorní arbitráž.</w:t>
      </w:r>
    </w:p>
    <w:p>
      <w:pPr>
        <w:pStyle w:val="Normal12"/>
      </w:pPr>
      <w:r>
        <w:t xml:space="preserve">EU přijala právní předpisy, které tvoří rámec pro kryptoaktiva v nařízení (EU) 2023/1114 o trzích kryptoaktiv (MiCA). Kryptoaktiva, která jsou podle stávajících právních předpisů Unie považována za finanční nástroje, nadále podléhají příslušným odvětvovým legislativním rámcům. </w:t>
      </w:r>
    </w:p>
    <w:p>
      <w:pPr>
        <w:pStyle w:val="Normal12"/>
      </w:pPr>
      <w:r>
        <w:t xml:space="preserve">Na jedné straně přetrvává několik rizik pro odvětví digitálních aktiv. Z makroobezřetnostního hlediska je třeba posílit datové kapacity, aby bylo možné získat lepší představu o finančních rizicích a propojení s ostatními částmi finančních služeb. Předmětem kontroly by měly být multifunkční skupiny, které vytvářejí vazby mezi různými druhy kryptoaktiv. Kryptoaktiva jsou také stále příliš často využívána k obcházení předpisů a sankcí v oblasti boje proti praní peněz a financování terorismu. Jedním z aspektů stablecoinů, které potřebují právní jasnost, je téma více emisí, které se objevilo až po přijetí nařízení MiCA. </w:t>
      </w:r>
    </w:p>
    <w:p>
      <w:pPr>
        <w:pStyle w:val="Normal12"/>
      </w:pPr>
      <w:r>
        <w:t>Na druhé straně by používání distribuovaných účetních registrů v odvětví finančních služeb mohlo mimo jiné zvýšit účinnost a konektivitu. Tokenizace rovněž umožňuje využívat technologii sdíleného registru pro stávající finanční aktiva, což může snížit náklady a zlepšit transparentnost. K odhalení výhod bude stále zapotřebí mnoho pokusů a chyb, zatímco slabá místa bude třeba sledovat.</w:t>
      </w:r>
    </w:p>
    <w:p>
      <w:pPr>
        <w:pStyle w:val="Normal12"/>
      </w:pPr>
      <w:r>
        <w:t>V neposlední řadě se budoucnost digitálních financí utváří nejen v Evropě. Je naprosto nezbytné, aby se Evropa zapojila do globální diskuse. A to jak z hlediska řízení rizik, tak z hlediska transformace finanční infrastruktury, bude nezbytné projednávat spolupráci, normy, propojenost, rovnocennost a regulační požadavky.</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784.381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PR\1337284CS.docx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PR\1337284CS.docx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784.381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PR\1337284CS.docx</w:t>
    </w:r>
    <w:r>
      <w:rPr>
        <w:rStyle w:val="HideTWBExt"/>
      </w:rPr>
      <w:t>&lt;/PathFdR&gt;</w:t>
    </w:r>
    <w:r>
      <w:tab/>
    </w:r>
    <w:r>
      <w:tab/>
    </w:r>
    <w:r>
      <w:t>PE</w:t>
    </w:r>
    <w:r>
      <w:rPr>
        <w:rStyle w:val="HideTWBExt"/>
      </w:rPr>
      <w:t>&lt;NoPE&gt;</w:t>
    </w:r>
    <w:r>
      <w:t>784.381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Nařízení Evropského parlamentu a Rady (EU) 2022/858 ze dne 30. května 2022 o pilotním režimu pro tržní infrastruktury založené na technologii distribuovaného registru a o změně nařízení (EU) č. 600/2014 a (EU) č. 909/2014 a směrnice 2014/65/EU (Úř. věst. L 151, 2.6.2022, s. 1, ELI: </w:t>
      </w:r>
      <w:hyperlink r:id="rId1" w:tgtFrame="http://data.europa.eu/eli/reg/2022/858/oj" w:history="1">
        <w:r>
          <w:rPr>
            <w:rStyle w:val="Hyperlink"/>
          </w:rPr>
          <w:t>http://data.europa.eu/eli/reg/2022/858/oj</w:t>
        </w:r>
      </w:hyperlink>
      <w:r>
        <w:t>).</w:t>
      </w:r>
    </w:p>
  </w:footnote>
  <w:footnote w:id="3">
    <w:p>
      <w:pPr>
        <w:pStyle w:val="FootnoteText"/>
      </w:pPr>
      <w:r>
        <w:rPr>
          <w:vertAlign w:val="superscript"/>
        </w:rPr>
        <w:t>2</w:t>
      </w:r>
      <w:r>
        <w:t xml:space="preserve"> </w:t>
      </w:r>
      <w:r>
        <w:t xml:space="preserve">Nařízení Evropského parlamentu a Rady (EU) 2023/1114 ze dne 31. května 2023 o trzích kryptoaktiv a o změně nařízení (EU) č. 1093/2010 a (EU) č. 1095/2010 a směrnic 2013/36/EU a (EU) 2019/1937 (Úř. věst. L 150, 9.6.2023, s. 40, ELI: </w:t>
      </w:r>
      <w:hyperlink r:id="rId2" w:tgtFrame="http://data.europa.eu/eli/reg/2023/1114/oj" w:history="1">
        <w:r>
          <w:rPr>
            <w:rStyle w:val="Hyperlink"/>
          </w:rPr>
          <w:t>http://data.europa.eu/eli/reg/2023/1114/oj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858/oj" TargetMode="External" /><Relationship Id="rId2" Type="http://schemas.openxmlformats.org/officeDocument/2006/relationships/hyperlink" Target="http://data.europa.eu/eli/reg/2023/111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1642</Words>
  <Characters>10081</Characters>
  <Application>Microsoft Office Word</Application>
  <DocSecurity>0</DocSecurity>
  <Lines>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1337284</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402177</vt:lpwstr>
  </property>
  <property fmtid="{D5CDD505-2E9C-101B-9397-08002B2CF9AE}" pid="7" name="dmxml.render.traceId">
    <vt:lpwstr>69aaba80c06aaa4675686a19f2228f61</vt:lpwstr>
  </property>
  <property fmtid="{D5CDD505-2E9C-101B-9397-08002B2CF9AE}" pid="8" name="FooterPath">
    <vt:lpwstr>PR\1337284CS.doc</vt:lpwstr>
  </property>
  <property fmtid="{D5CDD505-2E9C-101B-9397-08002B2CF9AE}" pid="9" name="PE Number">
    <vt:lpwstr>784.381</vt:lpwstr>
  </property>
  <property fmtid="{D5CDD505-2E9C-101B-9397-08002B2CF9AE}" pid="10" name="UID">
    <vt:lpwstr>eu.europa.europarl-DIN1-2026-0000040722_01.06-cs-01.00_text-xml</vt:lpwstr>
  </property>
</Properties>
</file>