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tbl>
      <w:tblPr>
        <w:jc w:val="lef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488"/>
      </w:tblGrid>
      <w:tr>
        <w:tblPrEx>
          <w:jc w:val="left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0"/>
          <w:trHeight w:hRule="exact" w:val="1420"/>
          <w:jc w:val="left"/>
        </w:trPr>
        <w:tc>
          <w:tcPr>
            <w:tcW w:w="6804" w:type="dxa"/>
            <w:vAlign w:val="center"/>
          </w:tcPr>
          <w:p>
            <w:pPr>
              <w:pStyle w:val="EPName"/>
            </w:pPr>
            <w:r w:rsidR="00A77B3E">
              <w:t>Evropský parlament</w:t>
            </w:r>
          </w:p>
          <w:p>
            <w:pPr>
              <w:pStyle w:val="EPTerm"/>
            </w:pPr>
            <w:r>
              <w:t>2019-2024</w:t>
            </w:r>
          </w:p>
        </w:tc>
        <w:tc>
          <w:tcPr>
            <w:tcW w:w="2488" w:type="dxa"/>
            <w:vAlign w:val="top"/>
          </w:tcPr>
          <w:p>
            <w:pPr>
              <w:pStyle w:val="EPLogo"/>
            </w:pPr>
            <w:r>
              <w:drawing>
                <wp:inline>
                  <wp:extent cx="1162812" cy="647954"/>
                  <wp:docPr id="10000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661753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EMPL</w:t>
      </w:r>
      <w:r>
        <w:rPr>
          <w:rStyle w:val="HideTWBInt"/>
        </w:rPr>
        <w:t>}</w:t>
      </w:r>
      <w:r>
        <w:t>Výbor pro zaměstnanost a sociální věci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LineBottom"/>
      </w:pPr>
    </w:p>
    <w:p>
      <w:pPr>
        <w:pStyle w:val="CoverReference"/>
      </w:pPr>
      <w:r>
        <w:rPr>
          <w:rStyle w:val="HideTWBExt"/>
        </w:rPr>
        <w:t>&lt;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t>2021/2179</w:t>
      </w:r>
      <w:r>
        <w:rPr>
          <w:rStyle w:val="HideTWBExt"/>
        </w:rPr>
        <w:t>&lt;/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RefTypeProc</w:t>
      </w:r>
      <w:r>
        <w:rPr>
          <w:rStyle w:val="HideTWBExt"/>
        </w:rPr>
        <w:t>&gt;</w:t>
      </w:r>
      <w:r>
        <w:t>(INI)</w:t>
      </w:r>
      <w:r>
        <w:rPr>
          <w:rStyle w:val="HideTWBExt"/>
        </w:rPr>
        <w:t>&lt;/</w:t>
      </w:r>
      <w:r>
        <w:rPr>
          <w:rStyle w:val="HideTWBExt"/>
        </w:rPr>
        <w:t>RefTypeProc</w:t>
      </w:r>
      <w:r>
        <w:rPr>
          <w:rStyle w:val="HideTWBExt"/>
        </w:rPr>
        <w:t>&gt;</w:t>
      </w:r>
    </w:p>
    <w:p>
      <w:pPr>
        <w:pStyle w:val="CoverDate"/>
      </w:pPr>
      <w:r>
        <w:rPr>
          <w:rStyle w:val="HideTWBExt"/>
        </w:rPr>
        <w:t>&lt;</w:t>
      </w:r>
      <w:r>
        <w:rPr>
          <w:rStyle w:val="HideTWBExt"/>
        </w:rPr>
        <w:t>Date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08/02/2022</w:t>
      </w:r>
      <w:r>
        <w:rPr>
          <w:rStyle w:val="HideTWBInt"/>
        </w:rPr>
        <w:t>}</w:t>
      </w:r>
      <w:r>
        <w:t>8. 2. 2022</w:t>
      </w:r>
      <w:r>
        <w:rPr>
          <w:rStyle w:val="HideTWBExt"/>
        </w:rPr>
        <w:t>&lt;/</w:t>
      </w:r>
      <w:r>
        <w:rPr>
          <w:rStyle w:val="HideTWBExt"/>
        </w:rPr>
        <w:t>Date</w:t>
      </w:r>
      <w:r>
        <w:rPr>
          <w:rStyle w:val="HideTWBExt"/>
        </w:rPr>
        <w:t>&gt;</w:t>
      </w:r>
    </w:p>
    <w:p>
      <w:pPr>
        <w:pStyle w:val="CoverDocType24a"/>
      </w:pPr>
      <w:r>
        <w:rPr>
          <w:rStyle w:val="HideTWBExt"/>
        </w:rPr>
        <w:t>&lt;</w:t>
      </w:r>
      <w:r>
        <w:rPr>
          <w:rStyle w:val="HideTWBExt"/>
        </w:rPr>
        <w:t>TitreType</w:t>
      </w:r>
      <w:r>
        <w:rPr>
          <w:rStyle w:val="HideTWBExt"/>
        </w:rPr>
        <w:t>&gt;</w:t>
      </w:r>
      <w:r>
        <w:t>NÁVRH ZPRÁVY</w:t>
      </w:r>
      <w:r>
        <w:rPr>
          <w:rStyle w:val="HideTWBExt"/>
        </w:rPr>
        <w:t>&lt;/</w:t>
      </w:r>
      <w:r>
        <w:rPr>
          <w:rStyle w:val="HideTWBExt"/>
        </w:rPr>
        <w:t>TitreType</w:t>
      </w:r>
      <w:r>
        <w:rPr>
          <w:rStyle w:val="HideTWBExt"/>
        </w:rPr>
        <w:t>&gt;</w:t>
      </w:r>
    </w:p>
    <w:p>
      <w:pPr>
        <w:pStyle w:val="CoverNormal"/>
      </w:pPr>
      <w:r>
        <w:rPr>
          <w:rStyle w:val="HideTWBExt"/>
        </w:rPr>
        <w:t>&lt;</w:t>
      </w:r>
      <w:r>
        <w:rPr>
          <w:rStyle w:val="HideTWBExt"/>
        </w:rPr>
        <w:t>Titre</w:t>
      </w:r>
      <w:r>
        <w:rPr>
          <w:rStyle w:val="HideTWBExt"/>
        </w:rPr>
        <w:t>&gt;</w:t>
      </w:r>
      <w:r>
        <w:t>o akčním plánu EU pro sociální ekonomiku</w:t>
      </w:r>
      <w:r>
        <w:rPr>
          <w:rStyle w:val="HideTWBExt"/>
        </w:rPr>
        <w:t>&lt;/</w:t>
      </w:r>
      <w:r>
        <w:rPr>
          <w:rStyle w:val="HideTWBExt"/>
        </w:rPr>
        <w:t>Titre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DocRef</w:t>
      </w:r>
      <w:r>
        <w:rPr>
          <w:rStyle w:val="HideTWBExt"/>
        </w:rPr>
        <w:t>&gt;</w:t>
      </w:r>
      <w:r>
        <w:t>(2021/2179(INI))</w:t>
      </w:r>
      <w:r>
        <w:rPr>
          <w:rStyle w:val="HideTWBExt"/>
        </w:rPr>
        <w:t>&lt;/</w:t>
      </w:r>
      <w:r>
        <w:rPr>
          <w:rStyle w:val="HideTWBExt"/>
        </w:rPr>
        <w:t>DocRef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EMPL</w:t>
      </w:r>
      <w:r>
        <w:rPr>
          <w:rStyle w:val="HideTWBInt"/>
        </w:rPr>
        <w:t>}</w:t>
      </w:r>
      <w:r>
        <w:t>Výbor pro zaměstnanost a sociální věci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CoverNormal24a"/>
      </w:pPr>
      <w:r>
        <w:t>Zpravodaj</w:t>
      </w:r>
      <w:r>
        <w:t xml:space="preserve">: </w:t>
      </w:r>
      <w:r>
        <w:rPr>
          <w:rStyle w:val="HideTWBExt"/>
        </w:rPr>
        <w:t>&lt;</w:t>
      </w:r>
      <w:r>
        <w:rPr>
          <w:rStyle w:val="HideTWBExt"/>
        </w:rPr>
        <w:t>Depute</w:t>
      </w:r>
      <w:r>
        <w:rPr>
          <w:rStyle w:val="HideTWBExt"/>
        </w:rPr>
        <w:t>&gt;</w:t>
      </w:r>
      <w:r>
        <w:t>Jordi Cañas</w:t>
      </w:r>
      <w:r>
        <w:rPr>
          <w:rStyle w:val="HideTWBExt"/>
        </w:rPr>
        <w:t>&lt;/</w:t>
      </w:r>
      <w:r>
        <w:rPr>
          <w:rStyle w:val="HideTWBExt"/>
        </w:rPr>
        <w:t>Depute</w:t>
      </w:r>
      <w:r>
        <w:rPr>
          <w:rStyle w:val="HideTWBExt"/>
        </w:rPr>
        <w:t>&gt;</w:t>
      </w:r>
    </w:p>
    <w:p>
      <w:r>
        <w:br w:type="page"/>
      </w:r>
      <w:r>
        <w:t>PR_INI</w:t>
      </w:r>
    </w:p>
    <w:p>
      <w:pPr>
        <w:pStyle w:val="TOCHeading"/>
      </w:pPr>
      <w:r>
        <w:t>OBSAH</w:t>
      </w:r>
    </w:p>
    <w:p>
      <w:pPr>
        <w:pStyle w:val="TOCPage"/>
      </w:pPr>
      <w:r>
        <w:t>Strana</w:t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>TOC \t "PageHeading"</w:instrText>
      </w:r>
      <w:r>
        <w:fldChar w:fldCharType="separate"/>
      </w:r>
      <w:r>
        <w:t>NÁVRH USNESENÍ EVROPSKÉHO PARLAMENTU</w:t>
      </w:r>
      <w:r>
        <w:tab/>
      </w:r>
      <w:r>
        <w:fldChar w:fldCharType="begin"/>
      </w:r>
      <w:r>
        <w:instrText xml:space="preserve"> PAGEREF _Toc256000002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t>VYSVĚTLUJÍCÍ PROHLÁŠENÍ</w:t>
      </w:r>
      <w:r>
        <w:tab/>
      </w:r>
      <w:r>
        <w:fldChar w:fldCharType="begin"/>
      </w:r>
      <w:r>
        <w:instrText xml:space="preserve"> PAGEREF _Toc256000003 \h </w:instrText>
      </w:r>
      <w:r>
        <w:fldChar w:fldCharType="separate"/>
      </w:r>
      <w:r>
        <w:t>9</w:t>
      </w:r>
      <w:r>
        <w:fldChar w:fldCharType="end"/>
      </w:r>
    </w:p>
    <w:p>
      <w:pPr>
        <w:pStyle w:val="Normal12b"/>
      </w:pPr>
      <w:r>
        <w:fldChar w:fldCharType="end"/>
      </w:r>
    </w:p>
    <w:p>
      <w:pPr>
        <w:pStyle w:val="CoverNormalLeft"/>
      </w:pPr>
    </w:p>
    <w:p>
      <w:pPr>
        <w:pStyle w:val="CoverNormalLeft"/>
        <w:sectPr>
          <w:footerReference w:type="even" r:id="rId6"/>
          <w:footerReference w:type="default" r:id="rId7"/>
          <w:footerReference w:type="first" r:id="rId8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num="1" w:space="708"/>
          <w:titlePg/>
          <w:docGrid w:linePitch="360"/>
        </w:sectPr>
      </w:pPr>
      <w:r>
        <w:br w:type="page"/>
      </w:r>
    </w:p>
    <w:p>
      <w:pPr>
        <w:pStyle w:val="PageHeading"/>
      </w:pPr>
      <w:bookmarkStart w:id="0" w:name="_Toc256000002"/>
      <w:r>
        <w:t>NÁVRH USNESENÍ EVROPSKÉHO PARLAMENTU</w:t>
      </w:r>
      <w:bookmarkEnd w:id="0"/>
    </w:p>
    <w:p>
      <w:pPr>
        <w:pStyle w:val="NormalBold"/>
      </w:pPr>
      <w:r>
        <w:t>o akčním plánu EU pro sociální ekonomiku</w:t>
      </w:r>
    </w:p>
    <w:p>
      <w:pPr>
        <w:pStyle w:val="NormalBold"/>
      </w:pPr>
      <w:r>
        <w:t>(2021/2179(INI))</w:t>
      </w:r>
    </w:p>
    <w:p>
      <w:pPr>
        <w:pStyle w:val="EPComma"/>
      </w:pPr>
      <w:r>
        <w:rPr>
          <w:rStyle w:val="Italic"/>
        </w:rPr>
        <w:t>Evropský parlament</w:t>
      </w:r>
      <w:r>
        <w:t>,</w:t>
      </w:r>
    </w:p>
    <w:p>
      <w:pPr>
        <w:pStyle w:val="NormalHanging12a"/>
      </w:pPr>
      <w:r>
        <w:t>–</w:t>
      </w:r>
      <w:r>
        <w:tab/>
      </w:r>
      <w:r>
        <w:t>s ohledem na evropský pilíř sociálních práv,</w:t>
      </w:r>
    </w:p>
    <w:p>
      <w:pPr>
        <w:pStyle w:val="NormalHanging12a"/>
      </w:pPr>
      <w:r>
        <w:t>–</w:t>
      </w:r>
      <w:r>
        <w:tab/>
      </w:r>
      <w:r>
        <w:t>s ohledem na sdělení Komise ze dne 9. prosince 2021 nazvané „Rozvoj hospodářství ve prospěch lidí: akční plán pro sociální ekonomiku“ (COM(2021)0778),</w:t>
      </w:r>
    </w:p>
    <w:p>
      <w:pPr>
        <w:pStyle w:val="NormalHanging12a"/>
      </w:pPr>
      <w:r>
        <w:t>–</w:t>
      </w:r>
      <w:r>
        <w:tab/>
      </w:r>
      <w:r>
        <w:t>s ohledem na sdělení Komise ze dne 3. března 2021 nazvané „Unie rovnosti: Strategie práv osob se zdravotním postižením na období 2021–2030“ (COM(2021)0101),</w:t>
      </w:r>
    </w:p>
    <w:p>
      <w:pPr>
        <w:pStyle w:val="NormalHanging12a"/>
      </w:pPr>
      <w:r>
        <w:t>–</w:t>
      </w:r>
      <w:r>
        <w:tab/>
      </w:r>
      <w:r>
        <w:t>s ohledem na sdělení Komise ze dne 2. června 2021 nazvané „Koordinace hospodářských politik v roce 2021: překonání pandemie COVID-19, podpora oživení a modernizace naší ekonomiky“ (COM(2021)0500),</w:t>
      </w:r>
    </w:p>
    <w:p>
      <w:pPr>
        <w:pStyle w:val="NormalHanging12a"/>
      </w:pPr>
      <w:r>
        <w:t>–</w:t>
      </w:r>
      <w:r>
        <w:tab/>
      </w:r>
      <w:r>
        <w:t>s ohledem na sdělení Komise ze dne 22. listopadu 2016 s názvem „Budoucí evropští lídři: iniciativa pro začínající a rychle se rozvíjející podniky (COM(2016)0733),</w:t>
      </w:r>
    </w:p>
    <w:p>
      <w:pPr>
        <w:pStyle w:val="NormalHanging12a"/>
      </w:pPr>
      <w:r>
        <w:t>–</w:t>
      </w:r>
      <w:r>
        <w:tab/>
      </w:r>
      <w:r>
        <w:t>s ohledem na sdělení Komise ze dne 25. října 2011 nazvané „Iniciativa pro sociální podnikání: vytvářet příznivé prostředí pro podporu sociálních podniků v rámci sociálního hospodářství a sociálních inovací“ (COM(2011)0682),</w:t>
      </w:r>
    </w:p>
    <w:p>
      <w:pPr>
        <w:pStyle w:val="NormalHanging12a"/>
      </w:pPr>
      <w:r>
        <w:t>–</w:t>
      </w:r>
      <w:r>
        <w:tab/>
      </w:r>
      <w:r>
        <w:t>s ohledem na sdělení Komise ze dne 23. února 2004 o podpoře družstevních společností v Evropě (COM(2004)0018),</w:t>
      </w:r>
    </w:p>
    <w:p>
      <w:pPr>
        <w:pStyle w:val="NormalHanging12a"/>
      </w:pPr>
      <w:r>
        <w:t>–</w:t>
      </w:r>
      <w:r>
        <w:tab/>
      </w:r>
      <w:r>
        <w:t>s ohledem na směrnici Evropského parlamentu a Rady 2014/24/EU ze</w:t>
      </w:r>
      <w:r>
        <w:rPr>
          <w:rStyle w:val="FootnoteReference"/>
        </w:rPr>
        <w:footnoteReference w:id="0"/>
      </w:r>
      <w:r>
        <w:t xml:space="preserve"> dne 26. </w:t>
      </w:r>
      <w:r>
        <w:t>února 2014 o zadávání</w:t>
      </w:r>
      <w:r>
        <w:t xml:space="preserve"> veřejných zakázek,</w:t>
      </w:r>
    </w:p>
    <w:p>
      <w:pPr>
        <w:pStyle w:val="NormalHanging12a"/>
      </w:pPr>
      <w:r>
        <w:t>–</w:t>
      </w:r>
      <w:r>
        <w:tab/>
      </w:r>
      <w:r>
        <w:t xml:space="preserve">s ohledem </w:t>
      </w:r>
      <w:r>
        <w:t>na Portský sociální</w:t>
      </w:r>
      <w:r>
        <w:t xml:space="preserve"> závazek, který podepsalo portugalské předsednictví Rady, předseda Parlamentu a zástupci sociálních partnerů a organizací občanské společnosti,</w:t>
      </w:r>
    </w:p>
    <w:p>
      <w:pPr>
        <w:pStyle w:val="NormalHanging12a"/>
      </w:pPr>
      <w:r>
        <w:t>–</w:t>
      </w:r>
      <w:r>
        <w:tab/>
      </w:r>
      <w:r>
        <w:t xml:space="preserve">s ohledem na Portské prohlášení ze dne 8. května 2021, jež schválila </w:t>
      </w:r>
      <w:r>
        <w:t>Evropská</w:t>
      </w:r>
      <w:r>
        <w:t xml:space="preserve"> rada,</w:t>
      </w:r>
    </w:p>
    <w:p>
      <w:pPr>
        <w:pStyle w:val="NormalHanging12a"/>
      </w:pPr>
      <w:r>
        <w:t>–</w:t>
      </w:r>
      <w:r>
        <w:tab/>
      </w:r>
      <w:r>
        <w:t>s ohledem na závěry Rady ze dne 7. prosince 2015 na téma „Podpora sociální ekonomiky jakožto jednoho z klíčových motorů hospodářského a sociálního vývoje v Evropě“,</w:t>
      </w:r>
    </w:p>
    <w:p>
      <w:pPr>
        <w:pStyle w:val="NormalHanging12a"/>
      </w:pPr>
      <w:r>
        <w:t>–</w:t>
      </w:r>
      <w:r>
        <w:tab/>
      </w:r>
      <w:r>
        <w:t xml:space="preserve">s ohledem na svůj postoj v prvním čtení ze dne 4. dubna 2019 k návrhu nařízení Evropského </w:t>
      </w:r>
      <w:r>
        <w:t>parlamentu</w:t>
      </w:r>
      <w:r>
        <w:t xml:space="preserve"> </w:t>
      </w:r>
      <w:r>
        <w:rPr>
          <w:rStyle w:val="FootnoteReference"/>
        </w:rPr>
        <w:footnoteReference w:id="1"/>
      </w:r>
      <w:r>
        <w:t xml:space="preserve"> a Rady o Evropském sociálním fondu plus (ESF+),</w:t>
      </w:r>
    </w:p>
    <w:p>
      <w:pPr>
        <w:pStyle w:val="NormalHanging12a"/>
      </w:pPr>
      <w:r>
        <w:t>–</w:t>
      </w:r>
      <w:r>
        <w:tab/>
      </w:r>
      <w:r>
        <w:t>s ohledem na své usnesení ze dne 7. července 2021 o</w:t>
      </w:r>
      <w:r>
        <w:rPr>
          <w:rStyle w:val="FootnoteReference"/>
        </w:rPr>
        <w:footnoteReference w:id="2"/>
      </w:r>
      <w:r>
        <w:t xml:space="preserve"> stárnutí starého kontinentu: možnosti a výzvy spojené s politikou zaměřenou na stárnutí po roce 2020,</w:t>
      </w:r>
    </w:p>
    <w:p>
      <w:pPr>
        <w:pStyle w:val="NormalHanging12a"/>
      </w:pPr>
      <w:r>
        <w:t>–</w:t>
      </w:r>
      <w:r>
        <w:tab/>
      </w:r>
      <w:r>
        <w:t xml:space="preserve">s ohledem na své usnesení ze dne 23. října 2018 o úloze </w:t>
      </w:r>
      <w:r>
        <w:rPr>
          <w:rStyle w:val="FootnoteReference"/>
        </w:rPr>
        <w:footnoteReference w:id="3"/>
      </w:r>
      <w:r>
        <w:t>finanční účasti zaměstnanců při vytváření pracovních míst a motivování nezaměstnaných,</w:t>
      </w:r>
    </w:p>
    <w:p>
      <w:pPr>
        <w:pStyle w:val="NormalHanging12a"/>
      </w:pPr>
      <w:r>
        <w:t>–</w:t>
      </w:r>
      <w:r>
        <w:tab/>
      </w:r>
      <w:r>
        <w:t>s ohledem</w:t>
      </w:r>
      <w:r>
        <w:rPr>
          <w:rStyle w:val="FootnoteReference"/>
        </w:rPr>
        <w:footnoteReference w:id="4"/>
      </w:r>
      <w:r>
        <w:t xml:space="preserve"> na své usnesení ze dne 5. července 2018 obsahující doporučení Komisi o statutu sociálních a solidárních podniků,</w:t>
      </w:r>
    </w:p>
    <w:p>
      <w:pPr>
        <w:pStyle w:val="NormalHanging12a"/>
      </w:pPr>
      <w:r>
        <w:t>–</w:t>
      </w:r>
      <w:r>
        <w:tab/>
      </w:r>
      <w:r>
        <w:t>s ohledem na své usnesení ze dne 10. září 2015 o úloze sociálního podnikání a sociálních inovací v boji proti</w:t>
      </w:r>
      <w:r>
        <w:rPr>
          <w:rStyle w:val="FootnoteReference"/>
        </w:rPr>
        <w:footnoteReference w:id="5"/>
      </w:r>
      <w:r>
        <w:t xml:space="preserve"> nezaměstnanosti,</w:t>
      </w:r>
    </w:p>
    <w:p>
      <w:pPr>
        <w:pStyle w:val="NormalHanging12a"/>
      </w:pPr>
      <w:r>
        <w:t>–</w:t>
      </w:r>
      <w:r>
        <w:tab/>
      </w:r>
      <w:r>
        <w:t>s ohledem na své</w:t>
      </w:r>
      <w:r>
        <w:rPr>
          <w:rStyle w:val="FootnoteReference"/>
        </w:rPr>
        <w:footnoteReference w:id="6"/>
      </w:r>
      <w:r>
        <w:t xml:space="preserve"> usnesení ze dne 2. července 2013 o přispění družstev k překonání krize,</w:t>
      </w:r>
    </w:p>
    <w:p>
      <w:pPr>
        <w:pStyle w:val="NormalHanging12a"/>
      </w:pPr>
      <w:r>
        <w:t>–</w:t>
      </w:r>
      <w:r>
        <w:tab/>
      </w:r>
      <w:r>
        <w:t xml:space="preserve">s ohledem na své usnesení ze dne 2. července 2013 o návrhu nařízení Rady o statutu evropské nadace </w:t>
      </w:r>
      <w:r>
        <w:rPr>
          <w:rStyle w:val="FootnoteReference"/>
        </w:rPr>
        <w:footnoteReference w:id="7"/>
      </w:r>
      <w:r>
        <w:t xml:space="preserve"> </w:t>
      </w:r>
    </w:p>
    <w:p>
      <w:pPr>
        <w:pStyle w:val="NormalHanging12a"/>
      </w:pPr>
      <w:r>
        <w:t>–</w:t>
      </w:r>
      <w:r>
        <w:tab/>
      </w:r>
      <w:r>
        <w:t xml:space="preserve">s ohledem </w:t>
      </w:r>
      <w:r>
        <w:rPr>
          <w:rStyle w:val="FootnoteReference"/>
        </w:rPr>
        <w:footnoteReference w:id="8"/>
      </w:r>
      <w:r>
        <w:t>na své usnesení ze dne 14. března 2013 obsahující doporučení Komisi o statutu evropské vzájemné společnosti,</w:t>
      </w:r>
    </w:p>
    <w:p>
      <w:pPr>
        <w:pStyle w:val="NormalHanging12a"/>
      </w:pPr>
      <w:r>
        <w:t>–</w:t>
      </w:r>
      <w:r>
        <w:tab/>
      </w:r>
      <w:r>
        <w:t>s ohledem na své usnesení ze dne 20. listopadu 2012 o iniciativě pro sociální podnikání – Vytvářet příznivé prostředí pro podporu sociálních podniků v rámci sociálního hospodářství a sociálních inovací</w:t>
      </w:r>
      <w:r>
        <w:rPr>
          <w:rStyle w:val="FootnoteReference"/>
        </w:rPr>
        <w:footnoteReference w:id="9"/>
      </w:r>
      <w:r>
        <w:t xml:space="preserve"> ,</w:t>
      </w:r>
    </w:p>
    <w:p>
      <w:pPr>
        <w:pStyle w:val="NormalHanging12a"/>
      </w:pPr>
      <w:r>
        <w:t>–</w:t>
      </w:r>
      <w:r>
        <w:tab/>
      </w:r>
      <w:r>
        <w:t>s</w:t>
      </w:r>
      <w:r>
        <w:rPr>
          <w:rStyle w:val="FootnoteReference"/>
        </w:rPr>
        <w:footnoteReference w:id="10"/>
      </w:r>
      <w:r>
        <w:t> ohledem na své usnesení ze dne 19. února 2009 o sociálním hospodářství,</w:t>
      </w:r>
    </w:p>
    <w:p>
      <w:pPr>
        <w:pStyle w:val="NormalHanging12a"/>
      </w:pPr>
      <w:r>
        <w:t>–</w:t>
      </w:r>
      <w:r>
        <w:tab/>
      </w:r>
      <w:r>
        <w:t xml:space="preserve">s ohledem na stanovisko Evropského hospodářského a sociálního výboru </w:t>
      </w:r>
      <w:r>
        <w:t>ze dne 19. ledna</w:t>
      </w:r>
      <w:r>
        <w:t xml:space="preserve"> 2022 nazvané „Inovativní finanční nástroje v rámci rozvoje podniků se sociálním dopadem“,</w:t>
      </w:r>
    </w:p>
    <w:p>
      <w:pPr>
        <w:pStyle w:val="NormalHanging12a"/>
      </w:pPr>
      <w:r>
        <w:t>–</w:t>
      </w:r>
      <w:r>
        <w:tab/>
      </w:r>
      <w:r>
        <w:t>s ohledem na stanovisko Výboru regionů ze dne 1. července 2021 k akčnímu plánu pro sociální ekonomiku (CDR 5860/2020),</w:t>
      </w:r>
    </w:p>
    <w:p>
      <w:pPr>
        <w:pStyle w:val="NormalHanging12a"/>
      </w:pPr>
      <w:r>
        <w:t>–</w:t>
      </w:r>
      <w:r>
        <w:tab/>
      </w:r>
      <w:r>
        <w:t>s ohledem na politický dokument Evropské komise a Organizace pro hospodářskou spolupráci a rozvoj (OECD) z roku 2022 o maximálním využití přínosu sociální ekonomiky pro oběhové hospodářství,</w:t>
      </w:r>
    </w:p>
    <w:p>
      <w:pPr>
        <w:pStyle w:val="NormalHanging12a"/>
      </w:pPr>
      <w:r>
        <w:t>–</w:t>
      </w:r>
      <w:r>
        <w:tab/>
      </w:r>
      <w:r>
        <w:t>s ohledem na pokyny pro místní samosprávy týkající se politik sociální a solidární ekonomiky, které v roce 2021 zveřejnil Výzkumný ústav OSN pro sociální rozvoj,</w:t>
      </w:r>
    </w:p>
    <w:p>
      <w:pPr>
        <w:pStyle w:val="NormalHanging12a"/>
      </w:pPr>
      <w:r>
        <w:t>–</w:t>
      </w:r>
      <w:r>
        <w:tab/>
      </w:r>
      <w:r>
        <w:t>s ohledem na článek 54 jednacího řádu,</w:t>
      </w:r>
    </w:p>
    <w:p>
      <w:pPr>
        <w:pStyle w:val="NormalHanging12a"/>
      </w:pPr>
      <w:r>
        <w:t>–</w:t>
      </w:r>
      <w:r>
        <w:tab/>
      </w:r>
      <w:r>
        <w:t xml:space="preserve">s ohledem na </w:t>
      </w:r>
      <w:r>
        <w:t>stanovisko</w:t>
      </w:r>
      <w:r>
        <w:t xml:space="preserve"> Výboru pro regionální rozvoj,</w:t>
      </w:r>
    </w:p>
    <w:p>
      <w:pPr>
        <w:pStyle w:val="NormalHanging12a"/>
      </w:pPr>
      <w:r>
        <w:t>–</w:t>
      </w:r>
      <w:r>
        <w:tab/>
      </w:r>
      <w:r>
        <w:t xml:space="preserve">s </w:t>
      </w:r>
      <w:r>
        <w:t>ohledem</w:t>
      </w:r>
      <w:r>
        <w:t xml:space="preserve"> na zprávu Výboru pro zaměstnanost a sociální věci (A9-0000/2021),</w:t>
      </w:r>
    </w:p>
    <w:p>
      <w:pPr>
        <w:pStyle w:val="NormalHanging12a"/>
      </w:pPr>
      <w:r>
        <w:t>A.</w:t>
      </w:r>
      <w:r>
        <w:tab/>
      </w:r>
      <w:r>
        <w:t>vzhledem k tomu, že sociální ekonomika zahrnuje různé druhy soukromých subjektů nezávislých na veřejných orgánech, jako jsou družstva, vzájemné prospěšné společnosti, sdružení (včetně charitativních organizací), nadace, sociální podniky a další právní formy, které se všechny vyznačují odlišnými provozními a organizačními zásadami a charakteristikami, jako je upřednostňování lidí a svého sociálního účelu před ziskem, opětovné investování většiny zisků/přebytků a jejich demokratická nebo participativní správa;</w:t>
      </w:r>
    </w:p>
    <w:p>
      <w:pPr>
        <w:pStyle w:val="NormalHanging12a"/>
      </w:pPr>
      <w:r>
        <w:t>B.</w:t>
      </w:r>
      <w:r>
        <w:tab/>
      </w:r>
      <w:r>
        <w:t>vzhledem k tomu, že sociální ekonomika hraje důležitou úlohu při zmírňování a řešení krátkodobých a dlouhodobých dopadů onemocnění COVID-19 na sociální trh, společnost a hospodářství EU a</w:t>
      </w:r>
      <w:r>
        <w:rPr>
          <w:rStyle w:val="FootnoteReference"/>
        </w:rPr>
        <w:footnoteReference w:id="11"/>
      </w:r>
      <w:r>
        <w:t xml:space="preserve"> stimuluje sociální a hospodářskou odolnost a přispívá k ní díky dlouhodobému zaměření obchodního modelu evropského pilíře, povaze sociálních práv a cílům a činnostem sociální ekonomiky;</w:t>
      </w:r>
    </w:p>
    <w:p>
      <w:pPr>
        <w:pStyle w:val="NormalHanging12a"/>
      </w:pPr>
      <w:r>
        <w:t>C.</w:t>
      </w:r>
      <w:r>
        <w:tab/>
      </w:r>
      <w:r>
        <w:t>vzhledem k tomu, že organizace sociální ekonomiky mají ve většině členských států dlouhou historii, přičemž většina členských států přijala pro tuto oblast zvláštní právní předpisy a tyto organizace se staly klíčovými účastníky na trhu;</w:t>
      </w:r>
    </w:p>
    <w:p>
      <w:pPr>
        <w:pStyle w:val="NormalHanging12a"/>
      </w:pPr>
      <w:r>
        <w:t>1.</w:t>
      </w:r>
      <w:r>
        <w:tab/>
      </w:r>
      <w:r>
        <w:t>vítá akční plán Komise pro sociální ekonomiku, hlavní zásady sociální ekonomiky, které jsou v něm stanoveny, politický impuls, který poskytuje jejímu rozvoji, a množství opatření, která předkládá;</w:t>
      </w:r>
    </w:p>
    <w:p>
      <w:pPr>
        <w:pStyle w:val="NormalHanging12a"/>
      </w:pPr>
      <w:r>
        <w:t>2.</w:t>
      </w:r>
      <w:r>
        <w:tab/>
      </w:r>
      <w:r>
        <w:t>domnívá se však, že je třeba pro dosažení každého cíle stanovit konkrétní opatření a následná opatření, jakož i dále upřesnit vzájemné vazby mezi opatřeními; domnívá se, že je nezbytné stanovit harmonogram pro všechna opatření zahrnutá do akčního plánu, aby vedl příslušné orgány při provádění plánu;</w:t>
      </w:r>
    </w:p>
    <w:p>
      <w:pPr>
        <w:pStyle w:val="NormalHanging12a"/>
      </w:pPr>
      <w:r>
        <w:t>3.</w:t>
      </w:r>
      <w:r>
        <w:tab/>
      </w:r>
      <w:r>
        <w:t>naléhavě vyzývá Komisi, členské státy a regionální a místní orgány, aby rozměr sociální ekonomiky začlenily do příslušných politik, programů a postupů;</w:t>
      </w:r>
    </w:p>
    <w:p>
      <w:pPr>
        <w:pStyle w:val="NormalHanging12a"/>
      </w:pPr>
      <w:r>
        <w:t>4.</w:t>
      </w:r>
      <w:r>
        <w:tab/>
      </w:r>
      <w:r>
        <w:t>opakuje svou výzvu, aby se zásada „zelenou malým a středním podnikům“ stala</w:t>
      </w:r>
      <w:r>
        <w:rPr>
          <w:rStyle w:val="FootnoteReference"/>
        </w:rPr>
        <w:footnoteReference w:id="12"/>
      </w:r>
      <w:r>
        <w:t xml:space="preserve"> hlavní zásadou při přípravě budoucích právních předpisů a při přijímání politik, aby byl ekosystém Unie konkurenceschopnější a podporoval mikroorganizace i malé a střední organizace v rámci sociální ekonomiky i mimo ni;</w:t>
      </w:r>
    </w:p>
    <w:p>
      <w:pPr>
        <w:pStyle w:val="Subheading"/>
      </w:pPr>
      <w:r>
        <w:rPr>
          <w:rStyle w:val="BoldItalic"/>
        </w:rPr>
        <w:t>Vytváření prostředí příznivého pro sociální ekonomiku</w:t>
      </w:r>
    </w:p>
    <w:p>
      <w:pPr>
        <w:pStyle w:val="NormalHanging12a"/>
      </w:pPr>
      <w:r>
        <w:t>5.</w:t>
      </w:r>
      <w:r>
        <w:tab/>
      </w:r>
      <w:r>
        <w:t>připomíná členským státům, že směrnice o zadávání veřejných zakázek (směrnice 2014/24/EU) umožňuje veřejným zadavatelům využívat zadávání veřejných zakázek k plnění environmentálních a sociálních cílů, a zejména umožňuje pořádat nabídková řízení vyhrazená pro organizace, jejichž hlavním cílem je začlenění osob se zdravotním postižením nebo jiných znevýhodněných skupin do pracovního procesu; vyzývá veřejné orgány, aby považovaly společensky a environmentálně odpovědné zadávání veřejných zakázek za investice do sociálně-ekonomické struktury s velkým potenciálem kombinovat cíle sociální a cíle v oblasti hospodářské soutěže;</w:t>
      </w:r>
    </w:p>
    <w:p>
      <w:pPr>
        <w:pStyle w:val="NormalHanging12a"/>
      </w:pPr>
      <w:r>
        <w:t>6.</w:t>
      </w:r>
      <w:r>
        <w:tab/>
      </w:r>
      <w:r>
        <w:t>vybízí členské státy, aby systematicky přijímaly strategie zaměřené na rozvoj sociálně odpovědného zadávání veřejných zakázek, a vytvořily tak vazbu mezi poskytováním služeb a produktů a přínosem pro sociální cíle napříč různými oblastmi politik; domnívá se, že provedení směrnice o zadávání veřejných zakázek musí být spojeno s iniciativami zaměřenými na zvýšení povědomí o vztahu mezi veřejnými výdaji a jejich příspěvkem k dosažení cílů udržitelného rozvoje a na budování kapacit úředníků odpovědných za zadávání veřejných zakázek a organizací sociální ekonomiky; vybízí úředníky pro zadávání veřejných zakázek, aby před vypracováním zadávací dokumentace prováděli předběžné konzultace s cílem lépe pochopit stávající potřeby a to, jak by je organizace sociální ekonomiky mohly naplňovat;</w:t>
      </w:r>
    </w:p>
    <w:p>
      <w:pPr>
        <w:pStyle w:val="NormalHanging12a"/>
      </w:pPr>
      <w:r>
        <w:t>7.</w:t>
      </w:r>
      <w:r>
        <w:tab/>
      </w:r>
      <w:r>
        <w:t>vítá stávající iniciativy v členských státech, jejichž cílem je poskytovat pracovníkům, kteří mají zájem o proces odprodeje společnosti pracovníkům, a družstvům vzniklým z odprodeje pracovníkům právní poradenství, finanční podporu, podporu při přípravě obchodních plánů, údaje potřebné pro externí investory a struktury na podporu podnikání; vybízí členské státy, aby toto téma zahrnuly do doporučení Rady na rok 2023 s cílem dále podporovat tyto iniciativy na regionální a vnitrostátní úrovni;</w:t>
      </w:r>
    </w:p>
    <w:p>
      <w:pPr>
        <w:pStyle w:val="NormalHanging12a"/>
      </w:pPr>
      <w:r>
        <w:t>8.</w:t>
      </w:r>
      <w:r>
        <w:tab/>
      </w:r>
      <w:r>
        <w:t>vítá ohlášenou zprávu o možném rozšíření taxonomie EU pro udržitelné finance na sociální cíle; domnívá se, že taxonomie EU musí zahrnovat sociální faktory, aniž by vytvářela nepřiměřenou zátěž pro podniky, neboť může být hnací silou investic v oblasti sociální ekonomiky;</w:t>
      </w:r>
    </w:p>
    <w:p>
      <w:pPr>
        <w:pStyle w:val="NormalHanging12a"/>
      </w:pPr>
      <w:r>
        <w:t>9.</w:t>
      </w:r>
      <w:r>
        <w:tab/>
      </w:r>
      <w:r>
        <w:t>vyzývá Komisi a členské státy, aby vytvořily partnerství pro budování kapacit a formální dohody se sítěmi sociální ekonomiky s cílem poskytovat organizacím sociální ekonomiky poradenské služby, jako je individuální poradenství a koučování, financování budování kapacit, odborná příprava a vzdělávání, inkubační služby a vytváření sítí pro budování kapacit;</w:t>
      </w:r>
    </w:p>
    <w:p>
      <w:pPr>
        <w:pStyle w:val="NormalHanging12a"/>
      </w:pPr>
      <w:r>
        <w:t>10.</w:t>
      </w:r>
      <w:r>
        <w:tab/>
      </w:r>
      <w:r>
        <w:t>zdůrazňuje klíčovou úlohu, kterou mohou při rozvoji a rozšiřování projektů sociální ekonomiky hrát nové technologie, a význam přednostního přístupu sociálních podnikatelů k programům odborné přípravy v oblasti digitálních dovedností a pokročilých technologií, a to jak na úrovni EU, tak na vnitrostátní úrovni, a vyzývá Komisi a členské státy, aby prozkoumaly, jak mohou podniky běžné ekonomiky a organizace sociální ekonomiky v tomto ohledu spolupracovat;</w:t>
      </w:r>
    </w:p>
    <w:p>
      <w:pPr>
        <w:pStyle w:val="NormalHanging12a"/>
      </w:pPr>
      <w:r>
        <w:t>11.</w:t>
      </w:r>
      <w:r>
        <w:tab/>
      </w:r>
      <w:r>
        <w:t>považuje za politováníhodné</w:t>
      </w:r>
      <w:r>
        <w:rPr>
          <w:rStyle w:val="FootnoteReference"/>
        </w:rPr>
        <w:footnoteReference w:id="13"/>
      </w:r>
      <w:r>
        <w:t>, že organizace sociální ekonomiky nejsou v učebních osnovách běžného školního vzdělávání a vysokoškolského vzdělávání v oblasti podnikání zmiňovány ve stejném rozsahu jako běžné podniky; v této souvislosti vyzývá subjekty zastupující odvětví a příslušné veřejné orgány, aby ve spolupráci s příslušnými zúčastněnými stranami přezkoumaly a vyhodnotily osnovy a předložily politická doporučení pro akademické instituce;</w:t>
      </w:r>
    </w:p>
    <w:p>
      <w:pPr>
        <w:pStyle w:val="Subheading"/>
      </w:pPr>
      <w:r>
        <w:rPr>
          <w:rStyle w:val="BoldItalic"/>
        </w:rPr>
        <w:t>Využití plného potenciálu nástrojů EU k úspěchu sociální ekonomiky</w:t>
      </w:r>
    </w:p>
    <w:p>
      <w:pPr>
        <w:pStyle w:val="NormalHanging12a"/>
      </w:pPr>
      <w:r>
        <w:t>12.</w:t>
      </w:r>
      <w:r>
        <w:tab/>
      </w:r>
      <w:r>
        <w:t>bere na vědomí možnosti, které na podporu sociální ekonomiky nabízí program InvestEU; naléhavě vyzývá Komisi a partnery pro provádění, aby v rámci oblasti týkající se sociálních investic a dovedností navrhli finanční produkty přizpůsobené potřebám podniků sociální ekonomiky a aby na tyto produkty vyčlenili dostatečné zdroje; konstatuje, že by měla být vypracována řádná kritéria způsobilosti s cílem zaměřit se na finanční zprostředkovatele, kteří konkrétně podporují sociální ekonomiku, a domnívá se, že v rámci Poradenského centra InvestEU by měly být k dispozici poradenské služby, aby se maximalizoval potenciál těchto finančních zprostředkovatelů k využívání programu InvestEU; vyzývá Komisi, aby zajistila, že další finanční produkty programu InvestEU, jako jsou ty, které se zaměřují na malé a střední podniky, budou zpřístupněny organizacím sociální ekonomiky, z nichž většinu tvoří mikropodniky a malé a střední organizace;</w:t>
      </w:r>
    </w:p>
    <w:p>
      <w:pPr>
        <w:pStyle w:val="NormalHanging12a"/>
      </w:pPr>
      <w:r>
        <w:t>13.</w:t>
      </w:r>
      <w:r>
        <w:tab/>
      </w:r>
      <w:r>
        <w:t>vyzývá Komisi, aby při příští revizi obecného nařízení o blokových výjimkách náležitě zohlednila specifické potřeby organizací sociální ekonomiky, pokud jde o přístup k financování a rozvoj trhu, aby posílila úlohu státní podpory při podpoře náboru znevýhodněných pracovníků, zejména v souvislosti s oživením po pandemii COVID-19, a aby po konzultaci s příslušnými zúčastněnými stranami prozkoumala různé fakticky podložené možnosti podpory rozvoje organizací sociální ekonomiky;</w:t>
      </w:r>
    </w:p>
    <w:p>
      <w:pPr>
        <w:pStyle w:val="NormalHanging12a"/>
      </w:pPr>
      <w:r>
        <w:t>14.</w:t>
      </w:r>
      <w:r>
        <w:tab/>
      </w:r>
      <w:r>
        <w:t>vítá využívání cílených finančních prostředků EU na projekty zaměřené na rozvoj a</w:t>
      </w:r>
      <w:r>
        <w:rPr>
          <w:rStyle w:val="FootnoteReference"/>
        </w:rPr>
        <w:footnoteReference w:id="14"/>
      </w:r>
      <w:r>
        <w:t xml:space="preserve"> umožnění převodu podniků na jejich zaměstnance, a tím i kontinuitu podnikání, a to i prostřednictvím převzetí zaměstnaneckým družstvem;</w:t>
      </w:r>
    </w:p>
    <w:p>
      <w:pPr>
        <w:pStyle w:val="Subheading"/>
      </w:pPr>
      <w:r>
        <w:rPr>
          <w:rStyle w:val="BoldItalic"/>
        </w:rPr>
        <w:t>Směrem k účinnému provádění akčního plánu pro sociální ekonomiku</w:t>
      </w:r>
    </w:p>
    <w:p>
      <w:pPr>
        <w:pStyle w:val="NormalHanging12a"/>
      </w:pPr>
      <w:r>
        <w:t>15.</w:t>
      </w:r>
      <w:r>
        <w:tab/>
      </w:r>
      <w:r>
        <w:t>vřele vítá návrh doporučení Rady o rámcových podmínkách sociální ekonomiky, který má být schválen v roce 2023; domnívá se, že ten by měl sloužit jako kompas k posílení právních a politických rámců sociální ekonomiky, a to zejména v členských státech, kde je ekosystém sociální ekonomiky rozvinutý méně, a měl by jasně vyzdvihnout podpůrné nástroje, které poskytuje EU, a stanovit pokyny týkající se konkrétních politik, jako jsou veřejné zakázky, politika zaměstnanosti a sociální politika, zdanění, vzdělávání, dovednosti a odborná příprava, stejně jako význam propojení programu oběhového hospodářství a programu sociální ekonomiky;</w:t>
      </w:r>
    </w:p>
    <w:p>
      <w:pPr>
        <w:pStyle w:val="NormalHanging12a"/>
      </w:pPr>
      <w:r>
        <w:t>16.</w:t>
      </w:r>
      <w:r>
        <w:tab/>
      </w:r>
      <w:r>
        <w:t xml:space="preserve">považuje za politováníhodné, že dřívější výzvy Parlamentu, aby Komise předložila návrhy, jež by umožnily vzájemným společnostem, sdružením a nadacím jednat v evropském a přeshraničním měřítku, nevedly k žádným legislativním změnám, což ohrozilo evropský sociální model a bránilo dokončení jednotného trhu; s ohledem na příležitosti, které nabízí tento akční plán, a na činnosti monitorovacího výboru </w:t>
      </w:r>
      <w:r>
        <w:t>lucemburského</w:t>
      </w:r>
      <w:r>
        <w:t xml:space="preserve"> prohlášení, jenž zahrnuje většinu členských států, navrhuje, aby byla prozkoumána posílená spolupráce jako nástroj k překonání výše uvedených patových situací, které trvají desítky let;</w:t>
      </w:r>
    </w:p>
    <w:p>
      <w:pPr>
        <w:pStyle w:val="NormalHanging12a"/>
      </w:pPr>
      <w:r>
        <w:t>17.</w:t>
      </w:r>
      <w:r>
        <w:tab/>
      </w:r>
      <w:r>
        <w:t>konstatuje, že plný potenciál odvětví sociální ekonomiky pro řešení socioekonomických výzev vyžaduje, aby veřejné orgány jasně určily sociální priority; zdůrazňuje, že projekty sociální ekonomiky obecně vyžadují úzké partnerství s veřejnými subjekty, a vyzývá proto Komisi a členské státy, aby v rámci makroekonomické správy na úrovni EU vypracovaly strategii sociálních investic, v níž budou jasně stanoveny sociální priority a která bude moci poskytnout rámec pro spolupráci mezi veřejnými orgány a organizacemi sociální ekonomiky;</w:t>
      </w:r>
    </w:p>
    <w:p>
      <w:pPr>
        <w:pStyle w:val="NormalHanging12a"/>
      </w:pPr>
      <w:r>
        <w:t>18.</w:t>
      </w:r>
      <w:r>
        <w:tab/>
      </w:r>
      <w:r>
        <w:t>vítá ohlášené zahájení práce na nové studii s cílem shromáždit kvalitativní a kvantitativní informace o sociální ekonomice ve všech členských státech; konstatuje, že je třeba získat podrobné, standardizované, srovnatelné a spolehlivé údaje o rozsahu a dopadu sociální ekonomiky s cílem usnadnit přijetí politických rozhodnutí založených na důkazech, která obstojí i v budoucnu a budou přispívat k hospodářským a sociálním cílům EU;</w:t>
      </w:r>
    </w:p>
    <w:p>
      <w:pPr>
        <w:pStyle w:val="NormalHanging12a"/>
      </w:pPr>
      <w:r>
        <w:t>19.</w:t>
      </w:r>
      <w:r>
        <w:tab/>
      </w:r>
      <w:r>
        <w:t>vyzývá členské státy, aby určily koordinátory pro sociální ekonomiku a zřídily místní kontaktní místa pro sociální ekonomiku s cílem usnadnit přístup k financování, a to i z finančních prostředků EU;</w:t>
      </w:r>
    </w:p>
    <w:p>
      <w:pPr>
        <w:pStyle w:val="NormalHanging12a"/>
      </w:pPr>
      <w:r>
        <w:t>20.</w:t>
      </w:r>
      <w:r>
        <w:tab/>
      </w:r>
      <w:r>
        <w:t>vyzývá Komisi, aby pro tento akční plán zřídila pracovní skupinu pro provádění a aby informovala o její složení a harmonogramu činnosti;</w:t>
      </w:r>
    </w:p>
    <w:p>
      <w:pPr>
        <w:pStyle w:val="NormalCenter12a"/>
      </w:pPr>
      <w:r>
        <w:t>°</w:t>
      </w:r>
    </w:p>
    <w:p>
      <w:pPr>
        <w:pStyle w:val="NormalCenter12a"/>
      </w:pPr>
      <w:r>
        <w:t>°</w:t>
      </w:r>
      <w:r>
        <w:tab/>
      </w:r>
      <w:r>
        <w:t>°</w:t>
      </w:r>
    </w:p>
    <w:p>
      <w:pPr>
        <w:pStyle w:val="NormalHanging12a"/>
      </w:pPr>
      <w:r>
        <w:t>21.</w:t>
      </w:r>
      <w:r>
        <w:tab/>
      </w:r>
      <w:r>
        <w:t>pověřuje svého předsedu, aby předal toto usnesení Radě a Komisi.</w:t>
      </w:r>
    </w:p>
    <w:p>
      <w:pPr>
        <w:pStyle w:val="NormalHanging12a"/>
        <w:sectPr>
          <w:footnotePr>
            <w:numRestart w:val="eachSect"/>
          </w:footnotePr>
          <w:type w:val="continuous"/>
          <w:pgSz w:w="11906" w:h="16838"/>
          <w:pgMar w:top="1134" w:right="1417" w:bottom="1417" w:left="1417" w:header="1134" w:footer="567" w:gutter="0"/>
          <w:cols w:num="1" w:space="708"/>
          <w:titlePg/>
          <w:docGrid w:linePitch="360"/>
        </w:sectPr>
      </w:pPr>
      <w:r>
        <w:br w:type="page"/>
      </w:r>
    </w:p>
    <w:p>
      <w:pPr>
        <w:pStyle w:val="PageHeading"/>
      </w:pPr>
      <w:bookmarkStart w:id="1" w:name="_Toc256000003"/>
      <w:r>
        <w:t>VYSVĚTLUJÍCÍ PROHLÁŠENÍ</w:t>
      </w:r>
      <w:bookmarkEnd w:id="1"/>
    </w:p>
    <w:p>
      <w:pPr>
        <w:pStyle w:val="Normal12a"/>
      </w:pPr>
      <w:r>
        <w:t>Sociální ekonomika je v Evropě historicky vnímána jako nástroj pro řešení selhání trhu a států. V posledních dvou desetiletích se však</w:t>
      </w:r>
      <w:r>
        <w:rPr>
          <w:rStyle w:val="FootnoteReference"/>
        </w:rPr>
        <w:footnoteReference w:id="15"/>
      </w:r>
      <w:r>
        <w:t xml:space="preserve"> rozšířilo chápání pojmu sociální ekonomika. Sociální ekonomika prokázala, že</w:t>
      </w:r>
      <w:r>
        <w:rPr>
          <w:rStyle w:val="FootnoteReference"/>
        </w:rPr>
        <w:footnoteReference w:id="16"/>
      </w:r>
      <w:r>
        <w:t xml:space="preserve"> přispívá k sociální soudržnosti a k posilování pocitu sounáležitosti a sociálního kapitálu a že pomáhá řešit klíčové společenské výzvy, jako jsou </w:t>
      </w:r>
      <w:r>
        <w:rPr>
          <w:rStyle w:val="FootnoteReference"/>
        </w:rPr>
        <w:footnoteReference w:id="17"/>
      </w:r>
      <w:r>
        <w:t>otázky životního prostředí, potravinová soběstačnost a poskytování dostupné a kvalitní péče včetně zdravotní péče. A během pandemie COVID-19 prokázala sociální ekonomika rovněž své silné stránky a schopnost přispívat k hospodářskému rozvoji a vytváření pracovních míst, zejména pro zranitelné osoby. Kromě toho ukázala, jak snižuje sociální a hospodářské rozdíly a oživuje místní komunity, v nichž jsou tyto organizace hluboce zakořeněny.</w:t>
      </w:r>
    </w:p>
    <w:p>
      <w:pPr>
        <w:pStyle w:val="Normal12a"/>
      </w:pPr>
      <w:r>
        <w:t xml:space="preserve">Na mezinárodní úrovni se vyvíjí úsilí s cílem lépe pochopit a zviditelnit celou škálu přínosů, které může sociální ekonomika přinést pro ekonomiku a společnost. Pro ilustraci: Organizace spojených národů před deseti lety vytvořila meziagenturní pracovní skupinu pro sociální a solidární ekonomiku s cílem „přehodnotit rozvoj v důsledku četných krizí a v souvislosti s rozvojovou agendou po roce 2015, která nevěnovala sociální ekonomice dostatečnou </w:t>
      </w:r>
      <w:r>
        <w:rPr>
          <w:rStyle w:val="FootnoteReference"/>
        </w:rPr>
        <w:footnoteReference w:id="18"/>
      </w:r>
      <w:r>
        <w:t>pozornost“.</w:t>
      </w:r>
    </w:p>
    <w:p>
      <w:pPr>
        <w:pStyle w:val="Normal12a"/>
      </w:pPr>
      <w:r>
        <w:t>Sociální ekonomika je tak stále více uznávána jako jiný způsob organizace hospodářství, nebo, jak uvedl generální tajemník OSN, jako „alternativní model růstu zaměřený na nalezení nové rovnováhy mezi hospodářskou účinností a sociální a environmentální odolností (...). Sociální a</w:t>
      </w:r>
      <w:r>
        <w:rPr>
          <w:rStyle w:val="FootnoteReference"/>
        </w:rPr>
        <w:footnoteReference w:id="19"/>
      </w:r>
      <w:r>
        <w:t xml:space="preserve"> solidární ekonomika podporuje hospodářskou dynamiku, sociální a environmentální ochranu a posílení společensko-politického postavení.“</w:t>
      </w:r>
    </w:p>
    <w:p>
      <w:pPr>
        <w:pStyle w:val="Normal12a"/>
      </w:pPr>
      <w:r>
        <w:t>Kromě OSN uznala též Organizace pro</w:t>
      </w:r>
      <w:r>
        <w:rPr>
          <w:rStyle w:val="FootnoteReference"/>
        </w:rPr>
        <w:footnoteReference w:id="20"/>
      </w:r>
      <w:r>
        <w:t xml:space="preserve"> hospodářskou spolupráci a rozvoj (OECD) přínos sociální ekonomiky a sociálních inovací k vytváření inkluzivnějších, tvořivějších a udržitelnějších ekonomik a společností a v roce 2020 zahájila globální akci „Podpora ekosystémů sociální a solidární ekonomiky“. Tento projekt podpoří rozvoj a internacionalizaci sociální ekonomiky ve všech zemích EU i v Brazílii, Kanadě, Indii, Koreji, Mexiku a Spojených státech amerických.</w:t>
      </w:r>
    </w:p>
    <w:p>
      <w:pPr>
        <w:pStyle w:val="Normal12a"/>
      </w:pPr>
      <w:r>
        <w:t>V této velmi příznivé situaci přijala Evropská komise dne 9. prosince 2021 velmi očekávaný akční plán pro sociální ekonomiku. Tento akční plán vychází ze zkušeností z desetiletí práce orgánů EU, členských států a příslušných zúčastněných stran a odborníků v této oblasti. Plán opět uznává transformační potenciál sociální ekonomiky a její přístup k ekonomice, jenž je zaměřený na lidi a citlivý vůči planetě.</w:t>
      </w:r>
    </w:p>
    <w:p>
      <w:pPr>
        <w:pStyle w:val="Normal12a"/>
      </w:pPr>
      <w:r>
        <w:t xml:space="preserve">Zpravodaj pro tuto zprávu </w:t>
      </w:r>
      <w:r>
        <w:t>z</w:t>
      </w:r>
      <w:r>
        <w:t xml:space="preserve"> vlastního podnětu uspořádal </w:t>
      </w:r>
      <w:r>
        <w:t>za</w:t>
      </w:r>
      <w:r>
        <w:t xml:space="preserve"> účelem přípravy své práce širokou škálu konzultací se zástupci pracovní skupiny OSN, Mezinárodní organizace práce, Evropského hospodářského a sociálního výboru, Výboru regionů, členských států a regionálních zástupců, jakož i s akademickými pracovníky. Reakce na akční plán pro sociální ekonomiku byly obecně pozitivní. Zpravodaj blahopřeje Komisi k její práci. Jak však bylo uvedeno při diskusích s výše uvedenými aktéry, existuje prostor pro doplnění daného textu a usnadnění porozumění a uznání sociální ekonomiky, posílení jejího rozvoje a směřování k účinnému provádění tohoto akčního plánu EU.</w:t>
      </w:r>
    </w:p>
    <w:p>
      <w:pPr>
        <w:pStyle w:val="Normal12a"/>
      </w:pPr>
      <w:r>
        <w:t xml:space="preserve">Na základě těchto konzultací, stávajícího institucionálního konsensu a textů (včetně textu z Parlamentu) a výzkumu osvědčených postupů v oblasti sociálních ekonomik z různých regionů a zemí EU má tato zpráva tři cíle. Zaprvé se snaží přispět k vytváření prostředí příznivého pro sociální ekonomiku. Zadruhé zkoumá, jak lépe využít plného potenciálu sociální ekonomiky, a zatřetí řeší klíčovou otázku: jak lze tento akční plán účinně provádět? </w:t>
      </w:r>
      <w:r>
        <w:t xml:space="preserve">Zpravodaj </w:t>
      </w:r>
      <w:r>
        <w:t>doufá, že díky uvedených bodům přispěje práce Evropského parlamentu na této zprávě k tomu, aby se sociální ekonomice v nadcházejícím desetiletí dařilo.</w:t>
      </w:r>
    </w:p>
    <w:p>
      <w:pPr>
        <w:pStyle w:val="Normal12a"/>
      </w:pPr>
    </w:p>
    <w:sectPr>
      <w:footnotePr>
        <w:numRestart w:val="eachSect"/>
      </w:footnotePr>
      <w:type w:val="continuous"/>
      <w:pgSz w:w="11906" w:h="16838"/>
      <w:pgMar w:top="1134" w:right="1417" w:bottom="1417" w:left="1417" w:header="1134" w:footer="567" w:gutter="0"/>
      <w:cols w:num="1"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702.909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10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10</w:t>
    </w:r>
    <w:r>
      <w:fldChar w:fldCharType="end"/>
    </w:r>
    <w:r>
      <w:tab/>
    </w: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PR\1245032CS.docx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PR\1245032CS.docx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10</w:t>
    </w:r>
    <w:r>
      <w:fldChar w:fldCharType="end"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702.909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PR\1245032CS.docx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702.909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0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color w:val="0000FF"/>
            <w:u w:val="single" w:color="0000FF"/>
          </w:rPr>
          <w:t>Úř. věst. L 094, 28.3.2014, s. 65.</w:t>
        </w:r>
      </w:hyperlink>
    </w:p>
  </w:footnote>
  <w:footnote w:id="1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2" w:history="1">
        <w:r>
          <w:rPr>
            <w:color w:val="0000FF"/>
            <w:u w:val="single" w:color="0000FF"/>
          </w:rPr>
          <w:t>Úř. věst. C 116, 31.3.2020, s. 162</w:t>
        </w:r>
      </w:hyperlink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Přijaté texty, P9_TA(2021)0347.</w:t>
      </w:r>
    </w:p>
  </w:footnote>
  <w:footnote w:id="3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3" w:history="1">
        <w:r>
          <w:rPr>
            <w:color w:val="0000FF"/>
            <w:u w:val="single" w:color="0000FF"/>
          </w:rPr>
          <w:t>Úř. věst. C 345, 8.4.2020, s. 2.</w:t>
        </w:r>
      </w:hyperlink>
    </w:p>
  </w:footnote>
  <w:footnote w:id="4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4" w:history="1">
        <w:r>
          <w:rPr>
            <w:color w:val="0000FF"/>
            <w:u w:val="single" w:color="0000FF"/>
          </w:rPr>
          <w:t>Úř. věst. C 118, 8.4.2020, s. 145.</w:t>
        </w:r>
      </w:hyperlink>
    </w:p>
  </w:footnote>
  <w:footnote w:id="5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5" w:history="1">
        <w:r>
          <w:rPr>
            <w:color w:val="0000FF"/>
            <w:u w:val="single" w:color="0000FF"/>
          </w:rPr>
          <w:t>Úř. věst. C 316, 22.9.2017, s. 224.</w:t>
        </w:r>
      </w:hyperlink>
    </w:p>
  </w:footnote>
  <w:footnote w:id="6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6" w:history="1">
        <w:r>
          <w:rPr>
            <w:color w:val="0000FF"/>
            <w:u w:val="single" w:color="0000FF"/>
          </w:rPr>
          <w:t>Úř. věst. C 75, 26.2.2016, s. 34.</w:t>
        </w:r>
      </w:hyperlink>
    </w:p>
  </w:footnote>
  <w:footnote w:id="7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7" w:history="1">
        <w:r>
          <w:rPr>
            <w:color w:val="0000FF"/>
            <w:u w:val="single" w:color="0000FF"/>
          </w:rPr>
          <w:t>Úř. věst. C 75, 26.2.2016, s. 11.</w:t>
        </w:r>
      </w:hyperlink>
    </w:p>
  </w:footnote>
  <w:footnote w:id="8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8" w:history="1">
        <w:r>
          <w:rPr>
            <w:color w:val="0000FF"/>
            <w:u w:val="single" w:color="0000FF"/>
          </w:rPr>
          <w:t>Úř. věst. C 36, 29.1.2016, s. 111.</w:t>
        </w:r>
      </w:hyperlink>
    </w:p>
  </w:footnote>
  <w:footnote w:id="9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9" w:history="1">
        <w:r>
          <w:rPr>
            <w:color w:val="0000FF"/>
            <w:u w:val="single" w:color="0000FF"/>
          </w:rPr>
          <w:t>Úř. věst. C 419, 16.12.2015, s. 42.</w:t>
        </w:r>
      </w:hyperlink>
    </w:p>
  </w:footnote>
  <w:footnote w:id="10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10" w:history="1">
        <w:r>
          <w:rPr>
            <w:color w:val="0000FF"/>
            <w:u w:val="single" w:color="0000FF"/>
          </w:rPr>
          <w:t>Úř. věst. C 76E, 25.3.2010, s. 16.</w:t>
        </w:r>
      </w:hyperlink>
    </w:p>
  </w:footnote>
  <w:footnote w:id="1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OECD (2020), Sociální ekonomika a krize COVID-19: současné a budoucí úlohy.</w:t>
      </w:r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Mimo jiné v usnesení ze dne 16. prosince 2020 o nové strategii pro evropské malé a střední podniky a ze dne 24. června 2021 o účelnosti evropských právních předpisů a zásadě subsidiarity.</w:t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Eurofound (2019), Změny na trhu práce. Družstva a sociální podniky: práce a zaměstnanost ve vybraných zemích.</w:t>
      </w:r>
    </w:p>
  </w:footnote>
  <w:footnote w:id="1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například „Inovativní modely převodu podniků pro malé a střední podniky v regionu Baltského moře“ programu Interreg, využívání finančních prostředků z Evropského sociálního fondu (ESF) a programu pro zaměstnanost a sociální inovace (EaSI), pilotní projekty Evropského parlamentu, „Převod na družstva“ a „Zachování pracovních míst“.</w:t>
      </w:r>
    </w:p>
  </w:footnote>
  <w:footnote w:id="1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Gorgi Krlev, Giulio Pasi, Dominika Wruk and Marika Bernhard (2021), “Reconceptualizing the Social Economy”, Stanford Social Innovation Review.</w:t>
      </w:r>
    </w:p>
  </w:footnote>
  <w:footnote w:id="1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Bénédicte Fonteneau and Ignace Pollet (eds), (2019), The contribution of the social and solidarity economy and social finance to the future of work, International Labour Office, Geneva.</w:t>
      </w:r>
    </w:p>
  </w:footnote>
  <w:footnote w:id="17">
    <w:p>
      <w:pPr>
        <w:pStyle w:val="FootnoteText"/>
      </w:pPr>
      <w:r>
        <w:rPr>
          <w:rStyle w:val="FootnoteReference"/>
        </w:rPr>
        <w:footnoteRef/>
      </w:r>
      <w:r>
        <w:t xml:space="preserve"> Tam</w:t>
      </w:r>
      <w:r>
        <w:rPr>
          <w:rStyle w:val="Italic"/>
        </w:rPr>
        <w:t>t</w:t>
      </w:r>
      <w:r>
        <w:t>éž.</w:t>
      </w:r>
    </w:p>
  </w:footnote>
  <w:footnote w:id="18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11" w:history="1">
        <w:r>
          <w:rPr>
            <w:color w:val="0000FF"/>
            <w:u w:val="single" w:color="0000FF"/>
          </w:rPr>
          <w:t>https://unsse.org/about/</w:t>
        </w:r>
      </w:hyperlink>
    </w:p>
  </w:footnote>
  <w:footnote w:id="1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Zpráva generálního tajemníka (2021), „Sociální spravedlivý přechod k udržitelnému rozvoji: úloha digitálních technologií pro sociální rozvoj a dobré životní podmínky všech“, Komise pro sociální rozvoj, 8.–17. února 2021, Organizace spojených národů.</w:t>
      </w:r>
    </w:p>
  </w:footnote>
  <w:footnote w:id="2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Stojí za zmínku, že v celkovém systému OSN zvolila Mezinárodní organizace práce pro svou diskusi na 110. zasedání Mezinárodní konference práce, které se má konat v roce 2022, téma důstojné práce a sociální a solidární ekonomiky.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4581"/>
    <w:multiLevelType w:val="hybridMultilevel"/>
    <w:tmpl w:val="F16C6036"/>
    <w:lvl w:ilvl="0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C09CF"/>
    <w:multiLevelType w:val="hybridMultilevel"/>
    <w:tmpl w:val="0DAA9F68"/>
    <w:lvl w:ilvl="0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footnotePr>
    <w:numRestart w:val="eachSect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Comma">
    <w:name w:val="EPComma"/>
    <w:basedOn w:val="Normal"/>
    <w:rsid w:val="006A5366"/>
    <w:pPr>
      <w:spacing w:before="480" w:after="240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TOCRight">
    <w:name w:val="TOC Right"/>
    <w:basedOn w:val="Normal"/>
    <w:rsid w:val="00E839D9"/>
    <w:pPr>
      <w:spacing w:after="240"/>
      <w:jc w:val="right"/>
    </w:pPr>
  </w:style>
  <w:style w:type="paragraph" w:customStyle="1" w:styleId="CoverDateRefPart">
    <w:name w:val="CoverDateRefPart"/>
    <w:basedOn w:val="Normal"/>
    <w:rsid w:val="00C5424C"/>
    <w:pPr>
      <w:spacing w:after="1200"/>
    </w:pPr>
  </w:style>
  <w:style w:type="paragraph" w:customStyle="1" w:styleId="EPName">
    <w:name w:val="EPName"/>
    <w:basedOn w:val="Normal"/>
    <w:rsid w:val="00D16E15"/>
    <w:pPr>
      <w:spacing w:before="80" w:after="80"/>
    </w:pPr>
    <w:rPr>
      <w:rFonts w:ascii="Arial Narrow" w:hAnsi="Arial Narrow" w:cs="Arial"/>
      <w:b/>
      <w:snapToGrid/>
      <w:sz w:val="32"/>
      <w:szCs w:val="22"/>
      <w:lang w:eastAsia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NormalBold">
    <w:name w:val="NormalBold"/>
    <w:basedOn w:val="Normal"/>
    <w:rsid w:val="006A5366"/>
    <w:rPr>
      <w:b/>
    </w:rPr>
  </w:style>
  <w:style w:type="paragraph" w:customStyle="1" w:styleId="CoverReference">
    <w:name w:val="CoverReference"/>
    <w:basedOn w:val="Normal"/>
    <w:rsid w:val="00791131"/>
    <w:pPr>
      <w:spacing w:before="1080"/>
      <w:jc w:val="right"/>
    </w:pPr>
    <w:rPr>
      <w:rFonts w:ascii="Arial" w:hAnsi="Arial" w:cs="Arial"/>
      <w:b/>
    </w:rPr>
  </w:style>
  <w:style w:type="paragraph" w:customStyle="1" w:styleId="CoverNormal24a">
    <w:name w:val="CoverNormal24a"/>
    <w:basedOn w:val="Normal"/>
    <w:rsid w:val="00D20BEB"/>
    <w:pPr>
      <w:spacing w:after="480"/>
      <w:ind w:left="1417"/>
    </w:pPr>
  </w:style>
  <w:style w:type="paragraph" w:styleId="TOC1">
    <w:name w:val="toc 1"/>
    <w:basedOn w:val="Normal"/>
    <w:next w:val="Normal"/>
    <w:autoRedefine/>
    <w:uiPriority w:val="39"/>
    <w:rsid w:val="00E57F92"/>
    <w:pPr>
      <w:spacing w:after="240"/>
    </w:pPr>
  </w:style>
  <w:style w:type="paragraph" w:customStyle="1" w:styleId="TOCPage">
    <w:name w:val="TOC Page"/>
    <w:basedOn w:val="Normal"/>
    <w:next w:val="TOC1"/>
    <w:rsid w:val="004302F8"/>
    <w:pPr>
      <w:keepNext/>
      <w:spacing w:after="24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F03FCA"/>
    <w:pPr>
      <w:spacing w:after="480"/>
      <w:ind w:left="1418"/>
    </w:pPr>
    <w:rPr>
      <w:rFonts w:ascii="Arial" w:hAnsi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customStyle="1" w:styleId="NormalHanging12a">
    <w:name w:val="NormalHanging12a"/>
    <w:basedOn w:val="Normal"/>
    <w:rsid w:val="00E839D9"/>
    <w:pPr>
      <w:spacing w:after="240"/>
      <w:ind w:left="567" w:hanging="567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customStyle="1" w:styleId="PageHeading">
    <w:name w:val="PageHeading"/>
    <w:basedOn w:val="Normal"/>
    <w:rsid w:val="00F03FCA"/>
    <w:pPr>
      <w:keepNext/>
      <w:spacing w:after="480"/>
      <w:jc w:val="center"/>
    </w:pPr>
    <w:rPr>
      <w:rFonts w:ascii="Arial" w:hAnsi="Arial" w:cs="Arial"/>
      <w:b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TOCSubHeading">
    <w:name w:val="TOC SubHeading"/>
    <w:basedOn w:val="Normal"/>
    <w:rsid w:val="00F03FCA"/>
    <w:pPr>
      <w:spacing w:before="480" w:after="240"/>
    </w:pPr>
    <w:rPr>
      <w:b/>
    </w:rPr>
  </w:style>
  <w:style w:type="paragraph" w:customStyle="1" w:styleId="TOCTabLeader">
    <w:name w:val="TOC TabLeader"/>
    <w:basedOn w:val="Normal"/>
    <w:rsid w:val="00E839D9"/>
    <w:pPr>
      <w:tabs>
        <w:tab w:val="left" w:leader="dot" w:pos="5954"/>
      </w:tabs>
      <w:spacing w:after="240"/>
    </w:pPr>
  </w:style>
  <w:style w:type="paragraph" w:customStyle="1" w:styleId="CoverNormalHanging">
    <w:name w:val="CoverNormalHanging"/>
    <w:basedOn w:val="Normal"/>
    <w:rsid w:val="00BF1100"/>
    <w:pPr>
      <w:ind w:left="3686" w:hanging="2268"/>
    </w:pPr>
  </w:style>
  <w:style w:type="paragraph" w:styleId="TOCHeading">
    <w:name w:val="TOC Heading"/>
    <w:basedOn w:val="Normal"/>
    <w:next w:val="TOCPage"/>
    <w:rsid w:val="007F2104"/>
    <w:pPr>
      <w:keepNext/>
      <w:spacing w:before="240" w:after="240"/>
      <w:jc w:val="center"/>
    </w:pPr>
    <w:rPr>
      <w:rFonts w:ascii="Arial" w:hAnsi="Arial"/>
      <w:b/>
      <w:snapToGrid/>
      <w:lang w:eastAsia="en-GB"/>
    </w:rPr>
  </w:style>
  <w:style w:type="table" w:styleId="TableGrid">
    <w:name w:val="Table Grid"/>
    <w:basedOn w:val="TableNormal"/>
    <w:rsid w:val="00F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F03FCA"/>
    <w:pPr>
      <w:jc w:val="center"/>
    </w:pPr>
    <w:rPr>
      <w:rFonts w:ascii="Arial" w:hAnsi="Arial" w:cs="Arial"/>
      <w:i/>
      <w:snapToGrid/>
      <w:sz w:val="22"/>
      <w:szCs w:val="22"/>
      <w:lang w:eastAsia="en-GB"/>
    </w:rPr>
  </w:style>
  <w:style w:type="paragraph" w:customStyle="1" w:styleId="LineTop">
    <w:name w:val="LineTop"/>
    <w:basedOn w:val="Normal"/>
    <w:next w:val="Normal"/>
    <w:rsid w:val="00F732B6"/>
    <w:pPr>
      <w:pBdr>
        <w:top w:val="single" w:sz="4" w:space="1" w:color="auto"/>
      </w:pBdr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791131"/>
    <w:pPr>
      <w:pBdr>
        <w:bottom w:val="single" w:sz="4" w:space="1" w:color="auto"/>
      </w:pBdr>
      <w:spacing w:after="240"/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EPTerm">
    <w:name w:val="EPTerm"/>
    <w:basedOn w:val="Normal"/>
    <w:next w:val="Normal"/>
    <w:rsid w:val="00D16E15"/>
    <w:pPr>
      <w:spacing w:after="80"/>
    </w:pPr>
    <w:rPr>
      <w:rFonts w:ascii="Arial" w:hAnsi="Arial" w:cs="Arial"/>
      <w:snapToGrid/>
      <w:sz w:val="20"/>
      <w:szCs w:val="22"/>
      <w:lang w:eastAsia="en-GB"/>
    </w:rPr>
  </w:style>
  <w:style w:type="paragraph" w:customStyle="1" w:styleId="EPLogo">
    <w:name w:val="EPLogo"/>
    <w:basedOn w:val="Normal"/>
    <w:qFormat/>
    <w:rsid w:val="00D16E15"/>
    <w:pPr>
      <w:jc w:val="right"/>
    </w:pPr>
    <w:rPr>
      <w:snapToGrid/>
      <w:lang w:eastAsia="en-GB"/>
    </w:rPr>
  </w:style>
  <w:style w:type="paragraph" w:customStyle="1" w:styleId="CoverRefPart">
    <w:name w:val="CoverRefPart"/>
    <w:basedOn w:val="Normal"/>
    <w:rsid w:val="00577455"/>
    <w:pPr>
      <w:jc w:val="right"/>
    </w:pPr>
    <w:rPr>
      <w:rFonts w:ascii="Arial" w:hAnsi="Arial"/>
    </w:rPr>
  </w:style>
  <w:style w:type="paragraph" w:customStyle="1" w:styleId="Subheading">
    <w:name w:val="Subheading"/>
    <w:basedOn w:val="Normal"/>
    <w:rsid w:val="0065571D"/>
    <w:pPr>
      <w:spacing w:before="480" w:after="240"/>
    </w:pPr>
    <w:rPr>
      <w:b/>
      <w:bCs/>
      <w:i/>
      <w:iCs/>
    </w:rPr>
  </w:style>
  <w:style w:type="paragraph" w:customStyle="1" w:styleId="EPFooter">
    <w:name w:val="EPFooter"/>
    <w:basedOn w:val="Normal"/>
    <w:rsid w:val="007C663F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Header">
    <w:name w:val="header"/>
    <w:basedOn w:val="Normal"/>
    <w:link w:val="HeaderChar"/>
    <w:semiHidden/>
    <w:rsid w:val="007C66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791131"/>
    <w:rPr>
      <w:snapToGrid w:val="0"/>
      <w:sz w:val="24"/>
      <w:lang w:eastAsia="en-US"/>
    </w:rPr>
  </w:style>
  <w:style w:type="character" w:styleId="PageNumber">
    <w:name w:val="page number"/>
    <w:basedOn w:val="DefaultParagraphFont"/>
    <w:semiHidden/>
    <w:rsid w:val="00131752"/>
  </w:style>
  <w:style w:type="paragraph" w:customStyle="1" w:styleId="AmColumnHeading">
    <w:name w:val="AmColumnHeading"/>
    <w:basedOn w:val="Normal"/>
    <w:rsid w:val="00B47478"/>
    <w:pPr>
      <w:spacing w:after="240"/>
      <w:jc w:val="center"/>
    </w:pPr>
    <w:rPr>
      <w:i/>
      <w:snapToGrid/>
      <w:lang w:eastAsia="en-GB"/>
    </w:rPr>
  </w:style>
  <w:style w:type="paragraph" w:customStyle="1" w:styleId="AmCrossRef">
    <w:name w:val="AmCrossRef"/>
    <w:basedOn w:val="Normal"/>
    <w:rsid w:val="00B47478"/>
    <w:pPr>
      <w:spacing w:before="240" w:after="240"/>
      <w:jc w:val="center"/>
    </w:pPr>
    <w:rPr>
      <w:i/>
      <w:snapToGrid/>
      <w:lang w:eastAsia="en-GB"/>
    </w:rPr>
  </w:style>
  <w:style w:type="paragraph" w:customStyle="1" w:styleId="AmJustText">
    <w:name w:val="AmJustText"/>
    <w:basedOn w:val="Normal"/>
    <w:rsid w:val="00B47478"/>
    <w:pPr>
      <w:spacing w:after="240"/>
    </w:pPr>
    <w:rPr>
      <w:i/>
      <w:snapToGrid/>
      <w:lang w:eastAsia="en-GB"/>
    </w:rPr>
  </w:style>
  <w:style w:type="paragraph" w:customStyle="1" w:styleId="AmJustTitle">
    <w:name w:val="AmJustTitle"/>
    <w:basedOn w:val="Normal"/>
    <w:next w:val="AmJustText"/>
    <w:rsid w:val="00B47478"/>
    <w:pPr>
      <w:keepNext/>
      <w:spacing w:before="240" w:after="240"/>
      <w:jc w:val="center"/>
    </w:pPr>
    <w:rPr>
      <w:i/>
      <w:snapToGrid/>
      <w:lang w:eastAsia="en-GB"/>
    </w:rPr>
  </w:style>
  <w:style w:type="paragraph" w:customStyle="1" w:styleId="AmNumberTabs">
    <w:name w:val="AmNumberTabs"/>
    <w:basedOn w:val="Normal"/>
    <w:rsid w:val="00B474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napToGrid/>
      <w:lang w:eastAsia="en-GB"/>
    </w:rPr>
  </w:style>
  <w:style w:type="paragraph" w:customStyle="1" w:styleId="AmOrLang">
    <w:name w:val="AmOrLang"/>
    <w:basedOn w:val="Normal"/>
    <w:rsid w:val="00B47478"/>
    <w:pPr>
      <w:spacing w:before="240" w:after="240"/>
      <w:jc w:val="right"/>
    </w:pPr>
    <w:rPr>
      <w:snapToGrid/>
      <w:lang w:eastAsia="en-GB"/>
    </w:rPr>
  </w:style>
  <w:style w:type="paragraph" w:customStyle="1" w:styleId="AnnexWPDate">
    <w:name w:val="AnnexWPDate"/>
    <w:basedOn w:val="Normal"/>
    <w:rsid w:val="00B47478"/>
    <w:pPr>
      <w:spacing w:before="240" w:after="480"/>
      <w:jc w:val="right"/>
    </w:pPr>
    <w:rPr>
      <w:snapToGrid/>
      <w:lang w:eastAsia="en-GB"/>
    </w:rPr>
  </w:style>
  <w:style w:type="paragraph" w:customStyle="1" w:styleId="AnnexWPDocType">
    <w:name w:val="AnnexWPDocType"/>
    <w:basedOn w:val="Normal"/>
    <w:rsid w:val="00B47478"/>
    <w:pPr>
      <w:spacing w:after="240"/>
      <w:jc w:val="center"/>
    </w:pPr>
    <w:rPr>
      <w:b/>
      <w:snapToGrid/>
      <w:lang w:eastAsia="en-GB"/>
    </w:rPr>
  </w:style>
  <w:style w:type="paragraph" w:customStyle="1" w:styleId="AnnexWPLogo">
    <w:name w:val="AnnexWPLogo"/>
    <w:basedOn w:val="Normal"/>
    <w:rsid w:val="00B47478"/>
    <w:pPr>
      <w:spacing w:before="120" w:after="120"/>
    </w:pPr>
    <w:rPr>
      <w:snapToGrid/>
      <w:lang w:eastAsia="en-GB"/>
    </w:rPr>
  </w:style>
  <w:style w:type="paragraph" w:customStyle="1" w:styleId="AnnexWPSmall">
    <w:name w:val="AnnexWPSmall"/>
    <w:basedOn w:val="Normal"/>
    <w:rsid w:val="00B47478"/>
    <w:rPr>
      <w:smallCaps/>
      <w:snapToGrid/>
      <w:sz w:val="20"/>
      <w:lang w:eastAsia="en-GB"/>
    </w:rPr>
  </w:style>
  <w:style w:type="paragraph" w:customStyle="1" w:styleId="AnnexWPTabs">
    <w:name w:val="AnnexWPTabs"/>
    <w:basedOn w:val="Normal"/>
    <w:rsid w:val="00B47478"/>
    <w:pPr>
      <w:tabs>
        <w:tab w:val="right" w:pos="3686"/>
        <w:tab w:val="left" w:pos="3827"/>
      </w:tabs>
    </w:pPr>
    <w:rPr>
      <w:b/>
      <w:snapToGrid/>
      <w:lang w:eastAsia="en-GB"/>
    </w:rPr>
  </w:style>
  <w:style w:type="paragraph" w:customStyle="1" w:styleId="AnnexWPTitle">
    <w:name w:val="AnnexWPTitle"/>
    <w:basedOn w:val="Normal"/>
    <w:rsid w:val="00B47478"/>
    <w:pPr>
      <w:spacing w:before="480"/>
    </w:pPr>
    <w:rPr>
      <w:b/>
      <w:snapToGrid/>
      <w:lang w:eastAsia="en-GB"/>
    </w:rPr>
  </w:style>
  <w:style w:type="paragraph" w:customStyle="1" w:styleId="AmHeadingConsam">
    <w:name w:val="AmHeadingConsam"/>
    <w:basedOn w:val="Normal"/>
    <w:next w:val="Normal"/>
    <w:rsid w:val="00B47478"/>
    <w:pPr>
      <w:spacing w:before="720" w:after="240"/>
      <w:jc w:val="center"/>
    </w:pPr>
    <w:rPr>
      <w:snapToGrid/>
      <w:lang w:eastAsia="en-GB"/>
    </w:rPr>
  </w:style>
  <w:style w:type="paragraph" w:customStyle="1" w:styleId="CoverNormal12a">
    <w:name w:val="CoverNormal12a"/>
    <w:basedOn w:val="Normal"/>
    <w:rsid w:val="00B47478"/>
    <w:pPr>
      <w:spacing w:after="240"/>
      <w:ind w:left="1418"/>
    </w:pPr>
    <w:rPr>
      <w:snapToGrid/>
      <w:lang w:eastAsia="en-GB"/>
    </w:rPr>
  </w:style>
  <w:style w:type="paragraph" w:customStyle="1" w:styleId="Confidential">
    <w:name w:val="Confidential"/>
    <w:basedOn w:val="Normal"/>
    <w:rsid w:val="00B47478"/>
    <w:pPr>
      <w:spacing w:before="120" w:after="120"/>
      <w:jc w:val="center"/>
    </w:pPr>
    <w:rPr>
      <w:rFonts w:ascii="Arial" w:hAnsi="Arial"/>
      <w:caps/>
      <w:snapToGrid/>
      <w:lang w:eastAsia="en-GB"/>
    </w:rPr>
  </w:style>
  <w:style w:type="paragraph" w:customStyle="1" w:styleId="CoverReferenceIMM">
    <w:name w:val="CoverReferenceIMM"/>
    <w:basedOn w:val="Normal"/>
    <w:rsid w:val="00B47478"/>
    <w:pPr>
      <w:spacing w:before="360"/>
      <w:jc w:val="right"/>
    </w:pPr>
    <w:rPr>
      <w:rFonts w:ascii="Arial" w:hAnsi="Arial"/>
      <w:b/>
      <w:snapToGrid/>
      <w:lang w:eastAsia="en-GB"/>
    </w:rPr>
  </w:style>
  <w:style w:type="paragraph" w:customStyle="1" w:styleId="CoverDate">
    <w:name w:val="CoverDate"/>
    <w:basedOn w:val="Normal"/>
    <w:rsid w:val="00B47478"/>
    <w:pPr>
      <w:spacing w:before="240" w:after="1200"/>
    </w:pPr>
    <w:rPr>
      <w:snapToGrid/>
      <w:lang w:eastAsia="en-GB"/>
    </w:rPr>
  </w:style>
  <w:style w:type="paragraph" w:customStyle="1" w:styleId="CoverDocType">
    <w:name w:val="CoverDocType"/>
    <w:basedOn w:val="Normal"/>
    <w:rsid w:val="00B47478"/>
    <w:pPr>
      <w:ind w:left="1418"/>
    </w:pPr>
    <w:rPr>
      <w:rFonts w:ascii="Arial" w:hAnsi="Arial"/>
      <w:b/>
      <w:snapToGrid/>
      <w:sz w:val="48"/>
      <w:lang w:eastAsia="en-GB"/>
    </w:rPr>
  </w:style>
  <w:style w:type="character" w:styleId="FootnoteReference">
    <w:name w:val="footnote reference"/>
    <w:rsid w:val="00B47478"/>
    <w:rPr>
      <w:vertAlign w:val="superscript"/>
    </w:rPr>
  </w:style>
  <w:style w:type="paragraph" w:customStyle="1" w:styleId="NormalBold12a">
    <w:name w:val="NormalBold12a"/>
    <w:basedOn w:val="Normal"/>
    <w:rsid w:val="00B47478"/>
    <w:pPr>
      <w:spacing w:after="240"/>
    </w:pPr>
    <w:rPr>
      <w:b/>
      <w:snapToGrid/>
      <w:lang w:eastAsia="en-GB"/>
    </w:rPr>
  </w:style>
  <w:style w:type="paragraph" w:customStyle="1" w:styleId="NormalCenter12a">
    <w:name w:val="NormalCenter12a"/>
    <w:basedOn w:val="Normal"/>
    <w:rsid w:val="00B47478"/>
    <w:pPr>
      <w:spacing w:after="240"/>
      <w:jc w:val="center"/>
    </w:pPr>
    <w:rPr>
      <w:snapToGrid/>
      <w:lang w:eastAsia="en-GB"/>
    </w:rPr>
  </w:style>
  <w:style w:type="paragraph" w:customStyle="1" w:styleId="Normal6a">
    <w:name w:val="Normal6a"/>
    <w:basedOn w:val="Normal"/>
    <w:rsid w:val="00B47478"/>
    <w:pPr>
      <w:spacing w:after="120"/>
    </w:pPr>
    <w:rPr>
      <w:snapToGrid/>
      <w:lang w:eastAsia="en-GB"/>
    </w:rPr>
  </w:style>
  <w:style w:type="paragraph" w:customStyle="1" w:styleId="NormalBold12b">
    <w:name w:val="NormalBold12b"/>
    <w:basedOn w:val="Normal"/>
    <w:rsid w:val="00B47478"/>
    <w:pPr>
      <w:spacing w:before="240"/>
    </w:pPr>
    <w:rPr>
      <w:b/>
      <w:snapToGrid/>
      <w:lang w:eastAsia="en-GB"/>
    </w:rPr>
  </w:style>
  <w:style w:type="paragraph" w:customStyle="1" w:styleId="Arial14CentreBold">
    <w:name w:val="Arial14CentreBold"/>
    <w:basedOn w:val="Normal"/>
    <w:qFormat/>
    <w:rsid w:val="00A75A20"/>
    <w:pPr>
      <w:jc w:val="center"/>
    </w:pPr>
    <w:rPr>
      <w:rFonts w:ascii="Arial" w:hAnsi="Arial" w:cs="Arial"/>
      <w:b/>
      <w:snapToGrid/>
      <w:sz w:val="28"/>
      <w:szCs w:val="28"/>
      <w:lang w:eastAsia="en-GB"/>
    </w:rPr>
  </w:style>
  <w:style w:type="character" w:customStyle="1" w:styleId="Bold">
    <w:name w:val="Bold"/>
    <w:uiPriority w:val="1"/>
    <w:rsid w:val="0065571D"/>
    <w:rPr>
      <w:b/>
    </w:rPr>
  </w:style>
  <w:style w:type="character" w:customStyle="1" w:styleId="BoldItalic">
    <w:name w:val="BoldItalic"/>
    <w:uiPriority w:val="1"/>
    <w:rsid w:val="0065571D"/>
    <w:rPr>
      <w:b/>
      <w:i/>
      <w:u w:val="none"/>
    </w:rPr>
  </w:style>
  <w:style w:type="character" w:customStyle="1" w:styleId="BoldItalicUnderline">
    <w:name w:val="BoldItalicUnderline"/>
    <w:uiPriority w:val="1"/>
    <w:rsid w:val="0065571D"/>
    <w:rPr>
      <w:b/>
      <w:i/>
      <w:u w:val="single"/>
    </w:rPr>
  </w:style>
  <w:style w:type="character" w:customStyle="1" w:styleId="BoldUnderline">
    <w:name w:val="BoldUnderline"/>
    <w:uiPriority w:val="1"/>
    <w:rsid w:val="0065571D"/>
    <w:rPr>
      <w:b/>
      <w:u w:val="single"/>
    </w:rPr>
  </w:style>
  <w:style w:type="paragraph" w:customStyle="1" w:styleId="CoverNormalLeft">
    <w:name w:val="CoverNormalLeft"/>
    <w:basedOn w:val="CoverNormal"/>
    <w:qFormat/>
    <w:rsid w:val="00A75A20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A75A2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2707F5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A75A20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65571D"/>
    <w:rPr>
      <w:i/>
    </w:rPr>
  </w:style>
  <w:style w:type="character" w:customStyle="1" w:styleId="ItalicUnderline">
    <w:name w:val="ItalicUnderline"/>
    <w:uiPriority w:val="1"/>
    <w:rsid w:val="0065571D"/>
    <w:rPr>
      <w:i/>
      <w:u w:val="single"/>
    </w:rPr>
  </w:style>
  <w:style w:type="paragraph" w:customStyle="1" w:styleId="LegendSign">
    <w:name w:val="LegendSign"/>
    <w:basedOn w:val="Normal"/>
    <w:qFormat/>
    <w:rsid w:val="00A75A20"/>
    <w:pPr>
      <w:tabs>
        <w:tab w:val="right" w:pos="454"/>
        <w:tab w:val="left" w:pos="737"/>
      </w:tabs>
      <w:ind w:left="737" w:hanging="737"/>
    </w:pPr>
    <w:rPr>
      <w:snapToGrid/>
      <w:sz w:val="18"/>
      <w:lang w:eastAsia="en-GB"/>
    </w:rPr>
  </w:style>
  <w:style w:type="paragraph" w:customStyle="1" w:styleId="LegendStandard">
    <w:name w:val="LegendStandard"/>
    <w:basedOn w:val="LegendSign"/>
    <w:qFormat/>
    <w:rsid w:val="00A75A20"/>
    <w:pPr>
      <w:ind w:left="0" w:firstLine="0"/>
    </w:pPr>
  </w:style>
  <w:style w:type="paragraph" w:customStyle="1" w:styleId="LegendTitle">
    <w:name w:val="LegendTitle"/>
    <w:basedOn w:val="Normal"/>
    <w:qFormat/>
    <w:rsid w:val="00A75A20"/>
    <w:pPr>
      <w:spacing w:before="240" w:after="240"/>
    </w:pPr>
    <w:rPr>
      <w:b/>
      <w:i/>
      <w:snapToGrid/>
      <w:lang w:eastAsia="en-GB"/>
    </w:rPr>
  </w:style>
  <w:style w:type="character" w:customStyle="1" w:styleId="HideTermComment">
    <w:name w:val="HideTermComment"/>
    <w:uiPriority w:val="1"/>
    <w:qFormat/>
    <w:rsid w:val="00A75A20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A75A20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031EA2"/>
    <w:pPr>
      <w:spacing w:after="240"/>
    </w:pPr>
    <w:rPr>
      <w:snapToGrid/>
      <w:lang w:eastAsia="en-GB"/>
    </w:rPr>
  </w:style>
  <w:style w:type="paragraph" w:customStyle="1" w:styleId="Normal12b">
    <w:name w:val="Normal12b"/>
    <w:basedOn w:val="Normal"/>
    <w:qFormat/>
    <w:rsid w:val="00A75A20"/>
    <w:pPr>
      <w:spacing w:before="240"/>
    </w:pPr>
    <w:rPr>
      <w:snapToGrid/>
      <w:lang w:eastAsia="en-GB"/>
    </w:rPr>
  </w:style>
  <w:style w:type="paragraph" w:customStyle="1" w:styleId="NormalBoldUnderline24b">
    <w:name w:val="NormalBoldUnderline24b"/>
    <w:basedOn w:val="Normal"/>
    <w:qFormat/>
    <w:rsid w:val="001038F2"/>
    <w:pPr>
      <w:spacing w:before="480"/>
    </w:pPr>
    <w:rPr>
      <w:b/>
      <w:snapToGrid/>
      <w:u w:val="single"/>
      <w:lang w:eastAsia="en-GB"/>
    </w:rPr>
  </w:style>
  <w:style w:type="paragraph" w:customStyle="1" w:styleId="NormalBoldUnderline24b12a">
    <w:name w:val="NormalBoldUnderline24b12a"/>
    <w:basedOn w:val="NormalBoldUnderline24b"/>
    <w:qFormat/>
    <w:rsid w:val="00A75A20"/>
    <w:pPr>
      <w:spacing w:after="240"/>
    </w:pPr>
  </w:style>
  <w:style w:type="paragraph" w:customStyle="1" w:styleId="Normal12aBullet1">
    <w:name w:val="Normal12aBullet1"/>
    <w:basedOn w:val="Normal"/>
    <w:qFormat/>
    <w:rsid w:val="00A75A20"/>
    <w:pPr>
      <w:widowControl/>
      <w:numPr>
        <w:numId w:val="1"/>
      </w:numPr>
    </w:pPr>
    <w:rPr>
      <w:snapToGrid/>
      <w:lang w:eastAsia="en-GB"/>
    </w:rPr>
  </w:style>
  <w:style w:type="paragraph" w:customStyle="1" w:styleId="Normal12aBullet2">
    <w:name w:val="Normal12aBullet2"/>
    <w:basedOn w:val="Normal"/>
    <w:qFormat/>
    <w:rsid w:val="00A75A20"/>
    <w:pPr>
      <w:numPr>
        <w:numId w:val="2"/>
      </w:numPr>
    </w:pPr>
    <w:rPr>
      <w:snapToGrid/>
      <w:lang w:eastAsia="en-GB"/>
    </w:rPr>
  </w:style>
  <w:style w:type="paragraph" w:customStyle="1" w:styleId="NormalHanging12a1">
    <w:name w:val="NormalHanging12a1"/>
    <w:basedOn w:val="Normal"/>
    <w:qFormat/>
    <w:rsid w:val="00C668A5"/>
    <w:pPr>
      <w:spacing w:after="240"/>
      <w:ind w:left="992" w:hanging="425"/>
    </w:pPr>
    <w:rPr>
      <w:snapToGrid/>
      <w:lang w:eastAsia="en-GB"/>
    </w:rPr>
  </w:style>
  <w:style w:type="paragraph" w:customStyle="1" w:styleId="NormalHanging12a2">
    <w:name w:val="NormalHanging12a2"/>
    <w:basedOn w:val="NormalHanging12a1"/>
    <w:qFormat/>
    <w:rsid w:val="00A75A20"/>
    <w:pPr>
      <w:ind w:left="1417"/>
    </w:pPr>
  </w:style>
  <w:style w:type="paragraph" w:customStyle="1" w:styleId="NormalHanging12a3">
    <w:name w:val="NormalHanging12a3"/>
    <w:basedOn w:val="NormalHanging12a2"/>
    <w:qFormat/>
    <w:rsid w:val="00A75A20"/>
    <w:pPr>
      <w:ind w:left="1843"/>
    </w:pPr>
  </w:style>
  <w:style w:type="paragraph" w:customStyle="1" w:styleId="NormalHanging12a4">
    <w:name w:val="NormalHanging12a4"/>
    <w:basedOn w:val="NormalHanging12a3"/>
    <w:qFormat/>
    <w:rsid w:val="00A75A20"/>
    <w:pPr>
      <w:ind w:left="2268"/>
    </w:pPr>
  </w:style>
  <w:style w:type="paragraph" w:customStyle="1" w:styleId="NormalHanging12a5">
    <w:name w:val="NormalHanging12a5"/>
    <w:basedOn w:val="NormalHanging12a4"/>
    <w:qFormat/>
    <w:rsid w:val="00A75A20"/>
    <w:pPr>
      <w:ind w:left="2693"/>
    </w:pPr>
  </w:style>
  <w:style w:type="paragraph" w:customStyle="1" w:styleId="NormalHanging12a6">
    <w:name w:val="NormalHanging12a6"/>
    <w:basedOn w:val="NormalHanging12a5"/>
    <w:qFormat/>
    <w:rsid w:val="00A75A20"/>
    <w:pPr>
      <w:ind w:left="3118"/>
    </w:pPr>
  </w:style>
  <w:style w:type="paragraph" w:customStyle="1" w:styleId="NormalHanging12a7">
    <w:name w:val="NormalHanging12a7"/>
    <w:basedOn w:val="NormalHanging12a6"/>
    <w:qFormat/>
    <w:rsid w:val="00A75A20"/>
    <w:pPr>
      <w:ind w:left="3544"/>
    </w:pPr>
  </w:style>
  <w:style w:type="paragraph" w:customStyle="1" w:styleId="NormalHangingCenter">
    <w:name w:val="NormalHangingCenter"/>
    <w:basedOn w:val="Normal"/>
    <w:qFormat/>
    <w:rsid w:val="00BC0B6B"/>
    <w:pPr>
      <w:spacing w:after="240"/>
      <w:ind w:left="567" w:hanging="567"/>
      <w:jc w:val="center"/>
    </w:pPr>
    <w:rPr>
      <w:snapToGrid/>
      <w:lang w:eastAsia="en-GB"/>
    </w:rPr>
  </w:style>
  <w:style w:type="paragraph" w:customStyle="1" w:styleId="NormalHangingJustified">
    <w:name w:val="NormalHangingJustified"/>
    <w:basedOn w:val="Normal"/>
    <w:qFormat/>
    <w:rsid w:val="00BC0B6B"/>
    <w:pPr>
      <w:spacing w:after="240"/>
      <w:ind w:left="714" w:hanging="357"/>
      <w:jc w:val="both"/>
    </w:pPr>
    <w:rPr>
      <w:snapToGrid/>
      <w:lang w:eastAsia="en-GB"/>
    </w:rPr>
  </w:style>
  <w:style w:type="paragraph" w:customStyle="1" w:styleId="NormalUnderline24b12a">
    <w:name w:val="NormalUnderline24b12a"/>
    <w:basedOn w:val="EPComma"/>
    <w:qFormat/>
    <w:rsid w:val="00A75A20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A75A20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A75A20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A75A20"/>
    <w:rPr>
      <w:b/>
      <w:i/>
    </w:rPr>
  </w:style>
  <w:style w:type="paragraph" w:customStyle="1" w:styleId="NormalBoldItalicCenter6a">
    <w:name w:val="NormalBoldItalicCenter6a"/>
    <w:basedOn w:val="Normal6a"/>
    <w:qFormat/>
    <w:rsid w:val="00A75A20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A75A20"/>
    <w:rPr>
      <w:i/>
    </w:rPr>
  </w:style>
  <w:style w:type="paragraph" w:customStyle="1" w:styleId="PageHeadingNotTOC">
    <w:name w:val="PageHeadingNotTOC"/>
    <w:basedOn w:val="PageHeading"/>
    <w:rsid w:val="00A75A20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65571D"/>
    <w:rPr>
      <w:vertAlign w:val="subscript"/>
    </w:rPr>
  </w:style>
  <w:style w:type="character" w:customStyle="1" w:styleId="SubBold">
    <w:name w:val="SubBold"/>
    <w:uiPriority w:val="1"/>
    <w:qFormat/>
    <w:rsid w:val="0065571D"/>
    <w:rPr>
      <w:b/>
      <w:vertAlign w:val="subscript"/>
    </w:rPr>
  </w:style>
  <w:style w:type="character" w:customStyle="1" w:styleId="SubBoldItalic">
    <w:name w:val="SubBoldItalic"/>
    <w:uiPriority w:val="1"/>
    <w:rsid w:val="0065571D"/>
    <w:rPr>
      <w:b/>
      <w:i/>
      <w:vertAlign w:val="subscript"/>
    </w:rPr>
  </w:style>
  <w:style w:type="character" w:customStyle="1" w:styleId="SubItalic">
    <w:name w:val="SubItalic"/>
    <w:uiPriority w:val="1"/>
    <w:qFormat/>
    <w:rsid w:val="0065571D"/>
    <w:rPr>
      <w:b/>
      <w:i/>
      <w:vertAlign w:val="subscript"/>
    </w:rPr>
  </w:style>
  <w:style w:type="character" w:customStyle="1" w:styleId="Sup">
    <w:name w:val="Sup"/>
    <w:uiPriority w:val="1"/>
    <w:rsid w:val="0065571D"/>
    <w:rPr>
      <w:vertAlign w:val="superscript"/>
    </w:rPr>
  </w:style>
  <w:style w:type="character" w:customStyle="1" w:styleId="SupBoldItalic">
    <w:name w:val="SupBoldItalic"/>
    <w:uiPriority w:val="1"/>
    <w:qFormat/>
    <w:rsid w:val="0065571D"/>
    <w:rPr>
      <w:b/>
      <w:i/>
      <w:vertAlign w:val="superscript"/>
    </w:rPr>
  </w:style>
  <w:style w:type="character" w:customStyle="1" w:styleId="Underline">
    <w:name w:val="Underline"/>
    <w:uiPriority w:val="1"/>
    <w:rsid w:val="0065571D"/>
    <w:rPr>
      <w:u w:val="single"/>
    </w:rPr>
  </w:style>
  <w:style w:type="paragraph" w:customStyle="1" w:styleId="NormalBoldCenter">
    <w:name w:val="NormalBoldCenter"/>
    <w:basedOn w:val="Normal"/>
    <w:rsid w:val="00880359"/>
    <w:pPr>
      <w:jc w:val="center"/>
    </w:pPr>
    <w:rPr>
      <w:b/>
      <w:snapToGrid/>
      <w:lang w:eastAsia="en-GB"/>
    </w:rPr>
  </w:style>
  <w:style w:type="paragraph" w:customStyle="1" w:styleId="ProcedureTable">
    <w:name w:val="ProcedureTable"/>
    <w:basedOn w:val="Normal"/>
    <w:rsid w:val="008572D4"/>
    <w:rPr>
      <w:snapToGrid/>
      <w:sz w:val="20"/>
      <w:lang w:eastAsia="en-GB"/>
    </w:rPr>
  </w:style>
  <w:style w:type="paragraph" w:customStyle="1" w:styleId="ProcedureTableBold">
    <w:name w:val="ProcedureTableBold"/>
    <w:basedOn w:val="Normal"/>
    <w:rsid w:val="008572D4"/>
    <w:rPr>
      <w:b/>
      <w:snapToGrid/>
      <w:sz w:val="20"/>
      <w:lang w:eastAsia="en-GB"/>
    </w:rPr>
  </w:style>
  <w:style w:type="paragraph" w:customStyle="1" w:styleId="NormalCenter">
    <w:name w:val="NormalCenter"/>
    <w:basedOn w:val="Normal"/>
    <w:rsid w:val="00314D1A"/>
    <w:pPr>
      <w:jc w:val="center"/>
    </w:pPr>
    <w:rPr>
      <w:snapToGrid/>
      <w:lang w:eastAsia="en-GB"/>
    </w:rPr>
  </w:style>
  <w:style w:type="character" w:customStyle="1" w:styleId="SubBoldItalicUnderline">
    <w:name w:val="SubBoldItalicUnderline"/>
    <w:uiPriority w:val="1"/>
    <w:rsid w:val="0065571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65571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65571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65571D"/>
    <w:rPr>
      <w:u w:val="single"/>
      <w:vertAlign w:val="subscript"/>
    </w:rPr>
  </w:style>
  <w:style w:type="character" w:customStyle="1" w:styleId="SupBold">
    <w:name w:val="SupBold"/>
    <w:uiPriority w:val="1"/>
    <w:rsid w:val="0065571D"/>
    <w:rPr>
      <w:b/>
      <w:vertAlign w:val="superscript"/>
    </w:rPr>
  </w:style>
  <w:style w:type="character" w:customStyle="1" w:styleId="SupBoldItalicUnderline">
    <w:name w:val="SupBoldItalicUnderline"/>
    <w:uiPriority w:val="1"/>
    <w:rsid w:val="0065571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65571D"/>
    <w:rPr>
      <w:b/>
      <w:u w:val="single"/>
      <w:vertAlign w:val="superscript"/>
    </w:rPr>
  </w:style>
  <w:style w:type="character" w:customStyle="1" w:styleId="SupItalic">
    <w:name w:val="SupItalic"/>
    <w:uiPriority w:val="1"/>
    <w:rsid w:val="0065571D"/>
    <w:rPr>
      <w:i/>
      <w:vertAlign w:val="superscript"/>
    </w:rPr>
  </w:style>
  <w:style w:type="character" w:customStyle="1" w:styleId="SupItalicUnderline">
    <w:name w:val="SupItalicUnderline"/>
    <w:uiPriority w:val="1"/>
    <w:rsid w:val="0065571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65571D"/>
    <w:rPr>
      <w:u w:val="single"/>
      <w:vertAlign w:val="superscript"/>
    </w:rPr>
  </w:style>
  <w:style w:type="paragraph" w:customStyle="1" w:styleId="Normal24a">
    <w:name w:val="Normal24a"/>
    <w:basedOn w:val="Normal"/>
    <w:rsid w:val="00B140D0"/>
    <w:pPr>
      <w:spacing w:after="480"/>
    </w:pPr>
    <w:rPr>
      <w:snapToGrid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numbering" Target="numbering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s://eur-lex.europa.eu/legal-content/EN/TXT/?uri=uriserv:OJ.L_.2014.094.01.0065.01.ENG" TargetMode="External" /><Relationship Id="rId10" Type="http://schemas.openxmlformats.org/officeDocument/2006/relationships/hyperlink" Target="https://eur-lex.europa.eu/legal-content/EN/TXT/?uri=CELEX%3A52009IP0062&amp;qid=1644484713996" TargetMode="External" /><Relationship Id="rId11" Type="http://schemas.openxmlformats.org/officeDocument/2006/relationships/hyperlink" Target="https://unsse.org/about/" TargetMode="External" /><Relationship Id="rId2" Type="http://schemas.openxmlformats.org/officeDocument/2006/relationships/hyperlink" Target="https://eur-lex.europa.eu/legal-content/EN/TXT/?uri=uriserv:OJ.C_.2021.116.01.0162.01.ENG" TargetMode="External" /><Relationship Id="rId3" Type="http://schemas.openxmlformats.org/officeDocument/2006/relationships/hyperlink" Target="https://eur-lex.europa.eu/legal-content/EN/TXT/?uri=CELEX%3A52018IP0400&amp;qid=1644483833778" TargetMode="External" /><Relationship Id="rId4" Type="http://schemas.openxmlformats.org/officeDocument/2006/relationships/hyperlink" Target="https://eur-lex.europa.eu/legal-content/EN/TXT/?uri=CELEX%3A52018IP0317" TargetMode="External" /><Relationship Id="rId5" Type="http://schemas.openxmlformats.org/officeDocument/2006/relationships/hyperlink" Target="https://eur-lex.europa.eu/legal-content/EN/TXT/?uri=CELEX:52015IP0320" TargetMode="External" /><Relationship Id="rId6" Type="http://schemas.openxmlformats.org/officeDocument/2006/relationships/hyperlink" Target="https://eur-lex.europa.eu/legal-content/EN/TXT/?uri=CELEX%3A52013IP0301" TargetMode="External" /><Relationship Id="rId7" Type="http://schemas.openxmlformats.org/officeDocument/2006/relationships/hyperlink" Target="https://eur-lex.europa.eu/legal-content/EN/TXT/?uri=CELEX%3A52013IP0293" TargetMode="External" /><Relationship Id="rId8" Type="http://schemas.openxmlformats.org/officeDocument/2006/relationships/hyperlink" Target="https://eur-lex.europa.eu/legal-content/EN/TXT/?uri=CELEX%3A52013IP0094" TargetMode="External" /><Relationship Id="rId9" Type="http://schemas.openxmlformats.org/officeDocument/2006/relationships/hyperlink" Target="https://eur-lex.europa.eu/legal-content/EN/TXT/?uri=CELEX%3A52012IP0429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10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1245032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UID">
    <vt:lpwstr>20220223-165315-289566-656089</vt:lpwstr>
  </property>
  <property fmtid="{D5CDD505-2E9C-101B-9397-08002B2CF9AE}" pid="7" name="FooterPath">
    <vt:lpwstr>PR\1245032CS.doc</vt:lpwstr>
  </property>
  <property fmtid="{D5CDD505-2E9C-101B-9397-08002B2CF9AE}" pid="8" name="PE Number">
    <vt:lpwstr>702.909</vt:lpwstr>
  </property>
  <property fmtid="{D5CDD505-2E9C-101B-9397-08002B2CF9AE}" pid="9" name="UID">
    <vt:lpwstr>eu.europa.europarl-DIN1-2022-0000019421_01.03-cs-02.00_text-xml</vt:lpwstr>
  </property>
</Properties>
</file>