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Európsky parlament</w:t>
            </w:r>
          </w:p>
          <w:p>
            <w:pPr>
              <w:pStyle w:val="EPTerm"/>
            </w:pPr>
            <w:r>
              <w:t>2019-2024</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374303"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EMPL</w:t>
      </w:r>
      <w:r>
        <w:rPr>
          <w:rStyle w:val="HideTWBInt"/>
        </w:rPr>
        <w:t>}</w:t>
      </w:r>
      <w:r>
        <w:t>Výbor pre zamestnanosť a sociálne veci</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2021/2179</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08/02/2022</w:t>
      </w:r>
      <w:r>
        <w:rPr>
          <w:rStyle w:val="HideTWBInt"/>
        </w:rPr>
        <w:t>}</w:t>
      </w:r>
      <w:r>
        <w:t>8.2.2022</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NÁVRH SPRÁVY</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o akčnom pláne EÚ pre sociálne hospodárstvo</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(2021/2179(INI))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EMPL</w:t>
      </w:r>
      <w:r>
        <w:rPr>
          <w:rStyle w:val="HideTWBInt"/>
        </w:rPr>
        <w:t>}</w:t>
      </w:r>
      <w:r>
        <w:t>Výbor pre zamestnanosť a sociálne veci</w:t>
      </w:r>
      <w:r>
        <w:rPr>
          <w:rStyle w:val="HideTWBExt"/>
        </w:rPr>
        <w:t>&lt;/</w:t>
      </w:r>
      <w:r>
        <w:rPr>
          <w:rStyle w:val="HideTWBExt"/>
        </w:rPr>
        <w:t>Commission</w:t>
      </w:r>
      <w:r>
        <w:rPr>
          <w:rStyle w:val="HideTWBExt"/>
        </w:rPr>
        <w:t>&gt;</w:t>
      </w:r>
    </w:p>
    <w:p>
      <w:pPr>
        <w:pStyle w:val="CoverNormal24a"/>
      </w:pPr>
      <w:r>
        <w:t>Spravodajca</w:t>
      </w:r>
      <w:r>
        <w:t xml:space="preserve">: </w:t>
      </w:r>
      <w:r>
        <w:rPr>
          <w:rStyle w:val="HideTWBExt"/>
        </w:rPr>
        <w:t>&lt;</w:t>
      </w:r>
      <w:r>
        <w:rPr>
          <w:rStyle w:val="HideTWBExt"/>
        </w:rPr>
        <w:t>Depute</w:t>
      </w:r>
      <w:r>
        <w:rPr>
          <w:rStyle w:val="HideTWBExt"/>
        </w:rPr>
        <w:t>&gt;</w:t>
      </w:r>
      <w:r>
        <w:t>Jordi Cañas</w:t>
      </w:r>
      <w:r>
        <w:rPr>
          <w:rStyle w:val="HideTWBExt"/>
        </w:rPr>
        <w:t>&lt;/</w:t>
      </w:r>
      <w:r>
        <w:rPr>
          <w:rStyle w:val="HideTWBExt"/>
        </w:rPr>
        <w:t>Depute</w:t>
      </w:r>
      <w:r>
        <w:rPr>
          <w:rStyle w:val="HideTWBExt"/>
        </w:rPr>
        <w:t>&gt;</w:t>
      </w:r>
    </w:p>
    <w:p>
      <w:r>
        <w:br w:type="page"/>
      </w:r>
      <w:r>
        <w:t>PR_INI</w:t>
      </w:r>
    </w:p>
    <w:p>
      <w:pPr>
        <w:pStyle w:val="TOCHeading"/>
      </w:pPr>
      <w:r>
        <w:t>OBSAH</w:t>
      </w:r>
    </w:p>
    <w:p>
      <w:pPr>
        <w:pStyle w:val="TOCPage"/>
      </w:pPr>
      <w:r>
        <w:t>Strana</w:t>
      </w:r>
    </w:p>
    <w:p>
      <w:pPr>
        <w:pStyle w:val="TOC1"/>
        <w:tabs>
          <w:tab w:val="right" w:leader="dot" w:pos="9062"/>
        </w:tabs>
        <w:rPr>
          <w:rFonts w:ascii="Calibri" w:hAnsi="Calibri"/>
          <w:noProof/>
          <w:sz w:val="22"/>
        </w:rPr>
      </w:pPr>
      <w:r>
        <w:fldChar w:fldCharType="begin"/>
      </w:r>
      <w:r>
        <w:instrText>TOC \t "PageHeading"</w:instrText>
      </w:r>
      <w:r>
        <w:fldChar w:fldCharType="separate"/>
      </w:r>
      <w:r>
        <w:t>NÁVRH UZNESENIA EURÓPSKEHO PARLAMENTU</w:t>
      </w:r>
      <w:r>
        <w:tab/>
      </w:r>
      <w:r>
        <w:fldChar w:fldCharType="begin"/>
      </w:r>
      <w:r>
        <w:instrText xml:space="preserve"> PAGEREF _Toc256000002 \h </w:instrText>
      </w:r>
      <w:r>
        <w:fldChar w:fldCharType="separate"/>
      </w:r>
      <w:r>
        <w:t>3</w:t>
      </w:r>
      <w:r>
        <w:fldChar w:fldCharType="end"/>
      </w:r>
    </w:p>
    <w:p>
      <w:pPr>
        <w:pStyle w:val="TOC1"/>
        <w:tabs>
          <w:tab w:val="right" w:leader="dot" w:pos="9062"/>
        </w:tabs>
        <w:rPr>
          <w:rFonts w:ascii="Calibri" w:hAnsi="Calibri"/>
          <w:noProof/>
          <w:sz w:val="22"/>
        </w:rPr>
      </w:pPr>
      <w:r>
        <w:t>DÔVODOVÁ SPRÁVA</w:t>
      </w:r>
      <w:r>
        <w:tab/>
      </w:r>
      <w:r>
        <w:fldChar w:fldCharType="begin"/>
      </w:r>
      <w:r>
        <w:instrText xml:space="preserve"> PAGEREF _Toc256000003 \h </w:instrText>
      </w:r>
      <w:r>
        <w:fldChar w:fldCharType="separate"/>
      </w:r>
      <w:r>
        <w:t>9</w:t>
      </w:r>
      <w:r>
        <w:fldChar w:fldCharType="end"/>
      </w:r>
    </w:p>
    <w:p>
      <w:pPr>
        <w:pStyle w:val="Normal12b"/>
      </w:pPr>
      <w:r>
        <w:fldChar w:fldCharType="end"/>
      </w:r>
    </w:p>
    <w:p>
      <w:pPr>
        <w:pStyle w:val="CoverNormalLeft"/>
      </w:pPr>
    </w:p>
    <w:p>
      <w:pPr>
        <w:pStyle w:val="CoverNormalLeft"/>
        <w:sectPr>
          <w:footerReference w:type="even" r:id="rId6"/>
          <w:footerReference w:type="default" r:id="rId7"/>
          <w:footerReference w:type="first" r:id="rId8"/>
          <w:footnotePr>
            <w:numRestart w:val="eachSect"/>
          </w:footnotePr>
          <w:pgSz w:w="11906" w:h="16838"/>
          <w:pgMar w:top="1134" w:right="1417" w:bottom="1417" w:left="1417" w:header="1134" w:footer="567" w:gutter="0"/>
          <w:cols w:num="1" w:space="708"/>
          <w:titlePg/>
          <w:docGrid w:linePitch="360"/>
        </w:sectPr>
      </w:pPr>
      <w:r>
        <w:br w:type="page"/>
      </w:r>
    </w:p>
    <w:p>
      <w:pPr>
        <w:pStyle w:val="PageHeading"/>
      </w:pPr>
      <w:bookmarkStart w:id="0" w:name="_Toc256000002"/>
      <w:r>
        <w:t>NÁVRH UZNESENIA EURÓPSKEHO PARLAMENTU</w:t>
      </w:r>
      <w:bookmarkEnd w:id="0"/>
    </w:p>
    <w:p>
      <w:pPr>
        <w:pStyle w:val="NormalBold"/>
      </w:pPr>
      <w:r>
        <w:t>o akčnom pláne EÚ pre sociálne hospodárstvo</w:t>
      </w:r>
    </w:p>
    <w:p>
      <w:pPr>
        <w:pStyle w:val="NormalBold"/>
      </w:pPr>
      <w:r>
        <w:t>(2021/2179(INI))</w:t>
      </w:r>
    </w:p>
    <w:p>
      <w:pPr>
        <w:pStyle w:val="EPComma"/>
      </w:pPr>
      <w:r>
        <w:rPr>
          <w:rStyle w:val="Italic"/>
        </w:rPr>
        <w:t>Európsky parlament</w:t>
      </w:r>
      <w:r>
        <w:t>,</w:t>
      </w:r>
    </w:p>
    <w:p>
      <w:pPr>
        <w:pStyle w:val="NormalHanging12a"/>
      </w:pPr>
      <w:r>
        <w:t>–</w:t>
      </w:r>
      <w:r>
        <w:tab/>
      </w:r>
      <w:r>
        <w:t>so zreteľom na Európsky pilier sociálnych práv,</w:t>
      </w:r>
    </w:p>
    <w:p>
      <w:pPr>
        <w:pStyle w:val="NormalHanging12a"/>
      </w:pPr>
      <w:r>
        <w:t>–</w:t>
      </w:r>
      <w:r>
        <w:tab/>
      </w:r>
      <w:r>
        <w:t>so zreteľom na oznámenie Komisie z 9. decembra 2021 s názvom Budovanie hospodárstva, ktoré pracuje v prospech ľudí: akčný plán pre sociálne hospodárstvo (COM(2021)0778),</w:t>
      </w:r>
    </w:p>
    <w:p>
      <w:pPr>
        <w:pStyle w:val="NormalHanging12a"/>
      </w:pPr>
      <w:r>
        <w:t>–</w:t>
      </w:r>
      <w:r>
        <w:tab/>
      </w:r>
      <w:r>
        <w:t>so zreteľom na oznámenie Komisie z 3. marca 2021 s názvom Únia rovnosti: Stratégia v oblasti práv osôb so zdravotným postihnutím na roky 2021 – 2030 (COM(2021)0101),</w:t>
      </w:r>
    </w:p>
    <w:p>
      <w:pPr>
        <w:pStyle w:val="NormalHanging12a"/>
      </w:pPr>
      <w:r>
        <w:t>–</w:t>
      </w:r>
      <w:r>
        <w:tab/>
      </w:r>
      <w:r>
        <w:t>so zreteľom na oznámenie Komisie z 2. júna 2021 s názvom Koordinácia hospodárskych politík v roku 2021: prekonanie pandémie COVID-19, podpora obnovy a modernizácia nášho hospodárstva (COM(2021)0500),</w:t>
      </w:r>
    </w:p>
    <w:p>
      <w:pPr>
        <w:pStyle w:val="NormalHanging12a"/>
      </w:pPr>
      <w:r>
        <w:t>–</w:t>
      </w:r>
      <w:r>
        <w:tab/>
      </w:r>
      <w:r>
        <w:t>so zreteľom na oznámenie Komisie z 22. novembra 2016 s názvom Budúci lídri Európy: iniciatíva pre začínajúce a rozširujúce sa podniky (COM(2016)0733),</w:t>
      </w:r>
    </w:p>
    <w:p>
      <w:pPr>
        <w:pStyle w:val="NormalHanging12a"/>
      </w:pPr>
      <w:r>
        <w:t>–</w:t>
      </w:r>
      <w:r>
        <w:tab/>
      </w:r>
      <w:r>
        <w:t>so zreteľom na oznámenie Komisie z 25. októbra 2011 s názvom Iniciatíva pre sociálne podnikanie – vytvárať prostredie na podporu sociálnych podnikov v rámci sociálnej ekonomiky a sociálnych inovácií (COM(2011)0682),</w:t>
      </w:r>
    </w:p>
    <w:p>
      <w:pPr>
        <w:pStyle w:val="NormalHanging12a"/>
      </w:pPr>
      <w:r>
        <w:t>–</w:t>
      </w:r>
      <w:r>
        <w:tab/>
      </w:r>
      <w:r>
        <w:t>so zreteľom na oznámenie Komisie z 23. februára 2004 o podpore družstiev v Európe (COM(2004)0018),</w:t>
      </w:r>
    </w:p>
    <w:p>
      <w:pPr>
        <w:pStyle w:val="NormalHanging12a"/>
      </w:pPr>
      <w:r>
        <w:t>–</w:t>
      </w:r>
      <w:r>
        <w:tab/>
      </w:r>
      <w:r>
        <w:t xml:space="preserve">so zreteľom na smernicu </w:t>
      </w:r>
      <w:r>
        <w:t>Európskeho parlamentu</w:t>
      </w:r>
      <w:r>
        <w:t xml:space="preserve"> a Rady 2014/24/EÚ z 26. februára 2014 o verejnom obstarávaní</w:t>
      </w:r>
      <w:r>
        <w:rPr>
          <w:rStyle w:val="FootnoteReference"/>
        </w:rPr>
        <w:footnoteReference w:id="0"/>
      </w:r>
      <w:r>
        <w:t>,</w:t>
      </w:r>
    </w:p>
    <w:p>
      <w:pPr>
        <w:pStyle w:val="NormalHanging12a"/>
      </w:pPr>
      <w:r>
        <w:t>–</w:t>
      </w:r>
      <w:r>
        <w:tab/>
      </w:r>
      <w:r>
        <w:t xml:space="preserve">so zreteľom na sociálny záväzok z Porta, ktorý podpísalo portugalské predsedníctvo Rady, predseda </w:t>
      </w:r>
      <w:r>
        <w:t>Európskeho parlamentu</w:t>
      </w:r>
      <w:r>
        <w:t xml:space="preserve"> a zástupcovia sociálnych partnerov a organizácií občianskej spoločnosti,</w:t>
      </w:r>
    </w:p>
    <w:p>
      <w:pPr>
        <w:pStyle w:val="NormalHanging12a"/>
      </w:pPr>
      <w:r>
        <w:t>–</w:t>
      </w:r>
      <w:r>
        <w:tab/>
      </w:r>
      <w:r>
        <w:t xml:space="preserve">so zreteľom na Portské vyhlásenie z 8. mája 2021, ktoré schválila </w:t>
      </w:r>
      <w:r>
        <w:t>Európska rada</w:t>
      </w:r>
      <w:r>
        <w:t>,</w:t>
      </w:r>
    </w:p>
    <w:p>
      <w:pPr>
        <w:pStyle w:val="NormalHanging12a"/>
      </w:pPr>
      <w:r>
        <w:t>–</w:t>
      </w:r>
      <w:r>
        <w:tab/>
      </w:r>
      <w:r>
        <w:t>so zreteľom na závery Rady zo 7. decembra 2015 nazvané Podpora sociálneho hospodárstva ako kľúčovej hybnej sily hospodárskeho a sociálneho rozvoja v Európe,</w:t>
      </w:r>
    </w:p>
    <w:p>
      <w:pPr>
        <w:pStyle w:val="NormalHanging12a"/>
      </w:pPr>
      <w:r>
        <w:t>–</w:t>
      </w:r>
      <w:r>
        <w:tab/>
      </w:r>
      <w:r>
        <w:t xml:space="preserve">so zreteľom na svoju pozíciu v prvom čítaní zo 4. apríla 2019 o návrhu nariadenia </w:t>
      </w:r>
      <w:r>
        <w:t>Európskeho parlamentu</w:t>
      </w:r>
      <w:r>
        <w:t xml:space="preserve"> a Rady o Európskom sociálnom fonde plus (ESF+)</w:t>
      </w:r>
      <w:r>
        <w:rPr>
          <w:rStyle w:val="FootnoteReference"/>
        </w:rPr>
        <w:footnoteReference w:id="1"/>
      </w:r>
      <w:r>
        <w:t>,</w:t>
      </w:r>
    </w:p>
    <w:p>
      <w:pPr>
        <w:pStyle w:val="NormalHanging12a"/>
      </w:pPr>
      <w:r>
        <w:t>–</w:t>
      </w:r>
      <w:r>
        <w:tab/>
      </w:r>
      <w:r>
        <w:t>so zreteľom na svoje uznesenie zo 7. júla 2021 s názvom Starý kontinent starne – možnosti a výzvy súvisiace s politikou starnutia po roku 2020</w:t>
      </w:r>
      <w:r>
        <w:rPr>
          <w:rStyle w:val="FootnoteReference"/>
        </w:rPr>
        <w:footnoteReference w:id="2"/>
      </w:r>
      <w:r>
        <w:t>,</w:t>
      </w:r>
    </w:p>
    <w:p>
      <w:pPr>
        <w:pStyle w:val="NormalHanging12a"/>
      </w:pPr>
      <w:r>
        <w:t>–</w:t>
      </w:r>
      <w:r>
        <w:tab/>
      </w:r>
      <w:r>
        <w:t>so zreteľom na svoje uznesenie z 23. októbra 2018 o úlohe finančnej účasti zamestnancov pri vytváraní pracovných miest a opätovnej aktivácii nezamestnaných</w:t>
      </w:r>
      <w:r>
        <w:rPr>
          <w:rStyle w:val="FootnoteReference"/>
        </w:rPr>
        <w:footnoteReference w:id="3"/>
      </w:r>
      <w:r>
        <w:t>,</w:t>
      </w:r>
    </w:p>
    <w:p>
      <w:pPr>
        <w:pStyle w:val="NormalHanging12a"/>
      </w:pPr>
      <w:r>
        <w:t>–</w:t>
      </w:r>
      <w:r>
        <w:tab/>
      </w:r>
      <w:r>
        <w:t>so zreteľom na svoje uznesenie z 5. júla 2018 s odporúčaniami pre Komisiu o štatúte pre sociálne a solidárne podniky</w:t>
      </w:r>
      <w:r>
        <w:rPr>
          <w:rStyle w:val="FootnoteReference"/>
        </w:rPr>
        <w:footnoteReference w:id="4"/>
      </w:r>
      <w:r>
        <w:t>,</w:t>
      </w:r>
    </w:p>
    <w:p>
      <w:pPr>
        <w:pStyle w:val="NormalHanging12a"/>
      </w:pPr>
      <w:r>
        <w:t>–</w:t>
      </w:r>
      <w:r>
        <w:tab/>
      </w:r>
      <w:r>
        <w:t>so zreteľom na svoje uznesenie z 10. septembra 2015 s názvom Sociálne podnikanie a sociálna inovácia v boji proti nezamestnanosti</w:t>
      </w:r>
      <w:r>
        <w:rPr>
          <w:rStyle w:val="FootnoteReference"/>
        </w:rPr>
        <w:footnoteReference w:id="5"/>
      </w:r>
      <w:r>
        <w:t>,</w:t>
      </w:r>
    </w:p>
    <w:p>
      <w:pPr>
        <w:pStyle w:val="NormalHanging12a"/>
      </w:pPr>
      <w:r>
        <w:t>–</w:t>
      </w:r>
      <w:r>
        <w:tab/>
      </w:r>
      <w:r>
        <w:t>so zreteľom na uznesenie Európskeho parlamentu z 2. júla 2013 o prínose družstiev k prekonaniu krízy</w:t>
      </w:r>
      <w:r>
        <w:rPr>
          <w:rStyle w:val="FootnoteReference"/>
        </w:rPr>
        <w:footnoteReference w:id="6"/>
      </w:r>
      <w:r>
        <w:t>,</w:t>
      </w:r>
    </w:p>
    <w:p>
      <w:pPr>
        <w:pStyle w:val="NormalHanging12a"/>
      </w:pPr>
      <w:r>
        <w:t>–</w:t>
      </w:r>
      <w:r>
        <w:tab/>
      </w:r>
      <w:r>
        <w:t>so zreteľom na svoje uznesenie z 2. júla 2013 o návrhu nariadenia Rady o štatúte európskej nadácie</w:t>
      </w:r>
      <w:r>
        <w:rPr>
          <w:rStyle w:val="FootnoteReference"/>
        </w:rPr>
        <w:footnoteReference w:id="7"/>
      </w:r>
      <w:r>
        <w:t>,</w:t>
      </w:r>
    </w:p>
    <w:p>
      <w:pPr>
        <w:pStyle w:val="NormalHanging12a"/>
      </w:pPr>
      <w:r>
        <w:t>–</w:t>
      </w:r>
      <w:r>
        <w:tab/>
      </w:r>
      <w:r>
        <w:t>so zreteľom na svoje uznesenie zo 14. marca 2013 s odporúčaniami pre Komisiu o štatúte európskej vzájomnej spoločnosti</w:t>
      </w:r>
      <w:r>
        <w:rPr>
          <w:rStyle w:val="FootnoteReference"/>
        </w:rPr>
        <w:footnoteReference w:id="8"/>
      </w:r>
      <w:r>
        <w:t>,</w:t>
      </w:r>
    </w:p>
    <w:p>
      <w:pPr>
        <w:pStyle w:val="NormalHanging12a"/>
      </w:pPr>
      <w:r>
        <w:t>–</w:t>
      </w:r>
      <w:r>
        <w:tab/>
      </w:r>
      <w:r>
        <w:t>so zreteľom na svoje uznesenie z 20. novembra 2012 o iniciatíve pre sociálne podnikanie – vytvárať prostredie na podporu sociálnych podnikov v rámci sociálnej ekonomiky a sociálnych inovácií</w:t>
      </w:r>
      <w:r>
        <w:rPr>
          <w:rStyle w:val="FootnoteReference"/>
        </w:rPr>
        <w:footnoteReference w:id="9"/>
      </w:r>
      <w:r>
        <w:t>,</w:t>
      </w:r>
    </w:p>
    <w:p>
      <w:pPr>
        <w:pStyle w:val="NormalHanging12a"/>
      </w:pPr>
      <w:r>
        <w:t>–</w:t>
      </w:r>
      <w:r>
        <w:tab/>
      </w:r>
      <w:r>
        <w:t>so zreteľom na svoje uznesenie z 19. februára 2009 o sociálnom hospodárstve</w:t>
      </w:r>
      <w:r>
        <w:rPr>
          <w:rStyle w:val="FootnoteReference"/>
        </w:rPr>
        <w:footnoteReference w:id="10"/>
      </w:r>
      <w:r>
        <w:t>,</w:t>
      </w:r>
    </w:p>
    <w:p>
      <w:pPr>
        <w:pStyle w:val="NormalHanging12a"/>
      </w:pPr>
      <w:r>
        <w:t>–</w:t>
      </w:r>
      <w:r>
        <w:tab/>
      </w:r>
      <w:r>
        <w:t xml:space="preserve">so zreteľom na stanovisko </w:t>
      </w:r>
      <w:r>
        <w:t>Európskeho hospodárskeho a sociálneho výboru</w:t>
      </w:r>
      <w:r>
        <w:t xml:space="preserve"> z 19. januára 2022 s názvom Inovačné finančné nástroje v kontexte rozvoja podnikov so sociálnym dosahom,</w:t>
      </w:r>
    </w:p>
    <w:p>
      <w:pPr>
        <w:pStyle w:val="NormalHanging12a"/>
      </w:pPr>
      <w:r>
        <w:t>–</w:t>
      </w:r>
      <w:r>
        <w:tab/>
      </w:r>
      <w:r>
        <w:t>so zreteľom na stanovisko Výboru regiónov z 1. júla 2021 k akčnému plánu pre sociálne hospodárstvo (CDR 5860/2020),</w:t>
      </w:r>
    </w:p>
    <w:p>
      <w:pPr>
        <w:pStyle w:val="NormalHanging12a"/>
      </w:pPr>
      <w:r>
        <w:t>–</w:t>
      </w:r>
      <w:r>
        <w:tab/>
      </w:r>
      <w:r>
        <w:t>so zreteľom na politický dokument Európskej komisie a Organizácie pre hospodársku spoluprácu a rozvoj (OECD) z roku 2022 o čo najlepšom využití príspevku sociálneho hospodárstva k obehovému hospodárstvu,</w:t>
      </w:r>
    </w:p>
    <w:p>
      <w:pPr>
        <w:pStyle w:val="NormalHanging12a"/>
      </w:pPr>
      <w:r>
        <w:t>–</w:t>
      </w:r>
      <w:r>
        <w:tab/>
      </w:r>
      <w:r>
        <w:t>so zreteľom na usmernenia pre miestne samosprávy týkajúce sa politík pre sociálne a solidárne hospodárstvo, ktoré uverejnil Výskumný ústav OSN pre sociálny rozvoj v roku 2021,</w:t>
      </w:r>
    </w:p>
    <w:p>
      <w:pPr>
        <w:pStyle w:val="NormalHanging12a"/>
      </w:pPr>
      <w:r>
        <w:t>–</w:t>
      </w:r>
      <w:r>
        <w:tab/>
      </w:r>
      <w:r>
        <w:t>so zreteľom na článok 54 rokovacieho poriadku,</w:t>
      </w:r>
    </w:p>
    <w:p>
      <w:pPr>
        <w:pStyle w:val="NormalHanging12a"/>
      </w:pPr>
      <w:r>
        <w:t>–</w:t>
      </w:r>
      <w:r>
        <w:tab/>
      </w:r>
      <w:r>
        <w:t xml:space="preserve">so zreteľom na stanovisko </w:t>
      </w:r>
      <w:r>
        <w:t>Výboru pre regionálny rozvoj</w:t>
      </w:r>
      <w:r>
        <w:t>,</w:t>
      </w:r>
    </w:p>
    <w:p>
      <w:pPr>
        <w:pStyle w:val="NormalHanging12a"/>
      </w:pPr>
      <w:r>
        <w:t>–</w:t>
      </w:r>
      <w:r>
        <w:tab/>
      </w:r>
      <w:r>
        <w:t xml:space="preserve">so zreteľom na správu </w:t>
      </w:r>
      <w:r>
        <w:t>Výboru pre zamestnanosť a sociálne veci</w:t>
      </w:r>
      <w:r>
        <w:t xml:space="preserve"> (A9-0000/2022),</w:t>
      </w:r>
    </w:p>
    <w:p>
      <w:pPr>
        <w:pStyle w:val="NormalHanging12a"/>
      </w:pPr>
      <w:r>
        <w:t>A.</w:t>
      </w:r>
      <w:r>
        <w:tab/>
      </w:r>
      <w:r>
        <w:t>keďže sociálne hospodárstvo zahŕňa rôzne typy súkromných subjektov nezávislých od verejných orgánov, ako sú družstvá, spoločnosti vzájomnej pomoci, združenia (vrátane charitatívnych organizácií), nadácie, sociálne podniky a iné právne formy, ktoré sa všetky vyznačujú prevádzkovými a organizačnými zásadami a charakteristikami, ako sú prednosť ľudí a sociálneho účelu pred ziskom, preinvestovanie väčšiny ziskov/prebytkov a demokratické alebo participatívne riadenie;</w:t>
      </w:r>
    </w:p>
    <w:p>
      <w:pPr>
        <w:pStyle w:val="NormalHanging12a"/>
      </w:pPr>
      <w:r>
        <w:t>B.</w:t>
      </w:r>
      <w:r>
        <w:tab/>
      </w:r>
      <w:r>
        <w:t>keďže sociálne hospodárstvo zohráva dôležitú úlohu pri zmierňovaní a riešení krátkodobých a dlhodobých vplyvov ochorenia COVID-19 na sociálny trh, spoločnosť a hospodárstvo EÚ a stimuluje sociálnu a hospodársku odolnosť a prispieva k nej vďaka dlhodobej orientácii obchodného modelu Európskeho piliera a povahe sociálnych práv a cieľov a činností sociálneho hospodárstva</w:t>
      </w:r>
      <w:r>
        <w:rPr>
          <w:rStyle w:val="FootnoteReference"/>
        </w:rPr>
        <w:footnoteReference w:id="11"/>
      </w:r>
      <w:r>
        <w:t>;</w:t>
      </w:r>
    </w:p>
    <w:p>
      <w:pPr>
        <w:pStyle w:val="NormalHanging12a"/>
      </w:pPr>
      <w:r>
        <w:t>C.</w:t>
      </w:r>
      <w:r>
        <w:tab/>
      </w:r>
      <w:r>
        <w:t>keďže organizácie sociálneho hospodárstva majú dlhú históriu vo väčšine členských štátov, z ktorých väčšina zároveň prijala osobitné právne predpisy v tejto oblasti, a etablovali sa ako kľúčoví aktéri na trhu;</w:t>
      </w:r>
    </w:p>
    <w:p>
      <w:pPr>
        <w:pStyle w:val="NormalHanging12a"/>
      </w:pPr>
      <w:r>
        <w:t>1.</w:t>
      </w:r>
      <w:r>
        <w:tab/>
      </w:r>
      <w:r>
        <w:t>víta akčný plán Komisie pre sociálne hospodárstvo, hlavné zásady vymedzujúce sociálne hospodárstvo, ktoré sú v ňom stanovené, politický impulz, ktorý poskytuje na jeho rozvoj, a množstvo opatrení, ktoré sú v ňom oznámené;</w:t>
      </w:r>
    </w:p>
    <w:p>
      <w:pPr>
        <w:pStyle w:val="NormalHanging12a"/>
      </w:pPr>
      <w:r>
        <w:t>2.</w:t>
      </w:r>
      <w:r>
        <w:tab/>
      </w:r>
      <w:r>
        <w:t>domnieva sa však, že treba stanoviť konkrétne opatrenia a následné opatrenia na dosiahnutie každého cieľa a podrobnejšie vymedziť vzájomné prepojenia medzi opatreniami; považuje za potrebné stanoviť harmonogram pre všetky opatrenia zahrnuté do akčného plánu Komisie pre sociálne hospodárstvo s cieľom usmerniť príslušné orgány pri jeho vykonávaní;</w:t>
      </w:r>
    </w:p>
    <w:p>
      <w:pPr>
        <w:pStyle w:val="NormalHanging12a"/>
      </w:pPr>
      <w:r>
        <w:t>3.</w:t>
      </w:r>
      <w:r>
        <w:tab/>
      </w:r>
      <w:r>
        <w:t>nabáda Komisiu a členské štáty, ako aj regionálne a miestne orgány, aby začleňovali rozmer sociálneho hospodárstva do príslušných politík, programov a postupov;</w:t>
      </w:r>
    </w:p>
    <w:p>
      <w:pPr>
        <w:pStyle w:val="NormalHanging12a"/>
      </w:pPr>
      <w:r>
        <w:t>4.</w:t>
      </w:r>
      <w:r>
        <w:tab/>
      </w:r>
      <w:r>
        <w:t>opakuje svoju výzvu</w:t>
      </w:r>
      <w:r>
        <w:rPr>
          <w:rStyle w:val="FootnoteReference"/>
        </w:rPr>
        <w:footnoteReference w:id="12"/>
      </w:r>
      <w:r>
        <w:t>, aby sa zásada „najskôr myslieť na malých“ stanovila ako hlavná zásada pri navrhovaní budúcich právnych predpisov a pri prijímaní politík s cieľom zvýšiť konkurencieschopnosť ekosystému Únie a podporiť mikroorganizácie, malé a stredné organizácie v rámci sociálneho hospodárstva aj mimo neho;</w:t>
      </w:r>
    </w:p>
    <w:p>
      <w:pPr>
        <w:pStyle w:val="Subheading"/>
      </w:pPr>
      <w:r>
        <w:rPr>
          <w:rStyle w:val="BoldItalic"/>
        </w:rPr>
        <w:t>Vytváranie prostredia podporujúceho sociálne hospodárstvo</w:t>
      </w:r>
    </w:p>
    <w:p>
      <w:pPr>
        <w:pStyle w:val="NormalHanging12a"/>
      </w:pPr>
      <w:r>
        <w:t>5.</w:t>
      </w:r>
      <w:r>
        <w:tab/>
      </w:r>
      <w:r>
        <w:t>pripomína členským štátom, že smernica o verejnom obstarávaní (smernica 2014/24/EÚ) umožňuje verejným obstarávateľom využívať verejné obstarávanie na dosiahnutie environmentálnych a sociálnych cieľov, a najmä umožňuje uplatňovať postupy verejného obstarávania vyhradené pre organizácie, ktorých hlavným cieľom je začlenenie osôb so zdravotným postihnutím alebo iných znevýhodnených skupín do pracovného procesu; vyzýva verejné orgány, aby považovali sociálne a environmentálne zodpovedné verejné obstarávanie za investíciu do sociálno-ekonomickej štruktúry s veľkým potenciálom spájať sociálne ciele s cieľmi hospodárskej súťaže;</w:t>
      </w:r>
    </w:p>
    <w:p>
      <w:pPr>
        <w:pStyle w:val="NormalHanging12a"/>
      </w:pPr>
      <w:r>
        <w:t>6.</w:t>
      </w:r>
      <w:r>
        <w:tab/>
      </w:r>
      <w:r>
        <w:t>nabáda členské štáty, aby systematicky prijímali stratégie zamerané na rozvoj sociálne zodpovedného verejného obstarávania, čím sa prepojí poskytovanie služieb a výrobkov s prispievaním k sociálnym cieľom vo všetkých oblastiach politiky; domnieva sa, že transpozícia smernice o verejnom obstarávaní musí byť sprevádzaná iniciatívami na zvýšenie informovanosti o vzťahu medzi verejnými výdavkami a ich príspevkom k dosiahnutiu cieľov udržateľného rozvoja a na budovanie kapacít medzi úradníkmi zodpovedných za verejné obstarávanie a organizáciami sociálneho hospodárstva; nabáda úradníkov zodpovedných za verejné obstarávanie, aby pred vypracovaním súťažných podkladov uskutočnili predbežné konzultácie na trhu s cieľom lepšie pochopiť existujúce potreby a spôsob, akým by ich organizácie sociálneho hospodárstva mohli splniť;</w:t>
      </w:r>
    </w:p>
    <w:p>
      <w:pPr>
        <w:pStyle w:val="NormalHanging12a"/>
      </w:pPr>
      <w:r>
        <w:t>7.</w:t>
      </w:r>
      <w:r>
        <w:tab/>
      </w:r>
      <w:r>
        <w:t>víta existujúce iniciatívy v členských štátoch zamerané na poskytovanie právneho poradenstva, finančnej podpory, podpory pri príprave podnikateľských plánov, údajov potrebných pre externých investorov a štruktúr na podporu podnikov pracovníkom, ktorí sa zaujímajú o proces odkúpenia podniku, a družstvám, ktoré sú výsledkom odkúpenia podniku pracovníkmi; nabáda členské štáty, aby túto tému zahrnuli do odporúčaní Rady v roku 2023 s cieľom ďalej podporovať tieto iniciatívy na regionálnej a vnútroštátnej úrovni;</w:t>
      </w:r>
    </w:p>
    <w:p>
      <w:pPr>
        <w:pStyle w:val="NormalHanging12a"/>
      </w:pPr>
      <w:r>
        <w:t>8.</w:t>
      </w:r>
      <w:r>
        <w:tab/>
      </w:r>
      <w:r>
        <w:t>víta ohlasovanú správu o možnom rozšírení taxonómie EÚ pre udržateľné financovanie na sociálne ciele; domnieva sa, že taxonómia EÚ musí pokrývať sociálne faktory bez toho, aby vytvárala nadmernú záťaž pre podniky, pretože môže byť hnacou silou investícií v oblasti sociálneho hospodárstva;</w:t>
      </w:r>
    </w:p>
    <w:p>
      <w:pPr>
        <w:pStyle w:val="NormalHanging12a"/>
      </w:pPr>
      <w:r>
        <w:t>9.</w:t>
      </w:r>
      <w:r>
        <w:tab/>
      </w:r>
      <w:r>
        <w:t>vyzýva Komisiu a členské štáty, aby vytvorili partnerstvá v oblasti budovania kapacít a formálne dohody so sieťami sociálneho hospodárstva s cieľom poskytnúť organizáciám sociálneho hospodárstva poradenské služby, ako sú individualizované mentorstvo a poradenstvo, financovanie budovania kapacít, odborná príprava a vzdelávanie, inkubačné služby a vytváranie sietí na budovanie kapacít;</w:t>
      </w:r>
    </w:p>
    <w:p>
      <w:pPr>
        <w:pStyle w:val="NormalHanging12a"/>
      </w:pPr>
      <w:r>
        <w:t>10.</w:t>
      </w:r>
      <w:r>
        <w:tab/>
      </w:r>
      <w:r>
        <w:t>zdôrazňuje kľúčovú úlohu, ktorú môžu nové technológie zohrávať pri rozvoji a rozširovaní projektov sociálneho hospodárstva, ako aj význam prednostného prístupu sociálnych podnikateľov k programom odbornej prípravy v oblasti digitálnych zručností a pokročilých technológií na úrovni EÚ, ako aj na vnútroštátnej úrovni, a vyzýva Komisiu a členské štáty, aby preskúmali, ako môžu bežné podniky a organizácie sociálneho hospodárstva v tejto oblasti spolupracovať;</w:t>
      </w:r>
    </w:p>
    <w:p>
      <w:pPr>
        <w:pStyle w:val="NormalHanging12a"/>
      </w:pPr>
      <w:r>
        <w:t>11.</w:t>
      </w:r>
      <w:r>
        <w:tab/>
      </w:r>
      <w:r>
        <w:t>považuje za poľutovaniahodné, že organizácie sociálneho hospodárstva nedostávajú v učebných osnovách bežného školského vzdelávania a vysokoškolského vzdelávania v oblasti podnikania a ekonomiky rovnaký priestor ako tradičnejšie podniky</w:t>
      </w:r>
      <w:r>
        <w:rPr>
          <w:rStyle w:val="FootnoteReference"/>
        </w:rPr>
        <w:footnoteReference w:id="13"/>
      </w:r>
      <w:r>
        <w:t>; v tejto súvislosti vyzýva subjekty zastupujúce odvetvie a príslušné verejné orgány, aby v spolupráci s relevantnými zainteresovanými stranami preskúmali a zhodnotili učebné osnovy a predložili politické odporúčania pre akademické inštitúcie;</w:t>
      </w:r>
    </w:p>
    <w:p>
      <w:pPr>
        <w:pStyle w:val="Subheading"/>
      </w:pPr>
      <w:r>
        <w:rPr>
          <w:rStyle w:val="BoldItalic"/>
        </w:rPr>
        <w:t>Využitie plného potenciálu nástrojov EÚ na podporu sociálneho hospodárstva</w:t>
      </w:r>
    </w:p>
    <w:p>
      <w:pPr>
        <w:pStyle w:val="NormalHanging12a"/>
      </w:pPr>
      <w:r>
        <w:t>12.</w:t>
      </w:r>
      <w:r>
        <w:tab/>
      </w:r>
      <w:r>
        <w:t>berie na vedomie možnosti podpory sociálneho hospodárstva, ktoré ponúka Program InvestEU; naliehavo vyzýva Komisiu a implementujúcich partnerov, aby navrhli finančné produkty prispôsobené potrebám podnikov sociálneho hospodárstva v rámci segmentu sociálnych investícií a zručností a aby na tieto produkty vyčlenili dostatočné zdroje; poznamenáva, že by sa mali vypracovať spoľahlivé kritériá oprávnenosti s cieľom zamerať sa na finančných sprostredkovateľov, ktorí osobitne podporujú sociálne hospodárstvo, a domnieva sa, že poradenské služby by sa mali sprístupniť v rámci Poradenského centra InvestEU s cieľom maximalizovať potenciál týchto finančných sprostredkovateľov pri využívaní Programu InvestEU; vyzýva Komisiu, aby zabezpečila pre organizácie sociálneho hospodárstva, z ktorých väčšina sú mikroorganizácie, malé a stredné organizácie, prístup k ďalším finančným produktom Programu InvestEU, napríklad tým, ktoré sú zamerané na MSP;</w:t>
      </w:r>
    </w:p>
    <w:p>
      <w:pPr>
        <w:pStyle w:val="NormalHanging12a"/>
      </w:pPr>
      <w:r>
        <w:t>13.</w:t>
      </w:r>
      <w:r>
        <w:tab/>
      </w:r>
      <w:r>
        <w:t>vyzýva Komisiu, aby pri príležitosti ďalšej revízie všeobecného nariadenia o skupinových výnimkách primerane zohľadnila osobitné potreby organizácií sociálneho hospodárstva, pokiaľ ide o prístup k financovaniu a rozvoj trhu, posilnila úlohu štátnej pomoci pri podpore náboru znevýhodnených pracovníkov, najmä v kontexte obnovy po pandémii COVID-19, a aby po konzultácii s príslušnými zainteresovanými stranami preskúmala rôzne možnosti založené na dôkazoch s cieľom podporiť rozvoj organizácií sociálneho hospodárstva;</w:t>
      </w:r>
    </w:p>
    <w:p>
      <w:pPr>
        <w:pStyle w:val="NormalHanging12a"/>
      </w:pPr>
      <w:r>
        <w:t>14.</w:t>
      </w:r>
      <w:r>
        <w:tab/>
      </w:r>
      <w:r>
        <w:t>víta využívanie cielených finančných prostriedkov EÚ na projekty zamerané na rozvoj a podporu prevodu podnikov na ich zamestnancov, a tým aj kontinuity činností, a to aj formou prevzatia podniku zamestnaneckým družstvom</w:t>
      </w:r>
      <w:r>
        <w:rPr>
          <w:rStyle w:val="FootnoteReference"/>
        </w:rPr>
        <w:footnoteReference w:id="14"/>
      </w:r>
      <w:r>
        <w:t>;</w:t>
      </w:r>
    </w:p>
    <w:p>
      <w:pPr>
        <w:pStyle w:val="Subheading"/>
      </w:pPr>
      <w:r>
        <w:rPr>
          <w:rStyle w:val="BoldItalic"/>
        </w:rPr>
        <w:t>Smerom k účinnému vykonávaniu akčného plánu Komisie pre sociálne hospodárstvo</w:t>
      </w:r>
    </w:p>
    <w:p>
      <w:pPr>
        <w:pStyle w:val="NormalHanging12a"/>
      </w:pPr>
      <w:r>
        <w:t>15.</w:t>
      </w:r>
      <w:r>
        <w:tab/>
      </w:r>
      <w:r>
        <w:t>dôrazne víta návrh odporúčania Rady o rámcových podmienkach sociálneho hospodárstva, ktoré sa má schváliť v roku 2023; domnieva sa, že by mal slúžiť ako kompas na posilnenie právnych a politických rámcov sociálneho hospodárstva, najmä v členských štátoch, v ktorých je ekosystém sociálneho hospodárstva menej rozvinutý, a mal by jasne zdôrazniť podporné nástroje EÚ a poskytovať usmernenia v súvislosti s konkrétnymi politikami, ako sú verejné obstarávanie, zamestnanosť a sociálne politiky, zdaňovanie, vzdelávanie, zručnosti a odborná príprava, ako aj význam prepojenia programov v oblasti obehového hospodárstva a sociálneho hospodárstva;</w:t>
      </w:r>
    </w:p>
    <w:p>
      <w:pPr>
        <w:pStyle w:val="NormalHanging12a"/>
      </w:pPr>
      <w:r>
        <w:t>16.</w:t>
      </w:r>
      <w:r>
        <w:tab/>
      </w:r>
      <w:r>
        <w:t xml:space="preserve">považuje za poľutovaniahodné, že minulé výzvy Parlamentu adresované Komisii, aby predložila návrhy, ktoré by umožnili vzájomným spoločnostiam, združeniam a nadáciám pôsobiť na európskej a cezhraničnej úrovni, neviedli k žiadnym legislatívnym zmenám, čo oslabilo európsky sociálny model a zabránilo dobudovaniu jednotného trhu; vzhľadom na príležitosť, ktorú ponúka akčný plán Komisie pre sociálne hospodárstvo, ako aj na činnosti monitorovacieho výboru </w:t>
      </w:r>
      <w:r>
        <w:t>Luxemburského</w:t>
      </w:r>
      <w:r>
        <w:t xml:space="preserve"> vyhlásenia, ktoré spája väčšinu členských štátov, navrhuje, aby sa preskúmala posilnená spolupráca ako nástroj na prekonanie uvedených dlhoročných prekážok;</w:t>
      </w:r>
    </w:p>
    <w:p>
      <w:pPr>
        <w:pStyle w:val="NormalHanging12a"/>
      </w:pPr>
      <w:r>
        <w:t>17.</w:t>
      </w:r>
      <w:r>
        <w:tab/>
      </w:r>
      <w:r>
        <w:t>poznamenáva, že plný potenciál sociálneho hospodárstva pri riešení sociálno-ekonomických výziev si vyžaduje jasné stanovenie sociálnych priorít verejnými orgánmi; zdôrazňuje, že projekty sociálneho hospodárstva si vo všeobecnosti vyžadujú úzke partnerstvo s verejnými subjektmi, a preto vyzýva Komisiu a členské štáty, aby v rámci makroekonomického riadenia na úrovni EÚ vypracovali stratégiu sociálnych investícií, v ktorej sa jasne určia sociálne priority a ktorá môže poskytnúť rámec pre spoluprácu medzi verejnými orgánmi a organizáciami sociálneho hospodárstva;</w:t>
      </w:r>
    </w:p>
    <w:p>
      <w:pPr>
        <w:pStyle w:val="NormalHanging12a"/>
      </w:pPr>
      <w:r>
        <w:t>18.</w:t>
      </w:r>
      <w:r>
        <w:tab/>
      </w:r>
      <w:r>
        <w:t>víta ohlásené začatie novej štúdie na zber kvalitatívnych a kvantitatívnych informácií o sociálnom hospodárstve vo všetkých členských štátoch; konštatuje, že treba získať podrobné, štandardizované, porovnateľné a spoľahlivé údaje o rozsahu a vplyve sociálneho hospodárstva s cieľom uľahčiť politické rozhodnutia založené na dôkazoch, zabezpečiť nadčasovosť rozvoja sociálneho hospodárstva a prispieť k hospodárskym a sociálnym cieľom EÚ;</w:t>
      </w:r>
    </w:p>
    <w:p>
      <w:pPr>
        <w:pStyle w:val="NormalHanging12a"/>
      </w:pPr>
      <w:r>
        <w:t>19.</w:t>
      </w:r>
      <w:r>
        <w:tab/>
      </w:r>
      <w:r>
        <w:t>vyzýva členské štáty, aby určili koordinátorov sociálneho hospodárstva a zriadili lokálne kontaktné miesta pre sociálne hospodárstvo s cieľom uľahčiť prístup k financovaniu vrátane finančných prostriedkov EÚ;</w:t>
      </w:r>
    </w:p>
    <w:p>
      <w:pPr>
        <w:pStyle w:val="NormalHanging12a"/>
      </w:pPr>
      <w:r>
        <w:t>20.</w:t>
      </w:r>
      <w:r>
        <w:tab/>
      </w:r>
      <w:r>
        <w:t>vyzýva Komisiu, aby zriadila pracovnú skupinu pre vykonávanie akčného plánu Komisie pre sociálne hospodárstvo a šírila jej zloženie a harmonogram opatrení;</w:t>
      </w:r>
    </w:p>
    <w:p>
      <w:pPr>
        <w:pStyle w:val="NormalCenter12a"/>
      </w:pPr>
      <w:r>
        <w:t>°</w:t>
      </w:r>
    </w:p>
    <w:p>
      <w:pPr>
        <w:pStyle w:val="NormalCenter12a"/>
      </w:pPr>
      <w:r>
        <w:t>°</w:t>
      </w:r>
      <w:r>
        <w:tab/>
      </w:r>
      <w:r>
        <w:t>°</w:t>
      </w:r>
    </w:p>
    <w:p>
      <w:pPr>
        <w:pStyle w:val="NormalHanging12a"/>
      </w:pPr>
      <w:r>
        <w:t>21.</w:t>
      </w:r>
      <w:r>
        <w:tab/>
      </w:r>
      <w:r>
        <w:t>poveruje svoju predsedníčku, aby postúpila toto uznesenie Rade a Komisii.</w:t>
      </w:r>
    </w:p>
    <w:p>
      <w:pPr>
        <w:pStyle w:val="NormalHanging12a"/>
        <w:sectPr>
          <w:footnotePr>
            <w:numRestart w:val="eachSect"/>
          </w:footnotePr>
          <w:type w:val="continuous"/>
          <w:pgSz w:w="11906" w:h="16838"/>
          <w:pgMar w:top="1134" w:right="1417" w:bottom="1417" w:left="1417" w:header="1134" w:footer="567" w:gutter="0"/>
          <w:cols w:num="1" w:space="708"/>
          <w:titlePg/>
          <w:docGrid w:linePitch="360"/>
        </w:sectPr>
      </w:pPr>
      <w:r>
        <w:br w:type="page"/>
      </w:r>
    </w:p>
    <w:p>
      <w:pPr>
        <w:pStyle w:val="PageHeading"/>
      </w:pPr>
      <w:bookmarkStart w:id="1" w:name="_Toc256000003"/>
      <w:r>
        <w:t>DÔVODOVÁ SPRÁVA</w:t>
      </w:r>
      <w:bookmarkEnd w:id="1"/>
    </w:p>
    <w:p>
      <w:pPr>
        <w:pStyle w:val="Normal12a"/>
      </w:pPr>
      <w:r>
        <w:t>V Európe sa sociálne hospodárstvo v minulosti vnímalo ako nástroj na riešenie zlyhaní trhu a štátu. V posledných dvoch desaťročiach sa však chápanie toho, čo znamená sociálne hospodárstvo, rozšírilo</w:t>
      </w:r>
      <w:r>
        <w:rPr>
          <w:rStyle w:val="FootnoteReference"/>
        </w:rPr>
        <w:footnoteReference w:id="15"/>
      </w:r>
      <w:r>
        <w:t>. Sociálne hospodárstvo preukázalo, že prispieva k sociálnej súdržnosti a podpore pocitu spolupatričnosti a sociálneho kapitálu</w:t>
      </w:r>
      <w:r>
        <w:rPr>
          <w:rStyle w:val="FootnoteReference"/>
        </w:rPr>
        <w:footnoteReference w:id="16"/>
      </w:r>
      <w:r>
        <w:t xml:space="preserve"> a pomáha riešiť kľúčové spoločenské výzvy, ako sú environmentálne otázky, potravinová sebestačnosť a poskytovanie dostupnej a kvalitnej starostlivosti a zdravotnej starostlivosti</w:t>
      </w:r>
      <w:r>
        <w:rPr>
          <w:rStyle w:val="FootnoteReference"/>
        </w:rPr>
        <w:footnoteReference w:id="17"/>
      </w:r>
      <w:r>
        <w:t>. Počas pandémie ochorenia COVID-19 sociálne hospodárstvo preukázalo aj svoje silné stránky a schopnosť prispievať k hospodárskemu rozvoju a vytváraniu pracovných miest, najmä pre zraniteľné osoby. Okrem toho poukázalo aj na to, ako znižuje sociálne a hospodárske rozdiely a oživuje miestne komunity, kde sú tieto organizácie hlboko zakorenené.</w:t>
      </w:r>
    </w:p>
    <w:p>
      <w:pPr>
        <w:pStyle w:val="Normal12a"/>
      </w:pPr>
      <w:r>
        <w:t>Na medzinárodnej úrovni sa vyvinulo úsilie o lepšie pochopenie a zviditeľnenie celej škály výhod, ktoré môže sociálne hospodárstvo priniesť hospodárstvu a spoločnosti. Ako príklad, Organizácia Spojených národov pred desiatimi rokmi vytvorila medziagentúrnu pracovnú skupinu pre sociálne a solidárne hospodárstvo s cieľom prehodnotiť vývoj v dôsledku početných kríz a v kontexte rozvojového programu na obdobie po roku 2015, ktorý nevenoval dostatočnú pozornosť sociálnemu hospodárstvu</w:t>
      </w:r>
      <w:r>
        <w:rPr>
          <w:rStyle w:val="FootnoteReference"/>
        </w:rPr>
        <w:footnoteReference w:id="18"/>
      </w:r>
      <w:r>
        <w:t>.</w:t>
      </w:r>
    </w:p>
    <w:p>
      <w:pPr>
        <w:pStyle w:val="Normal12a"/>
      </w:pPr>
      <w:r>
        <w:t>Sociálne hospodárstvo sa preto čoraz viac uznáva ako odlišný spôsob organizovania hospodárstva alebo, ako uviedol generálny tajomník OSN, ako „alternatívny model rastu zameraný na nájdenie novej rovnováhy medzi hospodárskou efektívnosťou a sociálnou a environmentálnou odolnosťou (...). Sociálne a solidárne hospodárstvo podporuje hospodársku dynamiku, sociálnu ochranu a ochranu životného prostredia a posilnenie sociálno-politického postavenia.“</w:t>
      </w:r>
      <w:r>
        <w:rPr>
          <w:rStyle w:val="FootnoteReference"/>
        </w:rPr>
        <w:footnoteReference w:id="19"/>
      </w:r>
      <w:r>
        <w:t>.</w:t>
      </w:r>
    </w:p>
    <w:p>
      <w:pPr>
        <w:pStyle w:val="Normal12a"/>
      </w:pPr>
      <w:r>
        <w:t>Okrem úsilia Organizácie Spojených národov</w:t>
      </w:r>
      <w:r>
        <w:rPr>
          <w:rStyle w:val="FootnoteReference"/>
        </w:rPr>
        <w:footnoteReference w:id="20"/>
      </w:r>
      <w:r>
        <w:t xml:space="preserve"> uznala Organizácia pre hospodársku spoluprácu a rozvoj (OECD) aj príspevok sociálneho hospodárstva a sociálnej inovácie k vytváraniu inkluzívnejších, tvorivejších a udržateľnejších hospodárstiev a spoločností a v roku 2020 spustila globálnu akciu s názvom Podpora ekosystémov sociálneho a solidárneho hospodárstva. Tento projekt podporí rozvoj a internacionalizáciu sociálneho hospodárstva vo všetkých krajinách EÚ, ako aj v Brazílii, Kanade, Indii, Kórei, Mexiku a Spojených štátoch amerických.</w:t>
      </w:r>
    </w:p>
    <w:p>
      <w:pPr>
        <w:pStyle w:val="Normal12a"/>
      </w:pPr>
      <w:r>
        <w:t>V tejto veľmi priaznivej situácii prijala Európska komisia 9. decembra 2021 dlho očakávaný akčný plán pre sociálne hospodárstvo. Tento akčný plán vychádza zo skúseností získaných počas desaťročí práce inštitúcií EÚ, členských štátov a príslušných zainteresovaných strán a odborníkov v tejto oblasti. V pláne sa opäť uznáva transformačný potenciál sociálneho hospodárstva a jeho prístup k hospodárstvu, ktorý je zameraný na ľudí a citlivý k planéte.</w:t>
      </w:r>
    </w:p>
    <w:p>
      <w:pPr>
        <w:pStyle w:val="Normal12a"/>
      </w:pPr>
      <w:r>
        <w:t xml:space="preserve">Spravodajca tejto iniciatívnej správy zorganizoval širokú škálu konzultácií so zástupcami osobitnej skupiny OSN, Medzinárodnej organizácie práce, </w:t>
      </w:r>
      <w:r>
        <w:t>Európskeho hospodárskeho a sociálneho výboru</w:t>
      </w:r>
      <w:r>
        <w:t xml:space="preserve">, </w:t>
      </w:r>
      <w:r>
        <w:t>Výboru regiónov</w:t>
      </w:r>
      <w:r>
        <w:t>, členských štátov a regionálnych zástupcov, ako aj s akademickou obcou s cieľom pripraviť sa na svoju prácu. Spätná väzba k akčnému plánu pre sociálne hospodárstvo bola vo všeobecnosti pozitívna. Spravodajca blahoželá Komisii k jej práci. Ako však zaznelo počas rozhovorov s uvedenými aktérmi, naďalej zostáva priestor na doplnenie textu a zlepšenie porozumenia a uznania sociálneho hospodárstva, podporu jeho rozvoja a posun smerom k účinnému vykonávaniu akčného plánu EÚ.</w:t>
      </w:r>
    </w:p>
    <w:p>
      <w:pPr>
        <w:pStyle w:val="Normal12a"/>
      </w:pPr>
      <w:r>
        <w:t xml:space="preserve">Na základe týchto konzultácií, existujúceho inštitucionálneho konsenzu a textov (aj zo strany samotného Parlamentu) a výskumu najlepších postupov v oblasti sociálnych hospodárstiev z rôznych regiónov a krajín EÚ má táto správa tri ciele. Po prvé, snaží sa zohrávať svoju úlohu pri vytváraní priaznivého prostredia pre sociálne hospodárstvo. Po druhé, skúma, ako lepšie využiť plný potenciál sociálneho hospodárstva, a po tretie, zaoberá sa kľúčovou otázkou: ako možno akčný plán účinne vykonávať? Vyriešením týchto otázok spravodajca dúfa, že práca </w:t>
      </w:r>
      <w:r>
        <w:t>Európskeho parlamentu</w:t>
      </w:r>
      <w:r>
        <w:t xml:space="preserve"> na tejto správe pomôže tomu, aby sa sociálne hospodárstvo v nadchádzajúcom desaťročí úspešne rozvíjalo.</w:t>
      </w:r>
    </w:p>
    <w:p>
      <w:pPr>
        <w:pStyle w:val="Normal12a"/>
      </w:pPr>
    </w:p>
    <w:sectPr>
      <w:footnotePr>
        <w:numRestart w:val="eachSect"/>
      </w:footnotePr>
      <w:type w:val="continuous"/>
      <w:pgSz w:w="11906" w:h="16838"/>
      <w:pgMar w:top="1134" w:right="1417" w:bottom="1417" w:left="1417" w:header="1134" w:footer="567" w:gutter="0"/>
      <w:cols w:num="1"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702.909</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10</w:t>
    </w:r>
    <w:r>
      <w:fldChar w:fldCharType="end"/>
    </w:r>
    <w:r>
      <w:t>/</w:t>
    </w:r>
    <w:r>
      <w:fldChar w:fldCharType="begin"/>
    </w:r>
    <w:r>
      <w:instrText>NUMPAGES</w:instrText>
    </w:r>
    <w:r>
      <w:fldChar w:fldCharType="separate"/>
    </w:r>
    <w:r>
      <w:t>10</w:t>
    </w:r>
    <w:r>
      <w:fldChar w:fldCharType="end"/>
    </w:r>
    <w:r>
      <w:tab/>
    </w:r>
    <w:r>
      <w:rPr>
        <w:rStyle w:val="HideTWBExt"/>
      </w:rPr>
      <w:t>&lt;</w:t>
    </w:r>
    <w:r>
      <w:rPr>
        <w:rStyle w:val="HideTWBExt"/>
      </w:rPr>
      <w:t>PathFdR</w:t>
    </w:r>
    <w:r>
      <w:rPr>
        <w:rStyle w:val="HideTWBExt"/>
      </w:rPr>
      <w:t>&gt;</w:t>
    </w:r>
    <w:r>
      <w:t>PR\1245032SK.docx</w:t>
    </w:r>
    <w:r>
      <w:rPr>
        <w:rStyle w:val="HideTWBExt"/>
      </w:rPr>
      <w:t>&lt;/</w:t>
    </w:r>
    <w:r>
      <w:rPr>
        <w:rStyle w:val="HideTWBExt"/>
      </w:rPr>
      <w:t>PathFdR</w:t>
    </w:r>
    <w:r>
      <w:rPr>
        <w:rStyle w:val="HideTWBExt"/>
      </w:rPr>
      <w:t>&gt;</w:t>
    </w:r>
  </w:p>
  <w:p>
    <w:pPr>
      <w:pStyle w:val="EPFooter2"/>
    </w:pPr>
    <w:r>
      <w:t>SK</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PR\1245032SK.docx</w:t>
    </w:r>
    <w:r>
      <w:rPr>
        <w:rStyle w:val="HideTWBExt"/>
      </w:rPr>
      <w:t>&lt;/</w:t>
    </w:r>
    <w:r>
      <w:rPr>
        <w:rStyle w:val="HideTWBExt"/>
      </w:rPr>
      <w:t>PathFdR</w:t>
    </w:r>
    <w:r>
      <w:rPr>
        <w:rStyle w:val="HideTWBExt"/>
      </w:rPr>
      <w:t>&gt;</w:t>
    </w:r>
    <w:r>
      <w:tab/>
    </w:r>
    <w:r>
      <w:fldChar w:fldCharType="begin"/>
    </w:r>
    <w:r>
      <w:instrText>PAGE</w:instrText>
    </w:r>
    <w:r>
      <w:fldChar w:fldCharType="separate"/>
    </w:r>
    <w:r>
      <w:t>9</w:t>
    </w:r>
    <w:r>
      <w:fldChar w:fldCharType="end"/>
    </w:r>
    <w:r>
      <w:t>/</w:t>
    </w:r>
    <w:r>
      <w:fldChar w:fldCharType="begin"/>
    </w:r>
    <w:r>
      <w:instrText>NUMPAGES</w:instrText>
    </w:r>
    <w:r>
      <w:fldChar w:fldCharType="separate"/>
    </w:r>
    <w:r>
      <w:t>10</w:t>
    </w:r>
    <w:r>
      <w:fldChar w:fldCharType="end"/>
    </w:r>
    <w:r>
      <w:tab/>
    </w:r>
    <w:r>
      <w:t>PE</w:t>
    </w:r>
    <w:r>
      <w:rPr>
        <w:rStyle w:val="HideTWBExt"/>
      </w:rPr>
      <w:t>&lt;</w:t>
    </w:r>
    <w:r>
      <w:rPr>
        <w:rStyle w:val="HideTWBExt"/>
      </w:rPr>
      <w:t>NoPE</w:t>
    </w:r>
    <w:r>
      <w:rPr>
        <w:rStyle w:val="HideTWBExt"/>
      </w:rPr>
      <w:t>&gt;</w:t>
    </w:r>
    <w:r>
      <w:t>702.909</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SK</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PR\1245032SK.docx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702.909</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SK</w:t>
    </w:r>
    <w:r>
      <w:tab/>
    </w:r>
    <w:r>
      <w:rPr>
        <w:rStyle w:val="EPFooter2Motto"/>
      </w:rPr>
      <w:t>Zjednotení v rozmanitosti</w:t>
    </w:r>
    <w:r>
      <w:tab/>
    </w:r>
    <w:r>
      <w:t>SK</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0">
    <w:p>
      <w:pPr>
        <w:pStyle w:val="FootnoteText"/>
        <w:rPr>
          <w:color w:val="0000FF"/>
          <w:u w:val="single" w:color="0000FF"/>
        </w:rPr>
      </w:pPr>
      <w:r>
        <w:rPr>
          <w:rStyle w:val="FootnoteReference"/>
        </w:rPr>
        <w:footnoteRef/>
      </w:r>
      <w:r>
        <w:t xml:space="preserve"> </w:t>
      </w:r>
      <w:hyperlink r:id="rId1" w:history="1">
        <w:r>
          <w:rPr>
            <w:color w:val="0000FF"/>
            <w:u w:val="single" w:color="0000FF"/>
          </w:rPr>
          <w:t>Ú. v. EÚ L 094, 28.3.2014, s. 65.</w:t>
        </w:r>
      </w:hyperlink>
    </w:p>
  </w:footnote>
  <w:footnote w:id="1">
    <w:p>
      <w:pPr>
        <w:pStyle w:val="FootnoteText"/>
        <w:rPr>
          <w:color w:val="0000FF"/>
          <w:u w:val="single" w:color="0000FF"/>
        </w:rPr>
      </w:pPr>
      <w:r>
        <w:rPr>
          <w:rStyle w:val="FootnoteReference"/>
        </w:rPr>
        <w:footnoteRef/>
      </w:r>
      <w:r>
        <w:t xml:space="preserve"> </w:t>
      </w:r>
      <w:hyperlink r:id="rId2" w:history="1">
        <w:r>
          <w:rPr>
            <w:color w:val="0000FF"/>
            <w:u w:val="single" w:color="0000FF"/>
          </w:rPr>
          <w:t>Ú. v. EÚ C 116, 31.3.2021, s. 162.</w:t>
        </w:r>
      </w:hyperlink>
    </w:p>
  </w:footnote>
  <w:footnote w:id="2">
    <w:p>
      <w:pPr>
        <w:pStyle w:val="FootnoteText"/>
      </w:pPr>
      <w:r>
        <w:rPr>
          <w:rStyle w:val="FootnoteReference"/>
        </w:rPr>
        <w:footnoteRef/>
      </w:r>
      <w:r>
        <w:t xml:space="preserve"> </w:t>
      </w:r>
      <w:r>
        <w:t>Prijaté texty, P9_TA(2021)0347.</w:t>
      </w:r>
    </w:p>
  </w:footnote>
  <w:footnote w:id="3">
    <w:p>
      <w:pPr>
        <w:pStyle w:val="FootnoteText"/>
        <w:rPr>
          <w:color w:val="0000FF"/>
          <w:u w:val="single" w:color="0000FF"/>
        </w:rPr>
      </w:pPr>
      <w:r>
        <w:rPr>
          <w:rStyle w:val="FootnoteReference"/>
        </w:rPr>
        <w:footnoteRef/>
      </w:r>
      <w:r>
        <w:t xml:space="preserve"> </w:t>
      </w:r>
      <w:hyperlink r:id="rId3" w:history="1">
        <w:r>
          <w:rPr>
            <w:color w:val="0000FF"/>
            <w:u w:val="single" w:color="0000FF"/>
          </w:rPr>
          <w:t>Ú. v. EÚ C 345, 16.10.2020, s. 2.</w:t>
        </w:r>
      </w:hyperlink>
    </w:p>
  </w:footnote>
  <w:footnote w:id="4">
    <w:p>
      <w:pPr>
        <w:pStyle w:val="FootnoteText"/>
        <w:rPr>
          <w:color w:val="0000FF"/>
          <w:u w:val="single" w:color="0000FF"/>
        </w:rPr>
      </w:pPr>
      <w:r>
        <w:rPr>
          <w:rStyle w:val="FootnoteReference"/>
        </w:rPr>
        <w:footnoteRef/>
      </w:r>
      <w:r>
        <w:t xml:space="preserve"> </w:t>
      </w:r>
      <w:hyperlink r:id="rId4" w:history="1">
        <w:r>
          <w:rPr>
            <w:color w:val="0000FF"/>
            <w:u w:val="single" w:color="0000FF"/>
          </w:rPr>
          <w:t>Ú. v. EÚ C 118, 8.4.2020, s. 145.</w:t>
        </w:r>
      </w:hyperlink>
    </w:p>
  </w:footnote>
  <w:footnote w:id="5">
    <w:p>
      <w:pPr>
        <w:pStyle w:val="FootnoteText"/>
        <w:rPr>
          <w:color w:val="0000FF"/>
          <w:u w:val="single" w:color="0000FF"/>
        </w:rPr>
      </w:pPr>
      <w:r>
        <w:rPr>
          <w:rStyle w:val="FootnoteReference"/>
        </w:rPr>
        <w:footnoteRef/>
      </w:r>
      <w:r>
        <w:t xml:space="preserve"> </w:t>
      </w:r>
      <w:hyperlink r:id="rId5" w:history="1">
        <w:r>
          <w:rPr>
            <w:color w:val="0000FF"/>
            <w:u w:val="single" w:color="0000FF"/>
          </w:rPr>
          <w:t>Ú. v. EÚ C 316, 22.9.2017, s. 224.</w:t>
        </w:r>
      </w:hyperlink>
    </w:p>
  </w:footnote>
  <w:footnote w:id="6">
    <w:p>
      <w:pPr>
        <w:pStyle w:val="FootnoteText"/>
        <w:rPr>
          <w:color w:val="0000FF"/>
          <w:u w:val="single" w:color="0000FF"/>
        </w:rPr>
      </w:pPr>
      <w:r>
        <w:rPr>
          <w:rStyle w:val="FootnoteReference"/>
        </w:rPr>
        <w:footnoteRef/>
      </w:r>
      <w:r>
        <w:t xml:space="preserve"> </w:t>
      </w:r>
      <w:hyperlink r:id="rId6" w:history="1">
        <w:r>
          <w:rPr>
            <w:color w:val="0000FF"/>
            <w:u w:val="single" w:color="0000FF"/>
          </w:rPr>
          <w:t>Ú. v. EÚ C 75, 26.2.2016, s. 34.</w:t>
        </w:r>
      </w:hyperlink>
    </w:p>
  </w:footnote>
  <w:footnote w:id="7">
    <w:p>
      <w:pPr>
        <w:pStyle w:val="FootnoteText"/>
        <w:rPr>
          <w:color w:val="0000FF"/>
          <w:u w:val="single" w:color="0000FF"/>
        </w:rPr>
      </w:pPr>
      <w:r>
        <w:rPr>
          <w:rStyle w:val="FootnoteReference"/>
        </w:rPr>
        <w:footnoteRef/>
      </w:r>
      <w:r>
        <w:t xml:space="preserve"> </w:t>
      </w:r>
      <w:hyperlink r:id="rId7" w:history="1">
        <w:r>
          <w:rPr>
            <w:color w:val="0000FF"/>
            <w:u w:val="single" w:color="0000FF"/>
          </w:rPr>
          <w:t>Ú. v. EÚ C 75, 26.2.2016, s. 11.</w:t>
        </w:r>
      </w:hyperlink>
    </w:p>
  </w:footnote>
  <w:footnote w:id="8">
    <w:p>
      <w:pPr>
        <w:pStyle w:val="FootnoteText"/>
        <w:rPr>
          <w:color w:val="0000FF"/>
          <w:u w:val="single" w:color="0000FF"/>
        </w:rPr>
      </w:pPr>
      <w:r>
        <w:rPr>
          <w:rStyle w:val="FootnoteReference"/>
        </w:rPr>
        <w:footnoteRef/>
      </w:r>
      <w:r>
        <w:t xml:space="preserve"> </w:t>
      </w:r>
      <w:hyperlink r:id="rId8" w:history="1">
        <w:r>
          <w:rPr>
            <w:color w:val="0000FF"/>
            <w:u w:val="single" w:color="0000FF"/>
          </w:rPr>
          <w:t>Ú. v. EÚ C 36, 29.1.2016, s. 111.</w:t>
        </w:r>
      </w:hyperlink>
    </w:p>
  </w:footnote>
  <w:footnote w:id="9">
    <w:p>
      <w:pPr>
        <w:pStyle w:val="FootnoteText"/>
        <w:rPr>
          <w:color w:val="0000FF"/>
          <w:u w:val="single" w:color="0000FF"/>
        </w:rPr>
      </w:pPr>
      <w:r>
        <w:rPr>
          <w:rStyle w:val="FootnoteReference"/>
        </w:rPr>
        <w:footnoteRef/>
      </w:r>
      <w:r>
        <w:t xml:space="preserve"> </w:t>
      </w:r>
      <w:hyperlink r:id="rId9" w:history="1">
        <w:r>
          <w:rPr>
            <w:color w:val="0000FF"/>
            <w:u w:val="single" w:color="0000FF"/>
          </w:rPr>
          <w:t>Ú. v. EÚ C 419, 16.12.2015, s. 42.</w:t>
        </w:r>
      </w:hyperlink>
    </w:p>
  </w:footnote>
  <w:footnote w:id="10">
    <w:p>
      <w:pPr>
        <w:pStyle w:val="FootnoteText"/>
        <w:rPr>
          <w:color w:val="0000FF"/>
          <w:u w:val="single" w:color="0000FF"/>
        </w:rPr>
      </w:pPr>
      <w:r>
        <w:rPr>
          <w:rStyle w:val="FootnoteReference"/>
        </w:rPr>
        <w:footnoteRef/>
      </w:r>
      <w:r>
        <w:t xml:space="preserve"> </w:t>
      </w:r>
      <w:hyperlink r:id="rId10" w:history="1">
        <w:r>
          <w:rPr>
            <w:color w:val="0000FF"/>
            <w:u w:val="single" w:color="0000FF"/>
          </w:rPr>
          <w:t>Ú. v. EÚ C 76E, 25.3.2010, s. 16.</w:t>
        </w:r>
      </w:hyperlink>
    </w:p>
  </w:footnote>
  <w:footnote w:id="11">
    <w:p>
      <w:pPr>
        <w:pStyle w:val="FootnoteText"/>
      </w:pPr>
      <w:r>
        <w:rPr>
          <w:rStyle w:val="FootnoteReference"/>
        </w:rPr>
        <w:footnoteRef/>
      </w:r>
      <w:r>
        <w:t xml:space="preserve"> </w:t>
      </w:r>
      <w:r>
        <w:t>OECD (2020), Sociálne hospodárstvo a kríza spôsobená ochorením COVID-19: súčasné a budúce úlohy.</w:t>
      </w:r>
    </w:p>
  </w:footnote>
  <w:footnote w:id="12">
    <w:p>
      <w:pPr>
        <w:pStyle w:val="FootnoteText"/>
      </w:pPr>
      <w:r>
        <w:rPr>
          <w:rStyle w:val="FootnoteReference"/>
        </w:rPr>
        <w:footnoteRef/>
      </w:r>
      <w:r>
        <w:t xml:space="preserve"> </w:t>
      </w:r>
      <w:r>
        <w:t>Okrem iného uznesenie zo 16. decembra 2020 o novej stratégii pre európske MSP a uznesene z 24. júna 2021 o európskej regulačnej vhodnosti a zásade subsidiarity.</w:t>
      </w:r>
    </w:p>
  </w:footnote>
  <w:footnote w:id="13">
    <w:p>
      <w:pPr>
        <w:pStyle w:val="FootnoteText"/>
      </w:pPr>
      <w:r>
        <w:rPr>
          <w:rStyle w:val="FootnoteReference"/>
        </w:rPr>
        <w:footnoteRef/>
      </w:r>
      <w:r>
        <w:t xml:space="preserve"> </w:t>
      </w:r>
      <w:r>
        <w:t>Eurofound (2019), Labour market change (Zmena na trhu práce). Družstvá a sociálne podniky: práca a zamestnanosť vo vybraných krajinách.</w:t>
      </w:r>
    </w:p>
  </w:footnote>
  <w:footnote w:id="14">
    <w:p>
      <w:pPr>
        <w:pStyle w:val="FootnoteText"/>
      </w:pPr>
      <w:r>
        <w:rPr>
          <w:rStyle w:val="FootnoteReference"/>
        </w:rPr>
        <w:footnoteRef/>
      </w:r>
      <w:r>
        <w:t xml:space="preserve"> </w:t>
      </w:r>
      <w:r>
        <w:t>Napríklad inovačné modely prevodu podnikov pre malé a stredné podniky v regióne Baltského mora programu Interreg, využívanie Európskeho sociálneho fondu (ESF) a financovania z programu v oblasti zamestnanosti a sociálnej inovácie (EaSI), pilotné projekty Európskeho parlamentu s názvom Prevod na družstvá a Záchrana pracovných miest.</w:t>
      </w:r>
    </w:p>
  </w:footnote>
  <w:footnote w:id="15">
    <w:p>
      <w:pPr>
        <w:pStyle w:val="FootnoteText"/>
      </w:pPr>
      <w:r>
        <w:rPr>
          <w:rStyle w:val="FootnoteReference"/>
        </w:rPr>
        <w:footnoteRef/>
      </w:r>
      <w:r>
        <w:t xml:space="preserve"> </w:t>
      </w:r>
      <w:r>
        <w:t>Gorgi Krlev, Giulio Pasi, Dominika Wruk a Marika Bernhard (2021), Reconceptualizing the Social Economy (Prehodnotenie koncepcie sociálneho hospodárstva), Stanford Social Innovation Review.</w:t>
      </w:r>
    </w:p>
  </w:footnote>
  <w:footnote w:id="16">
    <w:p>
      <w:pPr>
        <w:pStyle w:val="FootnoteText"/>
      </w:pPr>
      <w:r>
        <w:rPr>
          <w:rStyle w:val="FootnoteReference"/>
        </w:rPr>
        <w:footnoteRef/>
      </w:r>
      <w:r>
        <w:t xml:space="preserve"> </w:t>
      </w:r>
      <w:r>
        <w:rPr>
          <w:rStyle w:val="Italic"/>
        </w:rPr>
        <w:t>Tamtiež</w:t>
      </w:r>
      <w:r>
        <w:t>.</w:t>
      </w:r>
    </w:p>
  </w:footnote>
  <w:footnote w:id="17">
    <w:p>
      <w:pPr>
        <w:pStyle w:val="FootnoteText"/>
      </w:pPr>
      <w:r>
        <w:rPr>
          <w:rStyle w:val="FootnoteReference"/>
        </w:rPr>
        <w:footnoteRef/>
      </w:r>
      <w:r>
        <w:t xml:space="preserve"> </w:t>
      </w:r>
      <w:r>
        <w:t>Bénédicte Fonteneau a Ignace Pollet (vyd.), (2019), The contribution of the social and solidarity economy and social finance to the future of work (Príspevok sociálneho a solidárneho hospodárstva a sociálneho financovania k budúcnosti práce), Medzinárodný úrad práce, Ženeva.</w:t>
      </w:r>
    </w:p>
  </w:footnote>
  <w:footnote w:id="18">
    <w:p>
      <w:pPr>
        <w:pStyle w:val="FootnoteText"/>
        <w:rPr>
          <w:color w:val="0000FF"/>
          <w:u w:val="single" w:color="0000FF"/>
        </w:rPr>
      </w:pPr>
      <w:r>
        <w:rPr>
          <w:rStyle w:val="FootnoteReference"/>
        </w:rPr>
        <w:footnoteRef/>
      </w:r>
      <w:r>
        <w:t xml:space="preserve"> </w:t>
      </w:r>
      <w:hyperlink r:id="rId11" w:history="1">
        <w:r>
          <w:rPr>
            <w:color w:val="0000FF"/>
            <w:u w:val="single" w:color="0000FF"/>
          </w:rPr>
          <w:t>https://unsse.org/about/</w:t>
        </w:r>
      </w:hyperlink>
    </w:p>
  </w:footnote>
  <w:footnote w:id="19">
    <w:p>
      <w:pPr>
        <w:pStyle w:val="FootnoteText"/>
      </w:pPr>
      <w:r>
        <w:rPr>
          <w:rStyle w:val="FootnoteReference"/>
        </w:rPr>
        <w:footnoteRef/>
      </w:r>
      <w:r>
        <w:t xml:space="preserve"> </w:t>
      </w:r>
      <w:r>
        <w:t>Správa generálneho tajomníka (2021) s názvom Socially just transition towards sustainable development: the role of digital technologies on social development and well of all (Sociálne spravodlivá transformácia smerom k udržateľnému rozvoju: úloha digitálnych technológií v oblasti sociálneho rozvoja a blahobytu všetkých), Komisia pre sociálny rozvoj, 8. – 17. februára 2021, Organizácia Spojených národov.</w:t>
      </w:r>
    </w:p>
  </w:footnote>
  <w:footnote w:id="20">
    <w:p>
      <w:pPr>
        <w:pStyle w:val="FootnoteText"/>
      </w:pPr>
      <w:r>
        <w:rPr>
          <w:rStyle w:val="FootnoteReference"/>
        </w:rPr>
        <w:footnoteRef/>
      </w:r>
      <w:r>
        <w:t xml:space="preserve"> </w:t>
      </w:r>
      <w:r>
        <w:t>V systéme OSN ako celku treba spomenúť, že Medzinárodná organizácia práce sa rozhodla, že dôstojná práca a sociálne a solidárne hospodárstvo budú témami diskusie na 110. zasadnutí Medzinárodnej konferencie práce, ktoré sa uskutoční v roku 2022.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E839D9"/>
    <w:pPr>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numbering" Target="numbering.xml" /></Relationships>
</file>

<file path=word/_rels/footnotes.xml.rels>&#65279;<?xml version="1.0" encoding="utf-8" standalone="yes"?><Relationships xmlns="http://schemas.openxmlformats.org/package/2006/relationships"><Relationship Id="rId1" Type="http://schemas.openxmlformats.org/officeDocument/2006/relationships/hyperlink" Target="https://eur-lex.europa.eu/legal-content/EN/TXT/?uri=uriserv:OJ.L_.2014.094.01.0065.01.ENG" TargetMode="External" /><Relationship Id="rId10" Type="http://schemas.openxmlformats.org/officeDocument/2006/relationships/hyperlink" Target="https://eur-lex.europa.eu/legal-content/EN/TXT/?uri=CELEX%3A52009IP0062&amp;qid=1644484713996" TargetMode="External" /><Relationship Id="rId11" Type="http://schemas.openxmlformats.org/officeDocument/2006/relationships/hyperlink" Target="https://unsse.org/about/" TargetMode="External" /><Relationship Id="rId2" Type="http://schemas.openxmlformats.org/officeDocument/2006/relationships/hyperlink" Target="https://eur-lex.europa.eu/legal-content/EN/TXT/?uri=uriserv:OJ.C_.2021.116.01.0162.01.ENG" TargetMode="External" /><Relationship Id="rId3" Type="http://schemas.openxmlformats.org/officeDocument/2006/relationships/hyperlink" Target="https://eur-lex.europa.eu/legal-content/EN/TXT/?uri=CELEX%3A52018IP0400&amp;qid=1644483833778" TargetMode="External" /><Relationship Id="rId4" Type="http://schemas.openxmlformats.org/officeDocument/2006/relationships/hyperlink" Target="https://eur-lex.europa.eu/legal-content/EN/TXT/?uri=CELEX%3A52018IP0317" TargetMode="External" /><Relationship Id="rId5" Type="http://schemas.openxmlformats.org/officeDocument/2006/relationships/hyperlink" Target="https://eur-lex.europa.eu/legal-content/EN/TXT/?uri=CELEX:52015IP0320" TargetMode="External" /><Relationship Id="rId6" Type="http://schemas.openxmlformats.org/officeDocument/2006/relationships/hyperlink" Target="https://eur-lex.europa.eu/legal-content/EN/TXT/?uri=CELEX%3A52013IP0301" TargetMode="External" /><Relationship Id="rId7" Type="http://schemas.openxmlformats.org/officeDocument/2006/relationships/hyperlink" Target="https://eur-lex.europa.eu/legal-content/EN/TXT/?uri=CELEX%3A52013IP0293" TargetMode="External" /><Relationship Id="rId8" Type="http://schemas.openxmlformats.org/officeDocument/2006/relationships/hyperlink" Target="https://eur-lex.europa.eu/legal-content/EN/TXT/?uri=CELEX%3A52013IP0094" TargetMode="External" /><Relationship Id="rId9" Type="http://schemas.openxmlformats.org/officeDocument/2006/relationships/hyperlink" Target="https://eur-lex.europa.eu/legal-content/EN/TXT/?uri=CELEX%3A52012IP0429" TargetMode="External" /></Relationships>
</file>

<file path=docProps/app.xml><?xml version="1.0" encoding="utf-8"?>
<Properties xmlns="http://schemas.openxmlformats.org/officeDocument/2006/extended-properties" xmlns:vt="http://schemas.openxmlformats.org/officeDocument/2006/docPropsVTypes">
  <Template>Normal.dot</Template>
  <TotalTime>0</TotalTime>
  <Pages>10</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1245032</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20220223-160909-283964-117873</vt:lpwstr>
  </property>
  <property fmtid="{D5CDD505-2E9C-101B-9397-08002B2CF9AE}" pid="7" name="FooterPath">
    <vt:lpwstr>PR\1245032SK.doc</vt:lpwstr>
  </property>
  <property fmtid="{D5CDD505-2E9C-101B-9397-08002B2CF9AE}" pid="8" name="PE Number">
    <vt:lpwstr>702.909</vt:lpwstr>
  </property>
  <property fmtid="{D5CDD505-2E9C-101B-9397-08002B2CF9AE}" pid="9" name="UID">
    <vt:lpwstr>eu.europa.europarl-DIN1-2022-0000019421_01.03-sk-01.00_text-xml</vt:lpwstr>
  </property>
</Properties>
</file>