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27900" w:rsidRPr="00983399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93A60" w:rsidRPr="00983399" w:rsidRDefault="00B12FAC" w:rsidP="00C85D0F">
            <w:pPr>
              <w:pStyle w:val="EPName"/>
            </w:pPr>
            <w:bookmarkStart w:id="0" w:name="_GoBack"/>
            <w:bookmarkEnd w:id="0"/>
            <w:r w:rsidRPr="00983399">
              <w:t>Parlamento Europeo</w:t>
            </w:r>
          </w:p>
          <w:p w:rsidR="00C93A60" w:rsidRPr="00983399" w:rsidRDefault="00B12FAC" w:rsidP="00DB2D94">
            <w:pPr>
              <w:pStyle w:val="EPTerm"/>
            </w:pPr>
            <w:r w:rsidRPr="0098339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C93A60" w:rsidRPr="00983399" w:rsidRDefault="00B12FAC" w:rsidP="00C85D0F">
            <w:pPr>
              <w:pStyle w:val="EPLogo"/>
            </w:pPr>
            <w:r w:rsidRPr="00983399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537C" w:rsidRPr="00983399" w:rsidRDefault="00E3537C" w:rsidP="00E3537C">
      <w:pPr>
        <w:pStyle w:val="LineTop"/>
      </w:pPr>
    </w:p>
    <w:p w:rsidR="00E3537C" w:rsidRPr="00983399" w:rsidRDefault="00B12FAC" w:rsidP="00E3537C">
      <w:pPr>
        <w:pStyle w:val="EPBody"/>
      </w:pPr>
      <w:r w:rsidRPr="00983399">
        <w:rPr>
          <w:rStyle w:val="HideTWBExt"/>
          <w:i w:val="0"/>
        </w:rPr>
        <w:t>&lt;Commission&gt;</w:t>
      </w:r>
      <w:r w:rsidRPr="00983399">
        <w:rPr>
          <w:rStyle w:val="HideTWBInt"/>
          <w:color w:val="auto"/>
        </w:rPr>
        <w:t>{EMPL}</w:t>
      </w:r>
      <w:r w:rsidRPr="00983399">
        <w:t>Comisión de Empleo y Asuntos Sociales</w:t>
      </w:r>
      <w:r w:rsidRPr="00983399">
        <w:rPr>
          <w:rStyle w:val="HideTWBExt"/>
          <w:i w:val="0"/>
        </w:rPr>
        <w:t>&lt;/Commission&gt;</w:t>
      </w:r>
    </w:p>
    <w:p w:rsidR="00E3537C" w:rsidRPr="00983399" w:rsidRDefault="00E3537C" w:rsidP="00E3537C">
      <w:pPr>
        <w:pStyle w:val="LineBottom"/>
      </w:pPr>
    </w:p>
    <w:p w:rsidR="00100069" w:rsidRPr="00983399" w:rsidRDefault="00B12FAC">
      <w:pPr>
        <w:pStyle w:val="CoverReference"/>
      </w:pPr>
      <w:r w:rsidRPr="00983399">
        <w:rPr>
          <w:rStyle w:val="HideTWBExt"/>
          <w:b w:val="0"/>
        </w:rPr>
        <w:t>&lt;RefProc&gt;</w:t>
      </w:r>
      <w:r w:rsidRPr="00983399">
        <w:t>2022/2170</w:t>
      </w:r>
      <w:r w:rsidRPr="00983399">
        <w:rPr>
          <w:rStyle w:val="HideTWBExt"/>
          <w:b w:val="0"/>
        </w:rPr>
        <w:t>&lt;/RefProc&gt;&lt;RefTypeProc&gt;</w:t>
      </w:r>
      <w:r w:rsidRPr="00983399">
        <w:t>(INI)</w:t>
      </w:r>
      <w:r w:rsidRPr="00983399">
        <w:rPr>
          <w:rStyle w:val="HideTWBExt"/>
          <w:b w:val="0"/>
        </w:rPr>
        <w:t>&lt;/RefTypeProc&gt;</w:t>
      </w:r>
    </w:p>
    <w:p w:rsidR="00100069" w:rsidRPr="00B12FAC" w:rsidRDefault="00B12FAC">
      <w:pPr>
        <w:pStyle w:val="CoverDate"/>
        <w:rPr>
          <w:lang w:val="fr-FR"/>
        </w:rPr>
      </w:pPr>
      <w:r w:rsidRPr="00B12FAC">
        <w:rPr>
          <w:rStyle w:val="HideTWBExt"/>
          <w:lang w:val="fr-FR"/>
        </w:rPr>
        <w:t>&lt;Date&gt;</w:t>
      </w:r>
      <w:r w:rsidRPr="00B12FAC">
        <w:rPr>
          <w:rStyle w:val="HideTWBInt"/>
          <w:color w:val="auto"/>
          <w:lang w:val="fr-FR"/>
        </w:rPr>
        <w:t>{05/05/2023}</w:t>
      </w:r>
      <w:r w:rsidRPr="00B12FAC">
        <w:rPr>
          <w:lang w:val="fr-FR"/>
        </w:rPr>
        <w:t>5.5.2023</w:t>
      </w:r>
      <w:r w:rsidRPr="00B12FAC">
        <w:rPr>
          <w:rStyle w:val="HideTWBExt"/>
          <w:lang w:val="fr-FR"/>
        </w:rPr>
        <w:t>&lt;/Date&gt;</w:t>
      </w:r>
    </w:p>
    <w:p w:rsidR="00100069" w:rsidRPr="00B12FAC" w:rsidRDefault="00B12FAC">
      <w:pPr>
        <w:pStyle w:val="CoverDocType24a"/>
        <w:rPr>
          <w:lang w:val="fr-FR"/>
        </w:rPr>
      </w:pPr>
      <w:r w:rsidRPr="00B12FAC">
        <w:rPr>
          <w:rStyle w:val="HideTWBExt"/>
          <w:b w:val="0"/>
          <w:lang w:val="fr-FR"/>
        </w:rPr>
        <w:t>&lt;TitreType&gt;</w:t>
      </w:r>
      <w:r w:rsidRPr="00B12FAC">
        <w:rPr>
          <w:lang w:val="fr-FR"/>
        </w:rPr>
        <w:t>PROYECTO DE INFORME</w:t>
      </w:r>
      <w:r w:rsidRPr="00B12FAC">
        <w:rPr>
          <w:rStyle w:val="HideTWBExt"/>
          <w:b w:val="0"/>
          <w:lang w:val="fr-FR"/>
        </w:rPr>
        <w:t>&lt;/TitreType&gt;</w:t>
      </w:r>
    </w:p>
    <w:p w:rsidR="00100069" w:rsidRPr="00983399" w:rsidRDefault="00B12FAC">
      <w:pPr>
        <w:pStyle w:val="CoverNormal"/>
      </w:pPr>
      <w:r w:rsidRPr="00983399">
        <w:rPr>
          <w:rStyle w:val="HideTWBExt"/>
        </w:rPr>
        <w:t>&lt;Titre&gt;</w:t>
      </w:r>
      <w:r w:rsidRPr="00983399">
        <w:t xml:space="preserve">sobre </w:t>
      </w:r>
      <w:r w:rsidRPr="00983399">
        <w:t>creación de empleo: transición justa e inversiones con impacto</w:t>
      </w:r>
      <w:r w:rsidRPr="00983399">
        <w:rPr>
          <w:rStyle w:val="HideTWBExt"/>
        </w:rPr>
        <w:t>&lt;/Titre&gt;</w:t>
      </w:r>
    </w:p>
    <w:p w:rsidR="00100069" w:rsidRPr="00983399" w:rsidRDefault="00B12FAC">
      <w:pPr>
        <w:pStyle w:val="CoverNormal24a"/>
      </w:pPr>
      <w:r w:rsidRPr="00983399">
        <w:rPr>
          <w:rStyle w:val="HideTWBExt"/>
        </w:rPr>
        <w:t>&lt;DocRef&gt;</w:t>
      </w:r>
      <w:r w:rsidRPr="00983399">
        <w:t>(2022/2170(INI))</w:t>
      </w:r>
      <w:r w:rsidRPr="00983399">
        <w:rPr>
          <w:rStyle w:val="HideTWBExt"/>
        </w:rPr>
        <w:t>&lt;/DocRef&gt;</w:t>
      </w:r>
    </w:p>
    <w:p w:rsidR="00100069" w:rsidRPr="00983399" w:rsidRDefault="00B12FAC">
      <w:pPr>
        <w:pStyle w:val="CoverNormal24a"/>
      </w:pPr>
      <w:r w:rsidRPr="00983399">
        <w:rPr>
          <w:rStyle w:val="HideTWBExt"/>
        </w:rPr>
        <w:t>&lt;Commission&gt;</w:t>
      </w:r>
      <w:r w:rsidRPr="00983399">
        <w:rPr>
          <w:rStyle w:val="HideTWBInt"/>
          <w:color w:val="auto"/>
        </w:rPr>
        <w:t>{EMPL}</w:t>
      </w:r>
      <w:r w:rsidRPr="00983399">
        <w:t>Comisión de Empleo y Asuntos Sociales</w:t>
      </w:r>
      <w:r w:rsidRPr="00983399">
        <w:rPr>
          <w:rStyle w:val="HideTWBExt"/>
        </w:rPr>
        <w:t>&lt;/Commission&gt;</w:t>
      </w:r>
    </w:p>
    <w:p w:rsidR="00100069" w:rsidRPr="00B12FAC" w:rsidRDefault="00B12FAC">
      <w:pPr>
        <w:pStyle w:val="CoverNormal24a"/>
        <w:rPr>
          <w:lang w:val="pt-PT"/>
        </w:rPr>
      </w:pPr>
      <w:r w:rsidRPr="00B12FAC">
        <w:rPr>
          <w:lang w:val="pt-PT"/>
        </w:rPr>
        <w:t xml:space="preserve">Ponente: </w:t>
      </w:r>
      <w:r w:rsidRPr="00B12FAC">
        <w:rPr>
          <w:rStyle w:val="HideTWBExt"/>
          <w:lang w:val="pt-PT"/>
        </w:rPr>
        <w:t>&lt;Depute&gt;</w:t>
      </w:r>
      <w:r w:rsidRPr="00B12FAC">
        <w:rPr>
          <w:lang w:val="pt-PT"/>
        </w:rPr>
        <w:t>Sara Matthieu</w:t>
      </w:r>
      <w:r w:rsidRPr="00B12FAC">
        <w:rPr>
          <w:rStyle w:val="HideTWBExt"/>
          <w:lang w:val="pt-PT"/>
        </w:rPr>
        <w:t>&lt;/Depute&gt;</w:t>
      </w:r>
    </w:p>
    <w:p w:rsidR="00E155CA" w:rsidRPr="00B12FAC" w:rsidRDefault="00E155CA" w:rsidP="00E155CA">
      <w:pPr>
        <w:pStyle w:val="CoverNormal"/>
        <w:rPr>
          <w:lang w:val="pt-PT"/>
        </w:rPr>
      </w:pPr>
    </w:p>
    <w:p w:rsidR="00100069" w:rsidRPr="00B12FAC" w:rsidRDefault="00B12FAC" w:rsidP="002544DF">
      <w:pPr>
        <w:widowControl/>
        <w:tabs>
          <w:tab w:val="center" w:pos="4677"/>
        </w:tabs>
        <w:rPr>
          <w:lang w:val="pt-PT"/>
        </w:rPr>
      </w:pPr>
      <w:r w:rsidRPr="00B12FAC">
        <w:rPr>
          <w:lang w:val="pt-PT"/>
        </w:rPr>
        <w:br w:type="page"/>
      </w:r>
      <w:r w:rsidRPr="00B12FAC">
        <w:rPr>
          <w:lang w:val="pt-PT"/>
        </w:rPr>
        <w:lastRenderedPageBreak/>
        <w:t>PR_INI</w:t>
      </w:r>
    </w:p>
    <w:p w:rsidR="00100069" w:rsidRPr="00B12FAC" w:rsidRDefault="00B12FAC">
      <w:pPr>
        <w:pStyle w:val="TOCHeading"/>
        <w:rPr>
          <w:lang w:val="pt-PT"/>
        </w:rPr>
      </w:pPr>
      <w:r w:rsidRPr="00B12FAC">
        <w:rPr>
          <w:lang w:val="pt-PT"/>
        </w:rPr>
        <w:t>ÍNDICE</w:t>
      </w:r>
    </w:p>
    <w:p w:rsidR="00100069" w:rsidRPr="00B12FAC" w:rsidRDefault="00B12FAC">
      <w:pPr>
        <w:pStyle w:val="TOCPage"/>
        <w:rPr>
          <w:lang w:val="pt-PT"/>
        </w:rPr>
      </w:pPr>
      <w:r w:rsidRPr="00B12FAC">
        <w:rPr>
          <w:lang w:val="pt-PT"/>
        </w:rPr>
        <w:t>Página</w:t>
      </w:r>
    </w:p>
    <w:p w:rsidR="00B12FAC" w:rsidRDefault="00B12FAC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983399">
        <w:rPr>
          <w:b/>
        </w:rPr>
        <w:fldChar w:fldCharType="begin"/>
      </w:r>
      <w:r w:rsidRPr="00983399">
        <w:rPr>
          <w:b/>
        </w:rPr>
        <w:instrText xml:space="preserve"> TOC \t "PageHeading</w:instrText>
      </w:r>
      <w:r w:rsidRPr="00983399">
        <w:rPr>
          <w:b/>
        </w:rPr>
        <w:instrText>;</w:instrText>
      </w:r>
      <w:r w:rsidRPr="00983399">
        <w:rPr>
          <w:b/>
        </w:rPr>
        <w:instrText xml:space="preserve">1" </w:instrText>
      </w:r>
      <w:r w:rsidRPr="00983399">
        <w:rPr>
          <w:b/>
        </w:rPr>
        <w:fldChar w:fldCharType="separate"/>
      </w:r>
      <w:r>
        <w:rPr>
          <w:noProof/>
        </w:rPr>
        <w:t>PROPUESTA DE RESOLUCIÓN DEL PARLAMENTO EUROPEO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_Toc136854213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12FAC" w:rsidRDefault="00B12FAC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EXPOSICIÓN DE MOTIVOS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_Toc136854214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155CA" w:rsidRPr="00983399" w:rsidRDefault="00B12FAC" w:rsidP="0023245A">
      <w:r w:rsidRPr="00983399">
        <w:rPr>
          <w:b/>
        </w:rPr>
        <w:fldChar w:fldCharType="end"/>
      </w:r>
    </w:p>
    <w:p w:rsidR="00100069" w:rsidRPr="00983399" w:rsidRDefault="00B12FAC">
      <w:pPr>
        <w:pStyle w:val="PageHeading"/>
      </w:pPr>
      <w:r w:rsidRPr="00983399">
        <w:br w:type="page"/>
      </w:r>
      <w:bookmarkStart w:id="1" w:name="_Toc136854213"/>
      <w:r w:rsidRPr="00983399">
        <w:t>PROPUESTA DE RESOLUCIÓN DEL PARLAMENTO EUROPEO</w:t>
      </w:r>
      <w:bookmarkEnd w:id="1"/>
    </w:p>
    <w:p w:rsidR="00100069" w:rsidRPr="00983399" w:rsidRDefault="00B12FAC">
      <w:pPr>
        <w:pStyle w:val="NormalBold"/>
      </w:pPr>
      <w:r w:rsidRPr="00983399">
        <w:t>sobre creación de empleo: transición justa e inversiones con impacto</w:t>
      </w:r>
    </w:p>
    <w:p w:rsidR="00100069" w:rsidRPr="00983399" w:rsidRDefault="00B12FAC" w:rsidP="00335F69">
      <w:pPr>
        <w:pStyle w:val="NormalBold"/>
      </w:pPr>
      <w:r w:rsidRPr="00983399">
        <w:t>(2022/2170(INI))</w:t>
      </w:r>
    </w:p>
    <w:p w:rsidR="00100069" w:rsidRPr="00983399" w:rsidRDefault="00B12FAC" w:rsidP="00335F69">
      <w:pPr>
        <w:pStyle w:val="EPComma"/>
      </w:pPr>
      <w:r w:rsidRPr="00983399">
        <w:rPr>
          <w:i/>
          <w:iCs/>
        </w:rPr>
        <w:t>El Parlamento Europeo</w:t>
      </w:r>
      <w:r w:rsidRPr="00983399">
        <w:t>,</w:t>
      </w:r>
    </w:p>
    <w:p w:rsidR="00014223" w:rsidRPr="00983399" w:rsidRDefault="00B12FAC" w:rsidP="00014223">
      <w:pPr>
        <w:pStyle w:val="NormalHanging12a"/>
      </w:pPr>
      <w:r w:rsidRPr="00983399">
        <w:t>–</w:t>
      </w:r>
      <w:r w:rsidRPr="00983399">
        <w:tab/>
        <w:t>Vista la Recomendación del C</w:t>
      </w:r>
      <w:r w:rsidRPr="00983399">
        <w:t>onsejo de 16 de junio de 2022 para garantizar una transición justa hacia la neutralidad climática</w:t>
      </w:r>
      <w:r w:rsidRPr="00983399">
        <w:rPr>
          <w:rStyle w:val="FootnoteReference"/>
        </w:rPr>
        <w:footnoteReference w:id="1"/>
      </w:r>
      <w:r w:rsidRPr="00983399">
        <w:t>,</w:t>
      </w:r>
    </w:p>
    <w:p w:rsidR="00014223" w:rsidRPr="00983399" w:rsidRDefault="00B12FAC" w:rsidP="00014223">
      <w:pPr>
        <w:pStyle w:val="NormalHanging12a"/>
      </w:pPr>
      <w:r w:rsidRPr="00983399">
        <w:t>–</w:t>
      </w:r>
      <w:r w:rsidRPr="00983399">
        <w:tab/>
        <w:t>Visto el Acuerdo adoptado en París en la 21.ª Conferencia de las Partes en la Convención Marco de las Naciones Unidas sobre el Cambio Climático (COP) el 1</w:t>
      </w:r>
      <w:r w:rsidRPr="00983399">
        <w:t>2 de diciembre de 2015 (en lo sucesivo, «Acuerdo de París»),</w:t>
      </w:r>
    </w:p>
    <w:p w:rsidR="00014223" w:rsidRPr="00983399" w:rsidRDefault="00B12FAC" w:rsidP="00014223">
      <w:pPr>
        <w:pStyle w:val="NormalHanging12a"/>
      </w:pPr>
      <w:r w:rsidRPr="00983399">
        <w:t>–</w:t>
      </w:r>
      <w:r w:rsidRPr="00983399">
        <w:tab/>
        <w:t>Vista la Comunicación de la Comisión, de 11 de diciembre de 2019, titulada «El Pacto Verde Europeo» (COM(2019)0640),</w:t>
      </w:r>
    </w:p>
    <w:p w:rsidR="00014223" w:rsidRPr="00983399" w:rsidRDefault="00B12FAC" w:rsidP="00014223">
      <w:pPr>
        <w:pStyle w:val="NormalHanging12a"/>
      </w:pPr>
      <w:r w:rsidRPr="00983399">
        <w:t>–</w:t>
      </w:r>
      <w:r w:rsidRPr="00983399">
        <w:tab/>
        <w:t>Vista la Comunicación de la Comisión, de 14 de julio de 2021, titulada «“O</w:t>
      </w:r>
      <w:r w:rsidRPr="00983399">
        <w:t>bjetivo 55”: cumplimiento del objetivo climático de la UE para 2030 en el camino hacia la neutralidad climática» (COM(2021)0550),</w:t>
      </w:r>
    </w:p>
    <w:p w:rsidR="00014223" w:rsidRPr="00983399" w:rsidRDefault="00B12FAC" w:rsidP="00014223">
      <w:pPr>
        <w:pStyle w:val="NormalHanging12a"/>
      </w:pPr>
      <w:r w:rsidRPr="00983399">
        <w:t>–</w:t>
      </w:r>
      <w:r w:rsidRPr="00983399">
        <w:tab/>
        <w:t xml:space="preserve">Vista la declaración sobre el apoyo a las condiciones para una transición justa a nivel internacional, de 4 de noviembre de </w:t>
      </w:r>
      <w:r w:rsidRPr="00983399">
        <w:t>2021, adoptada en la COP26 en Glasgow,</w:t>
      </w:r>
    </w:p>
    <w:p w:rsidR="00014223" w:rsidRPr="00983399" w:rsidRDefault="00B12FAC" w:rsidP="00014223">
      <w:pPr>
        <w:pStyle w:val="NormalHanging12a"/>
      </w:pPr>
      <w:r w:rsidRPr="00983399">
        <w:t>–</w:t>
      </w:r>
      <w:r w:rsidRPr="00983399">
        <w:tab/>
        <w:t>Vista la Comunicación de la Comisión, de 23 de febrero de 2022, sobre el trabajo digno en todo el mundo para una transición justa a escala mundial y una recuperación sostenible (COM(2022)0066),</w:t>
      </w:r>
    </w:p>
    <w:p w:rsidR="00014223" w:rsidRPr="00983399" w:rsidRDefault="00B12FAC" w:rsidP="00014223">
      <w:pPr>
        <w:pStyle w:val="NormalHanging12a"/>
      </w:pPr>
      <w:r w:rsidRPr="00983399">
        <w:t>–</w:t>
      </w:r>
      <w:r w:rsidRPr="00983399">
        <w:tab/>
        <w:t>Vista la Comunicaci</w:t>
      </w:r>
      <w:r w:rsidRPr="00983399">
        <w:t>ón de la Comisión, de 4 de marzo de 2021, sobre el Plan de Acción del Pilar Europeo de Derechos Sociales (COM(2021)0102),</w:t>
      </w:r>
    </w:p>
    <w:p w:rsidR="00014223" w:rsidRPr="00983399" w:rsidRDefault="00B12FAC" w:rsidP="00014223">
      <w:pPr>
        <w:pStyle w:val="NormalHanging12a"/>
      </w:pPr>
      <w:r w:rsidRPr="00983399">
        <w:t>–</w:t>
      </w:r>
      <w:r w:rsidRPr="00983399">
        <w:tab/>
        <w:t>Visto el Reglamento (UE) 2021/1056 del Parlamento Europeo y del Consejo, de 24 de junio de 2021, por el que se establece el Fondo de</w:t>
      </w:r>
      <w:r w:rsidRPr="00983399">
        <w:t xml:space="preserve"> Transición Justa</w:t>
      </w:r>
      <w:r w:rsidRPr="00983399">
        <w:rPr>
          <w:rStyle w:val="FootnoteReference"/>
        </w:rPr>
        <w:footnoteReference w:id="2"/>
      </w:r>
      <w:r w:rsidRPr="00983399">
        <w:t>,</w:t>
      </w:r>
    </w:p>
    <w:p w:rsidR="00014223" w:rsidRPr="00983399" w:rsidRDefault="00B12FAC" w:rsidP="00014223">
      <w:pPr>
        <w:pStyle w:val="NormalHanging12a"/>
      </w:pPr>
      <w:r w:rsidRPr="00983399">
        <w:t>–</w:t>
      </w:r>
      <w:r w:rsidRPr="00983399">
        <w:tab/>
        <w:t>Visto el Reglamento (UE) 2021/241 del Parlamento Europeo y del Consejo, de 12 de febrero de 2021, por el que se establece el Mecanismo de Recuperación y Resiliencia</w:t>
      </w:r>
      <w:r w:rsidRPr="00983399">
        <w:rPr>
          <w:rStyle w:val="FootnoteReference"/>
        </w:rPr>
        <w:footnoteReference w:id="3"/>
      </w:r>
      <w:r w:rsidRPr="00983399">
        <w:t>,</w:t>
      </w:r>
    </w:p>
    <w:p w:rsidR="00014223" w:rsidRPr="00983399" w:rsidRDefault="00B12FAC" w:rsidP="00014223">
      <w:pPr>
        <w:pStyle w:val="NormalHanging12a"/>
      </w:pPr>
      <w:r w:rsidRPr="00983399">
        <w:t>–</w:t>
      </w:r>
      <w:r w:rsidRPr="00983399">
        <w:tab/>
        <w:t>Vista la Comunicación de la Comisión, de 17 de septiembre de 2020</w:t>
      </w:r>
      <w:r w:rsidRPr="00983399">
        <w:t>, titulada «Evaluación, a escala de la UE, de los planes nacionales de energía y clima. Impulsar la transición ecológica y promover la recuperación económica mediante una planificación integrada en materia de energía y clima» (COM(2020)0564),</w:t>
      </w:r>
    </w:p>
    <w:p w:rsidR="00014223" w:rsidRPr="00983399" w:rsidRDefault="00B12FAC" w:rsidP="00014223">
      <w:pPr>
        <w:pStyle w:val="NormalHanging12a"/>
      </w:pPr>
      <w:r w:rsidRPr="00983399">
        <w:t>–</w:t>
      </w:r>
      <w:r w:rsidRPr="00983399">
        <w:tab/>
        <w:t>Vista la Co</w:t>
      </w:r>
      <w:r w:rsidRPr="00983399">
        <w:t>municación de la Comisión, de 1 de julio de 2020, titulada «Agenda de Capacidades Europea para la competitividad sostenible, la equidad social y la resiliencia» (COM(2020)0274),</w:t>
      </w:r>
    </w:p>
    <w:p w:rsidR="00014223" w:rsidRPr="00983399" w:rsidRDefault="00B12FAC" w:rsidP="00014223">
      <w:pPr>
        <w:pStyle w:val="NormalHanging12a"/>
      </w:pPr>
      <w:r w:rsidRPr="00983399">
        <w:t>–</w:t>
      </w:r>
      <w:r w:rsidRPr="00983399">
        <w:tab/>
        <w:t>Vista la Comunicación de la Comisión, de 5 de mayo de 2021, titulada «Actual</w:t>
      </w:r>
      <w:r w:rsidRPr="00983399">
        <w:t>ización del nuevo modelo de industria de 2020: Creación de un mercado único más sólido para la recuperación de Europa» (COM(2021)0350),</w:t>
      </w:r>
    </w:p>
    <w:p w:rsidR="00014223" w:rsidRPr="00983399" w:rsidRDefault="00B12FAC" w:rsidP="00014223">
      <w:pPr>
        <w:pStyle w:val="NormalHanging12a"/>
      </w:pPr>
      <w:r w:rsidRPr="00983399">
        <w:t>–</w:t>
      </w:r>
      <w:r w:rsidRPr="00983399">
        <w:tab/>
        <w:t>Vista la Recomendación del Consejo, de 24 de noviembre de 2020, sobre la educación y formación profesionales (EFP) par</w:t>
      </w:r>
      <w:r w:rsidRPr="00983399">
        <w:t>a la competitividad sostenible, la equidad social y la resiliencia</w:t>
      </w:r>
      <w:r w:rsidRPr="00983399">
        <w:rPr>
          <w:rStyle w:val="FootnoteReference"/>
        </w:rPr>
        <w:footnoteReference w:id="4"/>
      </w:r>
      <w:r w:rsidRPr="00983399">
        <w:t>,</w:t>
      </w:r>
    </w:p>
    <w:p w:rsidR="00014223" w:rsidRPr="00983399" w:rsidRDefault="00B12FAC" w:rsidP="00014223">
      <w:pPr>
        <w:pStyle w:val="NormalHanging12a"/>
      </w:pPr>
      <w:r w:rsidRPr="00983399">
        <w:t>–</w:t>
      </w:r>
      <w:r w:rsidRPr="00983399">
        <w:tab/>
        <w:t xml:space="preserve">Vista la Propuesta de Reglamento del Parlamento Europeo y del Consejo por el que se establece un marco de medidas para reforzar el ecosistema europeo de fabricación de productos de </w:t>
      </w:r>
      <w:r w:rsidRPr="00983399">
        <w:t>tecnologías de cero emisiones netas (Ley sobre la industria de cero emisiones netas) (COM(2023)0161),</w:t>
      </w:r>
    </w:p>
    <w:p w:rsidR="00DB2D94" w:rsidRPr="00983399" w:rsidRDefault="00B12FAC" w:rsidP="00014223">
      <w:pPr>
        <w:pStyle w:val="NormalHanging12a"/>
      </w:pPr>
      <w:r w:rsidRPr="00983399">
        <w:t>–</w:t>
      </w:r>
      <w:r w:rsidRPr="00983399">
        <w:tab/>
        <w:t>Visto el artículo 54 de su Reglamento interno,</w:t>
      </w:r>
    </w:p>
    <w:p w:rsidR="00733C0C" w:rsidRPr="00983399" w:rsidRDefault="00B12FAC" w:rsidP="00DB2D94">
      <w:pPr>
        <w:pStyle w:val="NormalHanging12a"/>
        <w:rPr>
          <w:color w:val="000000"/>
        </w:rPr>
      </w:pPr>
      <w:r w:rsidRPr="00983399">
        <w:t>–</w:t>
      </w:r>
      <w:r w:rsidRPr="00983399">
        <w:tab/>
        <w:t xml:space="preserve">Vista la opinión de la Comisión de </w:t>
      </w:r>
      <w:r w:rsidRPr="00983399">
        <w:rPr>
          <w:color w:val="000000"/>
        </w:rPr>
        <w:t>Desarrollo Regional</w:t>
      </w:r>
      <w:r w:rsidRPr="00983399">
        <w:t>,</w:t>
      </w:r>
    </w:p>
    <w:p w:rsidR="00100069" w:rsidRPr="00983399" w:rsidRDefault="00B12FAC" w:rsidP="00DB2D94">
      <w:pPr>
        <w:pStyle w:val="NormalHanging12a"/>
      </w:pPr>
      <w:r w:rsidRPr="00983399">
        <w:t>–</w:t>
      </w:r>
      <w:r w:rsidRPr="00983399">
        <w:tab/>
        <w:t>Visto el Informe de la Comisión de Empleo y A</w:t>
      </w:r>
      <w:r w:rsidRPr="00983399">
        <w:t>suntos Sociales (A9‑0000/2023),</w:t>
      </w:r>
    </w:p>
    <w:p w:rsidR="00DB2D94" w:rsidRPr="00983399" w:rsidRDefault="00B12FAC" w:rsidP="00DB2D94">
      <w:pPr>
        <w:pStyle w:val="NormalHanging12a"/>
      </w:pPr>
      <w:r w:rsidRPr="00983399">
        <w:t>A.</w:t>
      </w:r>
      <w:r w:rsidRPr="00983399">
        <w:tab/>
        <w:t>Considerando que la transición ecológica ampliará en gran medida las actividades económicas relacionadas con las energías renovables, la eficiencia energética y la economía circular, al tiempo que transformará otras activ</w:t>
      </w:r>
      <w:r w:rsidRPr="00983399">
        <w:t>idades económicas;</w:t>
      </w:r>
    </w:p>
    <w:p w:rsidR="00DB2D94" w:rsidRPr="00983399" w:rsidRDefault="00B12FAC" w:rsidP="00DB2D94">
      <w:pPr>
        <w:pStyle w:val="NormalHanging12a"/>
      </w:pPr>
      <w:r w:rsidRPr="00983399">
        <w:t>B.</w:t>
      </w:r>
      <w:r w:rsidRPr="00983399">
        <w:tab/>
        <w:t>Considerando que, para que la transición sea justa, se debe aprovechar la oportunidad para crear empleos de calidad, abordar la discriminación en el trabajo y mejorar las normas laborales;</w:t>
      </w:r>
    </w:p>
    <w:p w:rsidR="00DB2D94" w:rsidRPr="00983399" w:rsidRDefault="00B12FAC" w:rsidP="00DB2D94">
      <w:pPr>
        <w:pStyle w:val="NormalHanging12a"/>
      </w:pPr>
      <w:r w:rsidRPr="00983399">
        <w:t>C.</w:t>
      </w:r>
      <w:r w:rsidRPr="00983399">
        <w:tab/>
        <w:t xml:space="preserve">Considerando que los sectores en los que </w:t>
      </w:r>
      <w:r w:rsidRPr="00983399">
        <w:t>se espera que surjan oportunidades de empleo en la transición hacia economías neutras en carbono siguen estando muy dominados por los hombres;</w:t>
      </w:r>
    </w:p>
    <w:p w:rsidR="00DB2D94" w:rsidRPr="00983399" w:rsidRDefault="00B12FAC" w:rsidP="00DB2D94">
      <w:pPr>
        <w:pStyle w:val="NormalHanging12a"/>
      </w:pPr>
      <w:r w:rsidRPr="00983399">
        <w:t>D.</w:t>
      </w:r>
      <w:r w:rsidRPr="00983399">
        <w:tab/>
        <w:t>Considerando que, para alcanzar la neutralidad en carbono de aquí a 2050, será necesario anticiparse al cambio</w:t>
      </w:r>
      <w:r w:rsidRPr="00983399">
        <w:t xml:space="preserve"> y contar con unas condiciones marco adecuadas que apoyen las transiciones entre empleos e incluyan la capacitación, el reciclaje profesional y la mejora de las capacidades necesarias de la población activa actual;</w:t>
      </w:r>
    </w:p>
    <w:p w:rsidR="00DB2D94" w:rsidRPr="00983399" w:rsidRDefault="00B12FAC" w:rsidP="00DB2D94">
      <w:pPr>
        <w:pStyle w:val="NormalHanging12a"/>
      </w:pPr>
      <w:r w:rsidRPr="00983399">
        <w:t>E.</w:t>
      </w:r>
      <w:r w:rsidRPr="00983399">
        <w:tab/>
        <w:t>Considerando que el déficit de inversi</w:t>
      </w:r>
      <w:r w:rsidRPr="00983399">
        <w:t xml:space="preserve">ón para la acción por el clima se ha estimado en 520 000 millones EUR al año hasta 2030; </w:t>
      </w:r>
    </w:p>
    <w:p w:rsidR="00DB2D94" w:rsidRPr="00983399" w:rsidRDefault="00B12FAC" w:rsidP="00DB2D94">
      <w:pPr>
        <w:pStyle w:val="NormalHanging12a"/>
      </w:pPr>
      <w:r w:rsidRPr="00983399">
        <w:t>F.</w:t>
      </w:r>
      <w:r w:rsidRPr="00983399">
        <w:tab/>
        <w:t>Considerando que la participación de la población activa y los sindicatos en la gobernanza de la transición y la anticipación y gestión social del cambio es un req</w:t>
      </w:r>
      <w:r w:rsidRPr="00983399">
        <w:t>uisito previo para una transición justa, inclusiva y satisfactoria;</w:t>
      </w:r>
    </w:p>
    <w:p w:rsidR="00DB2D94" w:rsidRPr="00983399" w:rsidRDefault="00B12FAC" w:rsidP="00DB2D94">
      <w:pPr>
        <w:pStyle w:val="NormalHanging12a"/>
        <w:rPr>
          <w:b/>
          <w:i/>
        </w:rPr>
      </w:pPr>
      <w:r w:rsidRPr="00983399">
        <w:rPr>
          <w:b/>
          <w:i/>
        </w:rPr>
        <w:t>Oportunidades de la economía ecológica para el mercado de trabajo</w:t>
      </w:r>
    </w:p>
    <w:p w:rsidR="00DB2D94" w:rsidRPr="00983399" w:rsidRDefault="00B12FAC" w:rsidP="00DB2D94">
      <w:pPr>
        <w:pStyle w:val="NormalHanging12a"/>
      </w:pPr>
      <w:r w:rsidRPr="00983399">
        <w:t>1.</w:t>
      </w:r>
      <w:r w:rsidRPr="00983399">
        <w:tab/>
        <w:t>Hace hincapié en que la transición hacia sociedades y economías renovables y circulares brinda oportunidades tanto para</w:t>
      </w:r>
      <w:r w:rsidRPr="00983399">
        <w:t xml:space="preserve"> crear nuevos puestos de trabajo como para transformar el empleo existente en trabajos ecológicos y sostenibles en prácticamente todos los sectores; </w:t>
      </w:r>
    </w:p>
    <w:p w:rsidR="00DB2D94" w:rsidRPr="00983399" w:rsidRDefault="00B12FAC" w:rsidP="00DB2D94">
      <w:pPr>
        <w:pStyle w:val="NormalHanging12a"/>
      </w:pPr>
      <w:r w:rsidRPr="00983399">
        <w:t>2.</w:t>
      </w:r>
      <w:r w:rsidRPr="00983399">
        <w:tab/>
        <w:t>Señala que el potencial de empleo de la transición ecológica también está relacionado con actividades e</w:t>
      </w:r>
      <w:r w:rsidRPr="00983399">
        <w:t>conómicas sostenibles, como la renovación energética, las reparaciones y la agricultura ecológica, que requieren más mano de obra que las actividades a las que sustituyen;</w:t>
      </w:r>
    </w:p>
    <w:p w:rsidR="00DB2D94" w:rsidRPr="00983399" w:rsidRDefault="00B12FAC" w:rsidP="00DB2D94">
      <w:pPr>
        <w:pStyle w:val="NormalHanging12a"/>
      </w:pPr>
      <w:r w:rsidRPr="00983399">
        <w:t>3.</w:t>
      </w:r>
      <w:r w:rsidRPr="00983399">
        <w:tab/>
        <w:t xml:space="preserve">Señala que la transición posee un amplio potencial para crear puestos de trabajo </w:t>
      </w:r>
      <w:r w:rsidRPr="00983399">
        <w:t>locales que no pueden deslocalizarse, lo que contribuiría a reforzar la soberanía y la resiliencia europeas;</w:t>
      </w:r>
    </w:p>
    <w:p w:rsidR="00DB2D94" w:rsidRPr="00983399" w:rsidRDefault="00B12FAC" w:rsidP="00DB2D94">
      <w:pPr>
        <w:pStyle w:val="NormalHanging12a"/>
      </w:pPr>
      <w:r w:rsidRPr="00983399">
        <w:t>4.</w:t>
      </w:r>
      <w:r w:rsidRPr="00983399">
        <w:tab/>
        <w:t xml:space="preserve">Pide a la Comisión que elabore directrices conceptuales sobre lo que constituye un empleo ecológico, basándose en su potencial de ecologización </w:t>
      </w:r>
      <w:r w:rsidRPr="00983399">
        <w:t>de la economía y en su contribución a la salud y bienestar de las personas y al trabajo digno;</w:t>
      </w:r>
    </w:p>
    <w:p w:rsidR="00DB2D94" w:rsidRPr="00983399" w:rsidRDefault="00B12FAC" w:rsidP="00DB2D94">
      <w:pPr>
        <w:pStyle w:val="NormalHanging12a"/>
        <w:rPr>
          <w:b/>
          <w:i/>
        </w:rPr>
      </w:pPr>
      <w:r w:rsidRPr="00983399">
        <w:rPr>
          <w:b/>
          <w:i/>
        </w:rPr>
        <w:t>Trabajo digno para una transición justa</w:t>
      </w:r>
    </w:p>
    <w:p w:rsidR="00DB2D94" w:rsidRPr="00983399" w:rsidRDefault="00B12FAC" w:rsidP="00DB2D94">
      <w:pPr>
        <w:pStyle w:val="NormalHanging12a"/>
      </w:pPr>
      <w:r w:rsidRPr="00983399">
        <w:t>5.</w:t>
      </w:r>
      <w:r w:rsidRPr="00983399">
        <w:tab/>
        <w:t xml:space="preserve">Hace hincapié en que la transición ecológica del mercado laboral debe ir acompañada de una convergencia al alza hacia </w:t>
      </w:r>
      <w:r w:rsidRPr="00983399">
        <w:t>mejores condiciones de trabajo y trayectorias profesionales atractivas;</w:t>
      </w:r>
    </w:p>
    <w:p w:rsidR="00DB2D94" w:rsidRPr="00983399" w:rsidRDefault="00B12FAC" w:rsidP="00DB2D94">
      <w:pPr>
        <w:pStyle w:val="NormalHanging12a"/>
      </w:pPr>
      <w:r w:rsidRPr="00983399">
        <w:t>6.</w:t>
      </w:r>
      <w:r w:rsidRPr="00983399">
        <w:tab/>
        <w:t>Reitera su llamamiento a que la financiación de la Unión, incluidas las ayudas estatales, debe estar supeditada a objetivos de las políticas públicas, y en particular a requisitos s</w:t>
      </w:r>
      <w:r w:rsidRPr="00983399">
        <w:t>ociales; subraya que las autoridades públicas deben dar ejemplo y establecer criterios sociales en la contratación pública; pide que se revise la Directiva sobre contratación pública para garantizar que las empresas beneficiarias apoyen la negociación cole</w:t>
      </w:r>
      <w:r w:rsidRPr="00983399">
        <w:t>ctiva, el empleo y el aprendizaje profesional de alta calidad, la remuneración digna e igualitaria y la formación;</w:t>
      </w:r>
    </w:p>
    <w:p w:rsidR="00DB2D94" w:rsidRPr="00983399" w:rsidRDefault="00B12FAC" w:rsidP="00DB2D94">
      <w:pPr>
        <w:pStyle w:val="NormalHanging12a"/>
      </w:pPr>
      <w:r w:rsidRPr="00983399">
        <w:t>7.</w:t>
      </w:r>
      <w:r w:rsidRPr="00983399">
        <w:tab/>
        <w:t>Recuerda que en la estrategia de salud y seguridad de la Unión se deben tener en cuenta los riesgos específicos de los nuevos sectores, as</w:t>
      </w:r>
      <w:r w:rsidRPr="00983399">
        <w:t xml:space="preserve">í como los riesgos derivados del cambio climático y la degradación del medio ambiente; </w:t>
      </w:r>
    </w:p>
    <w:p w:rsidR="00DB2D94" w:rsidRPr="00983399" w:rsidRDefault="00B12FAC" w:rsidP="00DB2D94">
      <w:pPr>
        <w:pStyle w:val="NormalHanging12a"/>
      </w:pPr>
      <w:r w:rsidRPr="00983399">
        <w:t>8.</w:t>
      </w:r>
      <w:r w:rsidRPr="00983399">
        <w:tab/>
        <w:t xml:space="preserve">Destaca la importancia de implicar a la juventud en la planificación de la transición; pide a los Estados miembros que faciliten el acceso de la juventud a períodos </w:t>
      </w:r>
      <w:r w:rsidRPr="00983399">
        <w:t>de prácticas y de aprendizaje profesional remunerados, de calidad e inclusivos;</w:t>
      </w:r>
    </w:p>
    <w:p w:rsidR="00DB2D94" w:rsidRPr="00983399" w:rsidRDefault="00B12FAC" w:rsidP="00DB2D94">
      <w:pPr>
        <w:pStyle w:val="NormalHanging12a"/>
      </w:pPr>
      <w:r w:rsidRPr="00983399">
        <w:t>9.</w:t>
      </w:r>
      <w:r w:rsidRPr="00983399">
        <w:tab/>
        <w:t>Hace hincapié en que la igualdad de género debe formar parte de las estrategias de la economía ecológica; pide a la Comisión y a los Estados miembros que adopten todas las m</w:t>
      </w:r>
      <w:r w:rsidRPr="00983399">
        <w:t>edidas necesarias para garantizar que las desigualdades de género ya existentes no se transfieran a la economía ecológica emergente;</w:t>
      </w:r>
    </w:p>
    <w:p w:rsidR="00DB2D94" w:rsidRPr="00983399" w:rsidRDefault="00B12FAC" w:rsidP="00DB2D94">
      <w:pPr>
        <w:pStyle w:val="NormalHanging12a"/>
        <w:rPr>
          <w:b/>
          <w:i/>
        </w:rPr>
      </w:pPr>
      <w:r w:rsidRPr="00983399">
        <w:rPr>
          <w:b/>
          <w:i/>
        </w:rPr>
        <w:t>Capacidades para una transición justa</w:t>
      </w:r>
    </w:p>
    <w:p w:rsidR="00DB2D94" w:rsidRPr="00983399" w:rsidRDefault="00B12FAC" w:rsidP="00DB2D94">
      <w:pPr>
        <w:pStyle w:val="NormalHanging12a"/>
      </w:pPr>
      <w:r w:rsidRPr="00983399">
        <w:t>10.</w:t>
      </w:r>
      <w:r w:rsidRPr="00983399">
        <w:tab/>
        <w:t>Subraya que es necesario ofrecer educación y formación en ámbitos relacionados co</w:t>
      </w:r>
      <w:r w:rsidRPr="00983399">
        <w:t xml:space="preserve">n las necesidades en materia de capacidades detectadas en los mercados laborales y los sectores orientados al futuro para asegurarse de que el mercado laboral está preparado para la transición ecológica; </w:t>
      </w:r>
    </w:p>
    <w:p w:rsidR="00DB2D94" w:rsidRPr="00983399" w:rsidRDefault="00B12FAC" w:rsidP="00DB2D94">
      <w:pPr>
        <w:pStyle w:val="NormalHanging12a"/>
      </w:pPr>
      <w:r w:rsidRPr="00983399">
        <w:t>11.</w:t>
      </w:r>
      <w:r w:rsidRPr="00983399">
        <w:tab/>
        <w:t>Subraya que todas las personas trabajadoras deb</w:t>
      </w:r>
      <w:r w:rsidRPr="00983399">
        <w:t>en tener el derecho individual a la educación, la formación del personal y el aprendizaje permanente, lo cual debe reflejarse en todas las políticas medioambientales nacionales y de la Unión, así como en las estrategias de mitigación y adaptación de las em</w:t>
      </w:r>
      <w:r w:rsidRPr="00983399">
        <w:t xml:space="preserve">presas; destaca que el derecho a la formación debe incluir permisos educativos remunerados; </w:t>
      </w:r>
    </w:p>
    <w:p w:rsidR="00DB2D94" w:rsidRPr="00983399" w:rsidRDefault="00B12FAC" w:rsidP="00DB2D94">
      <w:pPr>
        <w:pStyle w:val="NormalHanging12a"/>
      </w:pPr>
      <w:r w:rsidRPr="00983399">
        <w:t>12.</w:t>
      </w:r>
      <w:r w:rsidRPr="00983399">
        <w:tab/>
        <w:t>Subraya el papel del diálogo social, la negociación colectiva y los interlocutores sociales en la definición de capacidades nacionales, sectoriales y empresari</w:t>
      </w:r>
      <w:r w:rsidRPr="00983399">
        <w:t xml:space="preserve">ales para la creación de estrategias de empleo y formación de calidad; </w:t>
      </w:r>
    </w:p>
    <w:p w:rsidR="00DB2D94" w:rsidRPr="00983399" w:rsidRDefault="00B12FAC" w:rsidP="00DB2D94">
      <w:pPr>
        <w:pStyle w:val="NormalHanging12a"/>
      </w:pPr>
      <w:r w:rsidRPr="00983399">
        <w:t>13.</w:t>
      </w:r>
      <w:r w:rsidRPr="00983399">
        <w:tab/>
        <w:t xml:space="preserve">Pide a los Estados miembros que incorporen el desarrollo sostenible, las competencias medioambientales y las capacidades a los sistemas educativos y de formación profesional; </w:t>
      </w:r>
    </w:p>
    <w:p w:rsidR="00DB2D94" w:rsidRPr="00983399" w:rsidRDefault="00B12FAC" w:rsidP="00DB2D94">
      <w:pPr>
        <w:pStyle w:val="NormalHanging12a"/>
      </w:pPr>
      <w:r w:rsidRPr="00983399">
        <w:t>14.</w:t>
      </w:r>
      <w:r w:rsidRPr="00983399">
        <w:tab/>
      </w:r>
      <w:r w:rsidRPr="00983399">
        <w:t>Subraya que la formación debe ser de calidad suficiente y ofrecer una cualificación que esté validada por sistemas transparentes y claros de reconocimiento y certificación que permitan la comparabilidad;</w:t>
      </w:r>
    </w:p>
    <w:p w:rsidR="00DB2D94" w:rsidRPr="00983399" w:rsidRDefault="00B12FAC" w:rsidP="00DB2D94">
      <w:pPr>
        <w:pStyle w:val="NormalHanging12a"/>
        <w:rPr>
          <w:b/>
          <w:i/>
        </w:rPr>
      </w:pPr>
      <w:r w:rsidRPr="00983399">
        <w:rPr>
          <w:b/>
          <w:i/>
        </w:rPr>
        <w:t>Coherencia de las políticas públicas para desarrolla</w:t>
      </w:r>
      <w:r w:rsidRPr="00983399">
        <w:rPr>
          <w:b/>
          <w:i/>
        </w:rPr>
        <w:t>r plenamente el potencial de empleo de la transición ecológica</w:t>
      </w:r>
    </w:p>
    <w:p w:rsidR="00DB2D94" w:rsidRPr="00983399" w:rsidRDefault="00B12FAC" w:rsidP="00DB2D94">
      <w:pPr>
        <w:pStyle w:val="NormalHanging12a"/>
      </w:pPr>
      <w:r w:rsidRPr="00983399">
        <w:t>15.</w:t>
      </w:r>
      <w:r w:rsidRPr="00983399">
        <w:tab/>
        <w:t xml:space="preserve">Destaca que la aplicación integral de la legislación medioambiental es esencial para que se materialice plenamente el potencial de la economía ecológica y, por tanto, para que se cree </w:t>
      </w:r>
      <w:r w:rsidRPr="00983399">
        <w:t xml:space="preserve">empleo; </w:t>
      </w:r>
    </w:p>
    <w:p w:rsidR="00DB2D94" w:rsidRPr="00983399" w:rsidRDefault="00B12FAC" w:rsidP="00DB2D94">
      <w:pPr>
        <w:pStyle w:val="NormalHanging12a"/>
      </w:pPr>
      <w:r w:rsidRPr="00983399">
        <w:t>16.</w:t>
      </w:r>
      <w:r w:rsidRPr="00983399">
        <w:tab/>
        <w:t>Pide a la Comisión que incluya en toda la legislación medioambiental una evaluación de impacto socioeconómico que tenga en cuenta los puestos de trabajo, las competencias y las condiciones laborales;</w:t>
      </w:r>
    </w:p>
    <w:p w:rsidR="00DB2D94" w:rsidRPr="00983399" w:rsidRDefault="00B12FAC" w:rsidP="00DB2D94">
      <w:pPr>
        <w:pStyle w:val="NormalHanging12a"/>
      </w:pPr>
      <w:r w:rsidRPr="00983399">
        <w:t>17.</w:t>
      </w:r>
      <w:r w:rsidRPr="00983399">
        <w:tab/>
        <w:t xml:space="preserve">Pide una revisión del Reglamento sobre </w:t>
      </w:r>
      <w:r w:rsidRPr="00983399">
        <w:t>la gobernanza de la Unión de la Energía con el fin de actualizar los planes nacionales de energía y clima con objetivos de transición justa;</w:t>
      </w:r>
    </w:p>
    <w:p w:rsidR="00DB2D94" w:rsidRPr="00983399" w:rsidRDefault="00B12FAC" w:rsidP="00DB2D94">
      <w:pPr>
        <w:pStyle w:val="NormalHanging12a"/>
      </w:pPr>
      <w:r w:rsidRPr="00983399">
        <w:t>18.</w:t>
      </w:r>
      <w:r w:rsidRPr="00983399">
        <w:tab/>
        <w:t xml:space="preserve">Hace hincapié en la importancia de los Estados miembros a la hora de promover el diálogo social sectorial y la </w:t>
      </w:r>
      <w:r w:rsidRPr="00983399">
        <w:t>negociación colectiva, especialmente en industrias ecológicas de reciente aparición, así como de garantizar la inclusión de las pequeñas y medianas empresas; destaca que la Directiva sobre unos salarios mínimos adecuados representa una gran oportunidad par</w:t>
      </w:r>
      <w:r w:rsidRPr="00983399">
        <w:t>a reforzar la negociación colectiva y la presencia de sindicatos en los sectores emergentes;</w:t>
      </w:r>
    </w:p>
    <w:p w:rsidR="00DB2D94" w:rsidRPr="00983399" w:rsidRDefault="00B12FAC" w:rsidP="00DB2D94">
      <w:pPr>
        <w:pStyle w:val="NormalHanging12a"/>
      </w:pPr>
      <w:r w:rsidRPr="00983399">
        <w:t>19.</w:t>
      </w:r>
      <w:r w:rsidRPr="00983399">
        <w:tab/>
        <w:t>Pide que se actualice la Directiva 2002/14/CE sobre la información y la consulta de los trabajadores en la Unión con el fin de incluir los derechos de informac</w:t>
      </w:r>
      <w:r w:rsidRPr="00983399">
        <w:t xml:space="preserve">ión y consulta en los planes de transición que las empresas apliquen en el conjunto de sus operaciones y cadenas de valor; </w:t>
      </w:r>
    </w:p>
    <w:p w:rsidR="00DB2D94" w:rsidRPr="00983399" w:rsidRDefault="00B12FAC" w:rsidP="00DB2D94">
      <w:pPr>
        <w:pStyle w:val="NormalHanging12a"/>
      </w:pPr>
      <w:r w:rsidRPr="00983399">
        <w:t>20.</w:t>
      </w:r>
      <w:r w:rsidRPr="00983399">
        <w:tab/>
        <w:t>Pide que todas las empresas afectadas por la transición ecológica adopten planes obligatorios en materia de transición justa, ne</w:t>
      </w:r>
      <w:r w:rsidRPr="00983399">
        <w:t>gociados con los sindicatos y los representantes de los trabajadores;</w:t>
      </w:r>
    </w:p>
    <w:p w:rsidR="00DB2D94" w:rsidRPr="00983399" w:rsidRDefault="00B12FAC" w:rsidP="00DB2D94">
      <w:pPr>
        <w:pStyle w:val="NormalHanging12a"/>
      </w:pPr>
      <w:r w:rsidRPr="00983399">
        <w:t>21.</w:t>
      </w:r>
      <w:r w:rsidRPr="00983399">
        <w:tab/>
        <w:t>Lamenta que la propuesta de la Comisión sobre la revisión de la gobernanza económica no cree el margen de maniobra presupuestario suficiente para que los Estados miembros realicen la</w:t>
      </w:r>
      <w:r w:rsidRPr="00983399">
        <w:t xml:space="preserve"> inversión ecológica y social conforme a la magnitud necesaria; </w:t>
      </w:r>
    </w:p>
    <w:p w:rsidR="00DB2D94" w:rsidRPr="00983399" w:rsidRDefault="00B12FAC" w:rsidP="00DB2D94">
      <w:pPr>
        <w:pStyle w:val="NormalHanging12a"/>
      </w:pPr>
      <w:r w:rsidRPr="00983399">
        <w:t>22.</w:t>
      </w:r>
      <w:r w:rsidRPr="00983399">
        <w:tab/>
        <w:t>Pide un cambio importante en la Unión que consista en pasar de gravar los salarios a gravar la riqueza, con el fin de incentivar la creación de empleo y reducir las desigualdades;</w:t>
      </w:r>
    </w:p>
    <w:p w:rsidR="00DB2D94" w:rsidRPr="00983399" w:rsidRDefault="00B12FAC" w:rsidP="00DB2D94">
      <w:pPr>
        <w:pStyle w:val="NormalHanging12a"/>
      </w:pPr>
      <w:r w:rsidRPr="00983399">
        <w:t>23.</w:t>
      </w:r>
      <w:r w:rsidRPr="00983399">
        <w:tab/>
        <w:t>Des</w:t>
      </w:r>
      <w:r w:rsidRPr="00983399">
        <w:t>taca la importancia de unas redes de seguridad sólidas a fin de complementar las medidas de creación de empleo y garantizar que nadie se queda atrás, en particular, con ayudas a la renta mínima adecuadas, prestaciones de desempleo adecuadas y salarios míni</w:t>
      </w:r>
      <w:r w:rsidRPr="00983399">
        <w:t>mos adecuados;</w:t>
      </w:r>
    </w:p>
    <w:p w:rsidR="00DB2D94" w:rsidRPr="00983399" w:rsidRDefault="00B12FAC" w:rsidP="00DB2D94">
      <w:pPr>
        <w:pStyle w:val="NormalHanging12a"/>
        <w:rPr>
          <w:b/>
          <w:i/>
        </w:rPr>
      </w:pPr>
      <w:r w:rsidRPr="00983399">
        <w:rPr>
          <w:b/>
          <w:i/>
        </w:rPr>
        <w:t xml:space="preserve">Invertir en la creación de empleo sostenible: el papel de la inversión </w:t>
      </w:r>
    </w:p>
    <w:p w:rsidR="00DB2D94" w:rsidRPr="00983399" w:rsidRDefault="00B12FAC" w:rsidP="00DB2D94">
      <w:pPr>
        <w:pStyle w:val="NormalHanging12a"/>
      </w:pPr>
      <w:r w:rsidRPr="00983399">
        <w:t>24.</w:t>
      </w:r>
      <w:r w:rsidRPr="00983399">
        <w:tab/>
        <w:t>Reconoce la importancia de la inversión de impacto para proporcionar financiación a las organizaciones que atienden necesidades sociales y medioambientales con la ex</w:t>
      </w:r>
      <w:r w:rsidRPr="00983399">
        <w:t xml:space="preserve">pectativa explícita de un rendimiento social y medioambiental mensurable, también en materia de empleo y la calidad del empleo; </w:t>
      </w:r>
    </w:p>
    <w:p w:rsidR="00DB2D94" w:rsidRPr="00983399" w:rsidRDefault="00B12FAC" w:rsidP="00DB2D94">
      <w:pPr>
        <w:pStyle w:val="NormalHanging12a"/>
      </w:pPr>
      <w:r w:rsidRPr="00983399">
        <w:t>25.</w:t>
      </w:r>
      <w:r w:rsidRPr="00983399">
        <w:tab/>
        <w:t>Destaca el papel fundamental que desempeña el sector privado y financiero a la hora de canalizar fondos hacia inversiones s</w:t>
      </w:r>
      <w:r w:rsidRPr="00983399">
        <w:t xml:space="preserve">ostenibles y permitir la transición a una economía climáticamente neutra; </w:t>
      </w:r>
    </w:p>
    <w:p w:rsidR="00DB2D94" w:rsidRPr="00983399" w:rsidRDefault="00B12FAC" w:rsidP="00DB2D94">
      <w:pPr>
        <w:pStyle w:val="NormalHanging12a"/>
      </w:pPr>
      <w:r w:rsidRPr="00983399">
        <w:t>26.</w:t>
      </w:r>
      <w:r w:rsidRPr="00983399">
        <w:tab/>
        <w:t xml:space="preserve">Pide la rápida creación de un fondo de soberanía europeo, con nueva financiación de la Unión, con el fin de movilizar inversiones a gran escala en tecnología ecológica; </w:t>
      </w:r>
    </w:p>
    <w:p w:rsidR="00DB2D94" w:rsidRPr="00983399" w:rsidRDefault="00B12FAC" w:rsidP="00DB2D94">
      <w:pPr>
        <w:pStyle w:val="NormalHanging12a"/>
      </w:pPr>
      <w:r w:rsidRPr="00983399">
        <w:t>27.</w:t>
      </w:r>
      <w:r w:rsidRPr="00983399">
        <w:tab/>
        <w:t>Pid</w:t>
      </w:r>
      <w:r w:rsidRPr="00983399">
        <w:t>e que se amplíe el tamaño y el ámbito temático del Fondo de Transición Justa;</w:t>
      </w:r>
    </w:p>
    <w:p w:rsidR="001731ED" w:rsidRPr="00983399" w:rsidRDefault="00B12FAC" w:rsidP="00E40FB8">
      <w:pPr>
        <w:pStyle w:val="NormalHanging12a"/>
      </w:pPr>
      <w:r w:rsidRPr="00983399">
        <w:t>28.</w:t>
      </w:r>
      <w:r w:rsidRPr="00983399">
        <w:tab/>
        <w:t>Pide a la Comisión que siga supervisando y fomentando la inversión y el gasto en creación de empleo de calidad en el marco de NextGenerationEU, el Mecanismo de Recuperación y</w:t>
      </w:r>
      <w:r w:rsidRPr="00983399">
        <w:t xml:space="preserve"> Resiliencia y el Fondo Social Europeo Plus, y que vele por que el Parlamento Europeo se mantenga estrechamente involucrado;</w:t>
      </w:r>
    </w:p>
    <w:p w:rsidR="001731ED" w:rsidRPr="00983399" w:rsidRDefault="00B12FAC" w:rsidP="001731ED">
      <w:pPr>
        <w:pStyle w:val="NormalHanging12a"/>
        <w:jc w:val="center"/>
      </w:pPr>
      <w:r w:rsidRPr="00983399">
        <w:t>°</w:t>
      </w:r>
    </w:p>
    <w:p w:rsidR="001731ED" w:rsidRPr="00983399" w:rsidRDefault="00B12FAC" w:rsidP="0038005E">
      <w:pPr>
        <w:pStyle w:val="NormalHanging12a"/>
        <w:jc w:val="center"/>
      </w:pPr>
      <w:r w:rsidRPr="00983399">
        <w:t>°</w:t>
      </w:r>
      <w:r w:rsidRPr="00983399">
        <w:tab/>
        <w:t>°</w:t>
      </w:r>
    </w:p>
    <w:p w:rsidR="00100069" w:rsidRPr="00983399" w:rsidRDefault="00B12FAC" w:rsidP="00DB2D94">
      <w:pPr>
        <w:pStyle w:val="NormalHanging12a"/>
      </w:pPr>
      <w:r w:rsidRPr="00983399">
        <w:t>29.</w:t>
      </w:r>
      <w:r w:rsidRPr="00983399">
        <w:tab/>
        <w:t>Encarga a su presidenta que transmita la presente Resolución al Consejo y a la Comisión.</w:t>
      </w:r>
    </w:p>
    <w:p w:rsidR="00014223" w:rsidRPr="00983399" w:rsidRDefault="00014223" w:rsidP="00DB2D94">
      <w:pPr>
        <w:pStyle w:val="NormalHanging12a"/>
        <w:sectPr w:rsidR="00014223" w:rsidRPr="00983399" w:rsidSect="0098339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014223" w:rsidRPr="00983399" w:rsidRDefault="00B12FAC" w:rsidP="00014223">
      <w:pPr>
        <w:pStyle w:val="PageHeading"/>
      </w:pPr>
      <w:bookmarkStart w:id="2" w:name="_Toc136854214"/>
      <w:r w:rsidRPr="00983399">
        <w:t>EXPOSICIÓN DE MOTIVOS</w:t>
      </w:r>
      <w:bookmarkEnd w:id="2"/>
    </w:p>
    <w:p w:rsidR="00014223" w:rsidRPr="00983399" w:rsidRDefault="00B12FAC" w:rsidP="00014223">
      <w:r w:rsidRPr="00983399">
        <w:t xml:space="preserve">Las </w:t>
      </w:r>
      <w:r w:rsidRPr="00983399">
        <w:t>consecuencias del cambio climático son graves y potencialmente catastróficas. Invertir esta tendencia es crucial para nuestro planeta, para las generaciones futuras, así como para proteger el empleo y los derechos de la población activa. Para ello, se requ</w:t>
      </w:r>
      <w:r w:rsidRPr="00983399">
        <w:t>erirán estrategias de mitigación y adaptación en todos los sectores de la economía. La descarbonización de los sectores económicos conllevará la oportunidad de crear nuevos puestos de trabajo, especialmente en los sectores de la energía y la economía circu</w:t>
      </w:r>
      <w:r w:rsidRPr="00983399">
        <w:t>lar.</w:t>
      </w:r>
    </w:p>
    <w:p w:rsidR="00014223" w:rsidRPr="00983399" w:rsidRDefault="00014223" w:rsidP="00014223"/>
    <w:p w:rsidR="00014223" w:rsidRPr="00983399" w:rsidRDefault="00B12FAC" w:rsidP="00014223">
      <w:r w:rsidRPr="00983399">
        <w:t>El Año Europeo de las Competencias y la Ley sobre la industria de cero emisiones netas propuesta hacen bastante hincapié en el papel que desempeñan las capacidades en la transición. La mejora de las capacidades, el reciclaje profesional y el aprendiz</w:t>
      </w:r>
      <w:r w:rsidRPr="00983399">
        <w:t>aje permanente son, sin lugar a dudas, elementos cruciales para garantizar que la transición sea justa e inclusiva. No obstante, la transición justa no solo se refiere a la formación y las capacidades.</w:t>
      </w:r>
    </w:p>
    <w:p w:rsidR="00014223" w:rsidRPr="00983399" w:rsidRDefault="00014223" w:rsidP="00014223"/>
    <w:p w:rsidR="00014223" w:rsidRPr="00983399" w:rsidRDefault="00B12FAC" w:rsidP="00014223">
      <w:r w:rsidRPr="00983399">
        <w:t>La transición ecológica debe ser una oportunidad para</w:t>
      </w:r>
      <w:r w:rsidRPr="00983399">
        <w:t xml:space="preserve"> que la población activa cree más y mejores puestos de trabajo, que ofrezcan estabilidad, salarios justos y condiciones de trabajo dignas, con la participación de los trabajadores y los sindicatos en todas las fases del proceso. En la transición hacia la n</w:t>
      </w:r>
      <w:r w:rsidRPr="00983399">
        <w:t>eutralidad climática, centrarse en las capacidades y la cantidad de creación de empleo no bastará para hacer justicia si la pobreza y la desigualdad en el trabajo, la inseguridad económica y el trabajo precario siguen creciendo. Se necesitan cambios que pe</w:t>
      </w:r>
      <w:r w:rsidRPr="00983399">
        <w:t xml:space="preserve">rmitan una convergencia al alza y no poner en peligro el empleo de calidad. </w:t>
      </w:r>
    </w:p>
    <w:p w:rsidR="00014223" w:rsidRPr="00983399" w:rsidRDefault="00014223" w:rsidP="00014223"/>
    <w:p w:rsidR="00014223" w:rsidRPr="00983399" w:rsidRDefault="00B12FAC" w:rsidP="00014223">
      <w:r w:rsidRPr="00983399">
        <w:t>Al mismo tiempo, el apoyo público a las empresas siempre debe estar supeditado al respeto de los derechos de las personas trabajadoras. La Unión y los Estados miembros pueden eje</w:t>
      </w:r>
      <w:r w:rsidRPr="00983399">
        <w:t>rcer una fuerte influencia para asegurarse de que las empresas que se benefician del apoyo de la Unión mejoran sus condiciones de trabajo e invierten en empleos sostenibles.</w:t>
      </w:r>
    </w:p>
    <w:p w:rsidR="00014223" w:rsidRPr="00983399" w:rsidRDefault="00014223" w:rsidP="00014223"/>
    <w:p w:rsidR="00014223" w:rsidRPr="00983399" w:rsidRDefault="00B12FAC" w:rsidP="00014223">
      <w:r w:rsidRPr="00983399">
        <w:t>Lo que es evidente es que ni el sector público ni el privado pueden mostrarse com</w:t>
      </w:r>
      <w:r w:rsidRPr="00983399">
        <w:t>placientes con la situación del mercado laboral en el marco de la transición. Una transición justa implica una fuerte anticipación del cambio para las empresas, la regulación y las inversiones. El sistema de incentivos debe promover la creación de empleo d</w:t>
      </w:r>
      <w:r w:rsidRPr="00983399">
        <w:t>e calidad y sostenible, al tiempo que se favorece la inversión con efectos positivos en materia medioambiental y social.</w:t>
      </w:r>
    </w:p>
    <w:p w:rsidR="00014223" w:rsidRPr="00983399" w:rsidRDefault="00014223" w:rsidP="00DB2D94">
      <w:pPr>
        <w:pStyle w:val="NormalHanging12a"/>
      </w:pPr>
    </w:p>
    <w:sectPr w:rsidR="00014223" w:rsidRPr="00983399" w:rsidSect="0001422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983399" w:rsidRDefault="00B12FAC">
      <w:r w:rsidRPr="00983399">
        <w:separator/>
      </w:r>
    </w:p>
  </w:endnote>
  <w:endnote w:type="continuationSeparator" w:id="0">
    <w:p w:rsidR="00000000" w:rsidRPr="00983399" w:rsidRDefault="00B12FAC">
      <w:r w:rsidRPr="009833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AE" w:rsidRPr="00983399" w:rsidRDefault="00B12FAC" w:rsidP="00DC20AE">
    <w:pPr>
      <w:pStyle w:val="EPFooter"/>
    </w:pPr>
    <w:r w:rsidRPr="00983399">
      <w:t>PE</w:t>
    </w:r>
    <w:r w:rsidRPr="00983399">
      <w:rPr>
        <w:rStyle w:val="HideTWBExt"/>
      </w:rPr>
      <w:t>&lt;NoPE&gt;</w:t>
    </w:r>
    <w:r w:rsidRPr="00983399">
      <w:t>746.664</w:t>
    </w:r>
    <w:r w:rsidRPr="00983399">
      <w:rPr>
        <w:rStyle w:val="HideTWBExt"/>
      </w:rPr>
      <w:t>&lt;/NoPE&gt;&lt;Version&gt;</w:t>
    </w:r>
    <w:r w:rsidRPr="00983399">
      <w:t>v01-00</w:t>
    </w:r>
    <w:r w:rsidRPr="00983399">
      <w:rPr>
        <w:rStyle w:val="HideTWBExt"/>
      </w:rPr>
      <w:t>&lt;/Version&gt;</w:t>
    </w:r>
    <w:r w:rsidRPr="00983399">
      <w:tab/>
    </w:r>
    <w:r w:rsidRPr="00983399">
      <w:fldChar w:fldCharType="begin"/>
    </w:r>
    <w:r w:rsidRPr="00983399">
      <w:instrText xml:space="preserve"> PAGE  \* MERGEFORMAT </w:instrText>
    </w:r>
    <w:r w:rsidRPr="00983399">
      <w:fldChar w:fldCharType="separate"/>
    </w:r>
    <w:r>
      <w:rPr>
        <w:noProof/>
      </w:rPr>
      <w:t>8</w:t>
    </w:r>
    <w:r w:rsidRPr="00983399">
      <w:fldChar w:fldCharType="end"/>
    </w:r>
    <w:r w:rsidRPr="00983399">
      <w:t>/</w:t>
    </w:r>
    <w:fldSimple w:instr=" NUMPAGES  \* MERGEFORMAT ">
      <w:r>
        <w:rPr>
          <w:noProof/>
        </w:rPr>
        <w:t>8</w:t>
      </w:r>
    </w:fldSimple>
    <w:r w:rsidRPr="00983399">
      <w:tab/>
    </w:r>
    <w:r w:rsidRPr="00983399">
      <w:rPr>
        <w:rStyle w:val="HideTWBExt"/>
      </w:rPr>
      <w:t>&lt;PathFdR&gt;</w:t>
    </w:r>
    <w:r w:rsidR="00E747C3" w:rsidRPr="00983399">
      <w:t>PR\1276185EN.docx</w:t>
    </w:r>
    <w:r w:rsidRPr="00983399">
      <w:rPr>
        <w:rStyle w:val="HideTWBExt"/>
      </w:rPr>
      <w:t>&lt;/PathFdR&gt;</w:t>
    </w:r>
  </w:p>
  <w:p w:rsidR="00100069" w:rsidRPr="00983399" w:rsidRDefault="00B12FAC" w:rsidP="00DC20AE">
    <w:pPr>
      <w:pStyle w:val="EPFooter2"/>
    </w:pPr>
    <w:r w:rsidRPr="00983399"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399" w:rsidRPr="00983399" w:rsidRDefault="00983399" w:rsidP="00983399">
    <w:pPr>
      <w:pStyle w:val="EPFooter"/>
    </w:pPr>
    <w:r w:rsidRPr="00983399">
      <w:rPr>
        <w:rStyle w:val="HideTWBExt"/>
      </w:rPr>
      <w:t>&lt;PathFdR&gt;</w:t>
    </w:r>
    <w:r w:rsidRPr="00983399">
      <w:t>PR\1276185ES.docx</w:t>
    </w:r>
    <w:r w:rsidRPr="00983399">
      <w:rPr>
        <w:rStyle w:val="HideTWBExt"/>
      </w:rPr>
      <w:t>&lt;/PathFdR&gt;</w:t>
    </w:r>
    <w:r w:rsidRPr="00983399">
      <w:tab/>
    </w:r>
    <w:r w:rsidRPr="00983399">
      <w:fldChar w:fldCharType="begin"/>
    </w:r>
    <w:r w:rsidRPr="00983399">
      <w:instrText xml:space="preserve"> PAGE  \* MERGEFORMAT </w:instrText>
    </w:r>
    <w:r w:rsidRPr="00983399">
      <w:fldChar w:fldCharType="separate"/>
    </w:r>
    <w:r w:rsidR="00B12FAC">
      <w:rPr>
        <w:noProof/>
      </w:rPr>
      <w:t>8</w:t>
    </w:r>
    <w:r w:rsidRPr="00983399">
      <w:fldChar w:fldCharType="end"/>
    </w:r>
    <w:r w:rsidRPr="00983399">
      <w:t>/</w:t>
    </w:r>
    <w:fldSimple w:instr=" NUMPAGES  \* MERGEFORMAT ">
      <w:r w:rsidR="00B12FAC">
        <w:rPr>
          <w:noProof/>
        </w:rPr>
        <w:t>8</w:t>
      </w:r>
    </w:fldSimple>
    <w:r w:rsidRPr="00983399">
      <w:tab/>
      <w:t>PE</w:t>
    </w:r>
    <w:r w:rsidRPr="00983399">
      <w:rPr>
        <w:rStyle w:val="HideTWBExt"/>
      </w:rPr>
      <w:t>&lt;NoPE&gt;</w:t>
    </w:r>
    <w:r w:rsidRPr="00983399">
      <w:t>746.664</w:t>
    </w:r>
    <w:r w:rsidRPr="00983399">
      <w:rPr>
        <w:rStyle w:val="HideTWBExt"/>
      </w:rPr>
      <w:t>&lt;/NoPE&gt;&lt;Version&gt;</w:t>
    </w:r>
    <w:r w:rsidRPr="00983399">
      <w:t>v01-00</w:t>
    </w:r>
    <w:r w:rsidRPr="00983399">
      <w:rPr>
        <w:rStyle w:val="HideTWBExt"/>
      </w:rPr>
      <w:t>&lt;/Version&gt;</w:t>
    </w:r>
  </w:p>
  <w:p w:rsidR="00100069" w:rsidRPr="00983399" w:rsidRDefault="00983399" w:rsidP="00983399">
    <w:pPr>
      <w:pStyle w:val="EPFooter2"/>
    </w:pPr>
    <w:r w:rsidRPr="00983399">
      <w:tab/>
    </w:r>
    <w:r w:rsidRPr="00983399">
      <w:tab/>
      <w:t>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399" w:rsidRPr="00983399" w:rsidRDefault="00983399" w:rsidP="00983399">
    <w:pPr>
      <w:pStyle w:val="EPFooter"/>
    </w:pPr>
    <w:r w:rsidRPr="00983399">
      <w:rPr>
        <w:rStyle w:val="HideTWBExt"/>
      </w:rPr>
      <w:t>&lt;PathFdR&gt;</w:t>
    </w:r>
    <w:r w:rsidRPr="00983399">
      <w:t>PR\1276185ES.docx</w:t>
    </w:r>
    <w:r w:rsidRPr="00983399">
      <w:rPr>
        <w:rStyle w:val="HideTWBExt"/>
      </w:rPr>
      <w:t>&lt;/PathFdR&gt;</w:t>
    </w:r>
    <w:r w:rsidRPr="00983399">
      <w:tab/>
    </w:r>
    <w:r w:rsidRPr="00983399">
      <w:tab/>
      <w:t>PE</w:t>
    </w:r>
    <w:r w:rsidRPr="00983399">
      <w:rPr>
        <w:rStyle w:val="HideTWBExt"/>
      </w:rPr>
      <w:t>&lt;NoPE&gt;</w:t>
    </w:r>
    <w:r w:rsidRPr="00983399">
      <w:t>746.664</w:t>
    </w:r>
    <w:r w:rsidRPr="00983399">
      <w:rPr>
        <w:rStyle w:val="HideTWBExt"/>
      </w:rPr>
      <w:t>&lt;/NoPE&gt;&lt;Version&gt;</w:t>
    </w:r>
    <w:r w:rsidRPr="00983399">
      <w:t>v01-00</w:t>
    </w:r>
    <w:r w:rsidRPr="00983399">
      <w:rPr>
        <w:rStyle w:val="HideTWBExt"/>
      </w:rPr>
      <w:t>&lt;/Version&gt;</w:t>
    </w:r>
  </w:p>
  <w:p w:rsidR="00100069" w:rsidRPr="00983399" w:rsidRDefault="00983399" w:rsidP="00983399">
    <w:pPr>
      <w:pStyle w:val="EPFooter2"/>
    </w:pPr>
    <w:r w:rsidRPr="00983399">
      <w:t>ES</w:t>
    </w:r>
    <w:r w:rsidRPr="00983399">
      <w:tab/>
    </w:r>
    <w:r w:rsidRPr="00983399">
      <w:rPr>
        <w:b w:val="0"/>
        <w:i/>
        <w:color w:val="C0C0C0"/>
        <w:sz w:val="22"/>
      </w:rPr>
      <w:t>Unida en la diversidad</w:t>
    </w:r>
    <w:r w:rsidRPr="00983399">
      <w:tab/>
      <w:t>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27D3" w:rsidRPr="00983399" w:rsidRDefault="00B12FAC">
      <w:r w:rsidRPr="00983399">
        <w:separator/>
      </w:r>
    </w:p>
  </w:footnote>
  <w:footnote w:type="continuationSeparator" w:id="0">
    <w:p w:rsidR="002027D3" w:rsidRPr="00983399" w:rsidRDefault="00B12FAC">
      <w:r w:rsidRPr="00983399">
        <w:continuationSeparator/>
      </w:r>
    </w:p>
  </w:footnote>
  <w:footnote w:id="1">
    <w:p w:rsidR="00FB5B00" w:rsidRPr="00983399" w:rsidRDefault="00B12FAC">
      <w:pPr>
        <w:pStyle w:val="FootnoteText"/>
      </w:pPr>
      <w:r w:rsidRPr="00983399">
        <w:rPr>
          <w:rStyle w:val="FootnoteReference"/>
        </w:rPr>
        <w:footnoteRef/>
      </w:r>
      <w:r w:rsidRPr="00983399">
        <w:t xml:space="preserve"> </w:t>
      </w:r>
      <w:r w:rsidRPr="00983399">
        <w:rPr>
          <w:rStyle w:val="Emphasis"/>
          <w:i w:val="0"/>
          <w:shd w:val="clear" w:color="auto" w:fill="FFFFFF"/>
        </w:rPr>
        <w:t>DO C 243 de 27.6.2022, p. 35.</w:t>
      </w:r>
    </w:p>
  </w:footnote>
  <w:footnote w:id="2">
    <w:p w:rsidR="00155B11" w:rsidRPr="00983399" w:rsidRDefault="00B12FAC">
      <w:pPr>
        <w:pStyle w:val="FootnoteText"/>
      </w:pPr>
      <w:r w:rsidRPr="00983399">
        <w:rPr>
          <w:rStyle w:val="FootnoteReference"/>
        </w:rPr>
        <w:footnoteRef/>
      </w:r>
      <w:r w:rsidRPr="00983399">
        <w:t xml:space="preserve"> </w:t>
      </w:r>
      <w:r w:rsidRPr="00983399">
        <w:rPr>
          <w:rStyle w:val="Emphasis"/>
          <w:i w:val="0"/>
          <w:shd w:val="clear" w:color="auto" w:fill="FFFFFF"/>
        </w:rPr>
        <w:t>DO L 231 de 30.6.2021, p. 1.</w:t>
      </w:r>
    </w:p>
  </w:footnote>
  <w:footnote w:id="3">
    <w:p w:rsidR="005F0892" w:rsidRPr="00983399" w:rsidRDefault="00B12FAC">
      <w:pPr>
        <w:pStyle w:val="FootnoteText"/>
      </w:pPr>
      <w:r w:rsidRPr="00983399">
        <w:rPr>
          <w:rStyle w:val="FootnoteReference"/>
        </w:rPr>
        <w:footnoteRef/>
      </w:r>
      <w:r w:rsidRPr="00983399">
        <w:t xml:space="preserve"> </w:t>
      </w:r>
      <w:r w:rsidRPr="00983399">
        <w:rPr>
          <w:rStyle w:val="Emphasis"/>
          <w:i w:val="0"/>
          <w:shd w:val="clear" w:color="auto" w:fill="FFFFFF"/>
        </w:rPr>
        <w:t>DO L 57 de 18.2.2021, p. 17.</w:t>
      </w:r>
    </w:p>
  </w:footnote>
  <w:footnote w:id="4">
    <w:p w:rsidR="00D83A5C" w:rsidRPr="00983399" w:rsidRDefault="00B12FAC">
      <w:pPr>
        <w:pStyle w:val="FootnoteText"/>
      </w:pPr>
      <w:r w:rsidRPr="00983399">
        <w:rPr>
          <w:rStyle w:val="FootnoteReference"/>
        </w:rPr>
        <w:footnoteRef/>
      </w:r>
      <w:r w:rsidRPr="00983399">
        <w:t xml:space="preserve"> </w:t>
      </w:r>
      <w:r w:rsidRPr="00983399">
        <w:rPr>
          <w:rStyle w:val="Emphasis"/>
          <w:i w:val="0"/>
          <w:shd w:val="clear" w:color="auto" w:fill="FFFFFF"/>
        </w:rPr>
        <w:t>DO C 417 de 2.12.2020, p. 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FAC" w:rsidRDefault="00B12F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FAC" w:rsidRDefault="00B12F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FAC" w:rsidRDefault="00B12F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EMPL"/>
    <w:docVar w:name="CopyToNetwork" w:val="-1"/>
    <w:docVar w:name="LastEditedSection" w:val=" 1"/>
    <w:docVar w:name="MOTIONMNU" w:val=" 3"/>
    <w:docVar w:name="RULEMNU" w:val=" 1"/>
    <w:docVar w:name="strDocTypeID" w:val="PR_INI"/>
    <w:docVar w:name="strSubDir" w:val="1276"/>
    <w:docVar w:name="TITLEMNU" w:val=" 1"/>
    <w:docVar w:name="TXTLANGUE" w:val="EN"/>
    <w:docVar w:name="TXTLANGUEMIN" w:val="en"/>
    <w:docVar w:name="TXTNRINI" w:val="2022/2170"/>
    <w:docVar w:name="TXTNRPE" w:val="746.664"/>
    <w:docVar w:name="TXTPEorAP" w:val="PE"/>
    <w:docVar w:name="TXTROUTE" w:val="PR\1276185EN.docx"/>
    <w:docVar w:name="TXTTITLE" w:val="on job creation – the just transition and impact investments"/>
    <w:docVar w:name="TXTVERSION" w:val="01-00"/>
  </w:docVars>
  <w:rsids>
    <w:rsidRoot w:val="002027D3"/>
    <w:rsid w:val="00014223"/>
    <w:rsid w:val="00040EAC"/>
    <w:rsid w:val="00053925"/>
    <w:rsid w:val="0007541B"/>
    <w:rsid w:val="00082B37"/>
    <w:rsid w:val="000B376E"/>
    <w:rsid w:val="000D2631"/>
    <w:rsid w:val="000E17E1"/>
    <w:rsid w:val="00100069"/>
    <w:rsid w:val="001046B1"/>
    <w:rsid w:val="00105C44"/>
    <w:rsid w:val="00155B11"/>
    <w:rsid w:val="001731ED"/>
    <w:rsid w:val="001B207D"/>
    <w:rsid w:val="002027D3"/>
    <w:rsid w:val="00222E36"/>
    <w:rsid w:val="0023245A"/>
    <w:rsid w:val="002544DF"/>
    <w:rsid w:val="002F503F"/>
    <w:rsid w:val="00335F69"/>
    <w:rsid w:val="0038005E"/>
    <w:rsid w:val="00395A66"/>
    <w:rsid w:val="003E6413"/>
    <w:rsid w:val="004016B4"/>
    <w:rsid w:val="0041592B"/>
    <w:rsid w:val="004200B3"/>
    <w:rsid w:val="00427900"/>
    <w:rsid w:val="00432B50"/>
    <w:rsid w:val="00455003"/>
    <w:rsid w:val="00466A1A"/>
    <w:rsid w:val="00531F4C"/>
    <w:rsid w:val="0055531E"/>
    <w:rsid w:val="00584A07"/>
    <w:rsid w:val="005B7195"/>
    <w:rsid w:val="005E4751"/>
    <w:rsid w:val="005F0892"/>
    <w:rsid w:val="006272CD"/>
    <w:rsid w:val="0063697F"/>
    <w:rsid w:val="006645CC"/>
    <w:rsid w:val="00686A26"/>
    <w:rsid w:val="006E11AA"/>
    <w:rsid w:val="00705D44"/>
    <w:rsid w:val="00726C82"/>
    <w:rsid w:val="00733C0C"/>
    <w:rsid w:val="007963C6"/>
    <w:rsid w:val="0081418C"/>
    <w:rsid w:val="00865656"/>
    <w:rsid w:val="008C4C65"/>
    <w:rsid w:val="0090583E"/>
    <w:rsid w:val="0095536F"/>
    <w:rsid w:val="00956282"/>
    <w:rsid w:val="00983399"/>
    <w:rsid w:val="00996AC6"/>
    <w:rsid w:val="009E4ABB"/>
    <w:rsid w:val="00A94083"/>
    <w:rsid w:val="00AA0B42"/>
    <w:rsid w:val="00AC7394"/>
    <w:rsid w:val="00AE2FB6"/>
    <w:rsid w:val="00AF310F"/>
    <w:rsid w:val="00AF32CA"/>
    <w:rsid w:val="00B07F55"/>
    <w:rsid w:val="00B12FAC"/>
    <w:rsid w:val="00B17532"/>
    <w:rsid w:val="00B205CB"/>
    <w:rsid w:val="00BA2A57"/>
    <w:rsid w:val="00BA5076"/>
    <w:rsid w:val="00BB70F1"/>
    <w:rsid w:val="00BC7C60"/>
    <w:rsid w:val="00C00074"/>
    <w:rsid w:val="00C441BD"/>
    <w:rsid w:val="00C85D0F"/>
    <w:rsid w:val="00C93A60"/>
    <w:rsid w:val="00CD3E8A"/>
    <w:rsid w:val="00D31D25"/>
    <w:rsid w:val="00D47BB0"/>
    <w:rsid w:val="00D55AE8"/>
    <w:rsid w:val="00D83A5C"/>
    <w:rsid w:val="00DB2D94"/>
    <w:rsid w:val="00DB4680"/>
    <w:rsid w:val="00DC20AE"/>
    <w:rsid w:val="00DD7B9D"/>
    <w:rsid w:val="00E155CA"/>
    <w:rsid w:val="00E3537C"/>
    <w:rsid w:val="00E40FB8"/>
    <w:rsid w:val="00E61690"/>
    <w:rsid w:val="00E747C3"/>
    <w:rsid w:val="00F076A5"/>
    <w:rsid w:val="00F3651F"/>
    <w:rsid w:val="00F5450E"/>
    <w:rsid w:val="00F714A9"/>
    <w:rsid w:val="00FB5B00"/>
    <w:rsid w:val="00FD268B"/>
    <w:rsid w:val="00FD3897"/>
    <w:rsid w:val="00FE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3F5D7F-2ED5-406A-A7FF-3DA610C16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245A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7963C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2544D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584A07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B17532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584A0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105C44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E353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E3537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E3537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3537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544D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544DF"/>
    <w:pPr>
      <w:jc w:val="right"/>
    </w:pPr>
  </w:style>
  <w:style w:type="paragraph" w:customStyle="1" w:styleId="EPFooter">
    <w:name w:val="EPFooter"/>
    <w:basedOn w:val="Normal"/>
    <w:rsid w:val="00584A0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105C44"/>
    <w:rPr>
      <w:sz w:val="24"/>
    </w:rPr>
  </w:style>
  <w:style w:type="paragraph" w:customStyle="1" w:styleId="EPComma">
    <w:name w:val="EPComma"/>
    <w:basedOn w:val="Normal"/>
    <w:rsid w:val="00432B50"/>
    <w:pPr>
      <w:spacing w:before="480" w:after="240"/>
    </w:pPr>
  </w:style>
  <w:style w:type="paragraph" w:styleId="Footer">
    <w:name w:val="footer"/>
    <w:basedOn w:val="Normal"/>
    <w:link w:val="FooterChar"/>
    <w:semiHidden/>
    <w:rsid w:val="006E11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6E11AA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DC20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C20AE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rsid w:val="00FB5B00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FB5B00"/>
  </w:style>
  <w:style w:type="character" w:styleId="FootnoteReference">
    <w:name w:val="footnote reference"/>
    <w:basedOn w:val="DefaultParagraphFont"/>
    <w:rsid w:val="00FB5B00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FB5B00"/>
    <w:rPr>
      <w:i/>
      <w:iCs/>
    </w:rPr>
  </w:style>
  <w:style w:type="character" w:styleId="CommentReference">
    <w:name w:val="annotation reference"/>
    <w:basedOn w:val="DefaultParagraphFont"/>
    <w:rsid w:val="00FB5B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FB5B0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B5B0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B5B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B5B00"/>
    <w:rPr>
      <w:b/>
      <w:bCs/>
    </w:rPr>
  </w:style>
  <w:style w:type="paragraph" w:styleId="Revision">
    <w:name w:val="Revision"/>
    <w:hidden/>
    <w:uiPriority w:val="99"/>
    <w:semiHidden/>
    <w:rsid w:val="0055531E"/>
    <w:rPr>
      <w:sz w:val="24"/>
    </w:rPr>
  </w:style>
  <w:style w:type="character" w:styleId="Hyperlink">
    <w:name w:val="Hyperlink"/>
    <w:basedOn w:val="DefaultParagraphFont"/>
    <w:rsid w:val="00B205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83350-A62B-494B-B76F-B846678B9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2351</Words>
  <Characters>12675</Characters>
  <Application>Microsoft Office Word</Application>
  <DocSecurity>0</DocSecurity>
  <Lines>234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</vt:lpstr>
    </vt:vector>
  </TitlesOfParts>
  <Company/>
  <LinksUpToDate>false</LinksUpToDate>
  <CharactersWithSpaces>14925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NOTARIDOU Aikaterini</dc:creator>
  <cp:lastModifiedBy>IZARRA Maria Jose</cp:lastModifiedBy>
  <cp:revision>2</cp:revision>
  <cp:lastPrinted>2023-05-08T14:51:00Z</cp:lastPrinted>
  <dcterms:created xsi:type="dcterms:W3CDTF">2023-06-05T08:43:00Z</dcterms:created>
  <dcterms:modified xsi:type="dcterms:W3CDTF">2023-06-05T08:43:00Z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1276185</vt:lpwstr>
  </property>
  <property fmtid="{D5CDD505-2E9C-101B-9397-08002B2CF9AE}" pid="4" name="&lt;Model&gt;">
    <vt:lpwstr>PR_INI</vt:lpwstr>
  </property>
  <property fmtid="{D5CDD505-2E9C-101B-9397-08002B2CF9AE}" pid="5" name="&lt;ModelCod&gt;">
    <vt:lpwstr>\\eiciBRUpr1\pdocep$\DocEP\DOCS\General\PR\PR_NonLeg\INI\PR_INI.dotx(03/05/2022 18:28:05)</vt:lpwstr>
  </property>
  <property fmtid="{D5CDD505-2E9C-101B-9397-08002B2CF9AE}" pid="6" name="&lt;ModelTra&gt;">
    <vt:lpwstr>\\eiciBRUpr1\pdocep$\DocEP\TRANSFIL\EN\PR_INI.EN(27/03/2023 17:09:01)</vt:lpwstr>
  </property>
  <property fmtid="{D5CDD505-2E9C-101B-9397-08002B2CF9AE}" pid="7" name="&lt;Type&gt;">
    <vt:lpwstr>PR</vt:lpwstr>
  </property>
  <property fmtid="{D5CDD505-2E9C-101B-9397-08002B2CF9AE}" pid="8" name="Bookout">
    <vt:lpwstr>OK - 2023/06/05 10:43</vt:lpwstr>
  </property>
  <property fmtid="{D5CDD505-2E9C-101B-9397-08002B2CF9AE}" pid="9" name="Created with">
    <vt:lpwstr>9.14.1 Build [20230301]</vt:lpwstr>
  </property>
  <property fmtid="{D5CDD505-2E9C-101B-9397-08002B2CF9AE}" pid="10" name="FooterPath">
    <vt:lpwstr>PR\1276185ES.docx</vt:lpwstr>
  </property>
  <property fmtid="{D5CDD505-2E9C-101B-9397-08002B2CF9AE}" pid="11" name="LastEdited with">
    <vt:lpwstr>9.14.1 Build [20230301]</vt:lpwstr>
  </property>
  <property fmtid="{D5CDD505-2E9C-101B-9397-08002B2CF9AE}" pid="12" name="PE number">
    <vt:lpwstr>746.664</vt:lpwstr>
  </property>
  <property fmtid="{D5CDD505-2E9C-101B-9397-08002B2CF9AE}" pid="13" name="SDLStudio">
    <vt:lpwstr/>
  </property>
  <property fmtid="{D5CDD505-2E9C-101B-9397-08002B2CF9AE}" pid="14" name="SendToEpades">
    <vt:lpwstr>OK - 2023/05/05 10:08</vt:lpwstr>
  </property>
</Properties>
</file>